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xml" ContentType="application/vnd.openxmlformats-officedocument.themeOverride+xml"/>
  <Override PartName="/word/charts/chart38.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xml" ContentType="application/vnd.openxmlformats-officedocument.themeOverride+xml"/>
  <Override PartName="/word/charts/chart39.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xml" ContentType="application/vnd.openxmlformats-officedocument.themeOverride+xml"/>
  <Override PartName="/word/charts/chart40.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xml" ContentType="application/vnd.openxmlformats-officedocument.themeOverride+xml"/>
  <Override PartName="/word/charts/chart4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6.xml" ContentType="application/vnd.openxmlformats-officedocument.themeOverride+xml"/>
  <Override PartName="/word/charts/chart42.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7.xml" ContentType="application/vnd.openxmlformats-officedocument.themeOverride+xml"/>
  <Override PartName="/word/charts/chart4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4.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8.xml" ContentType="application/vnd.openxmlformats-officedocument.themeOverride+xml"/>
  <Override PartName="/word/charts/chart45.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9.xml" ContentType="application/vnd.openxmlformats-officedocument.themeOverride+xml"/>
  <Override PartName="/word/charts/chart46.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0.xml" ContentType="application/vnd.openxmlformats-officedocument.themeOverride+xml"/>
  <Override PartName="/word/charts/chart47.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11.xml" ContentType="application/vnd.openxmlformats-officedocument.themeOverride+xml"/>
  <Override PartName="/word/charts/chart48.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2.xml" ContentType="application/vnd.openxmlformats-officedocument.themeOverride+xml"/>
  <Override PartName="/word/charts/chart49.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3.xml" ContentType="application/vnd.openxmlformats-officedocument.themeOverride+xml"/>
  <Override PartName="/word/charts/chart50.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4.xml" ContentType="application/vnd.openxmlformats-officedocument.themeOverride+xml"/>
  <Override PartName="/word/charts/chart51.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5.xml" ContentType="application/vnd.openxmlformats-officedocument.themeOverride+xml"/>
  <Override PartName="/word/charts/chart52.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6.xml" ContentType="application/vnd.openxmlformats-officedocument.themeOverride+xml"/>
  <Override PartName="/word/charts/chart53.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17.xml" ContentType="application/vnd.openxmlformats-officedocument.themeOverride+xml"/>
  <Override PartName="/word/charts/chart54.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8.xml" ContentType="application/vnd.openxmlformats-officedocument.themeOverride+xml"/>
  <Override PartName="/word/charts/chart5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9.xml" ContentType="application/vnd.openxmlformats-officedocument.themeOverride+xml"/>
  <Override PartName="/word/charts/chart56.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7.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8.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9.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0.xml" ContentType="application/vnd.openxmlformats-officedocument.drawingml.chart+xml"/>
  <Override PartName="/word/charts/style51.xml" ContentType="application/vnd.ms-office.chartstyle+xml"/>
  <Override PartName="/word/charts/colors51.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386" w:displacedByCustomXml="next"/>
    <w:bookmarkEnd w:id="0" w:displacedByCustomXml="next"/>
    <w:sdt>
      <w:sdtPr>
        <w:id w:val="19569484"/>
        <w:docPartObj>
          <w:docPartGallery w:val="Cover Pages"/>
          <w:docPartUnique/>
        </w:docPartObj>
      </w:sdtPr>
      <w:sdtEndPr/>
      <w:sdtContent>
        <w:p w14:paraId="7157F042" w14:textId="5D1AA77F" w:rsidR="002758FD" w:rsidRDefault="00577795" w:rsidP="00FE641F">
          <w:r w:rsidRPr="00577795">
            <w:rPr>
              <w:noProof/>
            </w:rPr>
            <w:drawing>
              <wp:anchor distT="0" distB="0" distL="114300" distR="114300" simplePos="0" relativeHeight="251658240" behindDoc="0" locked="0" layoutInCell="1" allowOverlap="1" wp14:anchorId="62988AF3" wp14:editId="3EB066C4">
                <wp:simplePos x="0" y="0"/>
                <wp:positionH relativeFrom="page">
                  <wp:align>left</wp:align>
                </wp:positionH>
                <wp:positionV relativeFrom="page">
                  <wp:posOffset>0</wp:posOffset>
                </wp:positionV>
                <wp:extent cx="7562850" cy="107264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stretch>
                          <a:fillRect/>
                        </a:stretch>
                      </pic:blipFill>
                      <pic:spPr>
                        <a:xfrm>
                          <a:off x="0" y="0"/>
                          <a:ext cx="7562850" cy="10726420"/>
                        </a:xfrm>
                        <a:prstGeom prst="rect">
                          <a:avLst/>
                        </a:prstGeom>
                      </pic:spPr>
                    </pic:pic>
                  </a:graphicData>
                </a:graphic>
                <wp14:sizeRelH relativeFrom="page">
                  <wp14:pctWidth>0</wp14:pctWidth>
                </wp14:sizeRelH>
                <wp14:sizeRelV relativeFrom="page">
                  <wp14:pctHeight>0</wp14:pctHeight>
                </wp14:sizeRelV>
              </wp:anchor>
            </w:drawing>
          </w:r>
        </w:p>
        <w:p w14:paraId="4E8CC7AB" w14:textId="1135FCE7" w:rsidR="002758FD" w:rsidRDefault="002758FD" w:rsidP="00FE641F"/>
        <w:p w14:paraId="41AC0D84" w14:textId="77777777" w:rsidR="002758FD" w:rsidRDefault="002758FD" w:rsidP="00FE641F"/>
        <w:p w14:paraId="4ECDFF80" w14:textId="48EEDA85" w:rsidR="002758FD" w:rsidRPr="00327B84" w:rsidRDefault="002758FD" w:rsidP="003B35B0">
          <w:pPr>
            <w:pStyle w:val="Heading1"/>
          </w:pPr>
        </w:p>
        <w:p w14:paraId="0AC382E1" w14:textId="77777777" w:rsidR="009B2FC1" w:rsidRDefault="009B2FC1" w:rsidP="00FE641F"/>
        <w:p w14:paraId="0980B51A" w14:textId="28AE6BB0" w:rsidR="009B2FC1" w:rsidRDefault="009B2FC1" w:rsidP="00FE641F"/>
        <w:p w14:paraId="46660F7D" w14:textId="43B1C6FD" w:rsidR="007E1963" w:rsidRDefault="007E1963" w:rsidP="00FE641F"/>
        <w:p w14:paraId="03930F01" w14:textId="77777777" w:rsidR="007E1963" w:rsidRDefault="007E1963" w:rsidP="00FE641F"/>
        <w:p w14:paraId="22507452" w14:textId="7AC024B7" w:rsidR="00704446" w:rsidRPr="007E1963" w:rsidRDefault="00704446" w:rsidP="00FE641F">
          <w:pPr>
            <w:rPr>
              <w:b/>
            </w:rPr>
            <w:sectPr w:rsidR="00704446" w:rsidRPr="007E1963" w:rsidSect="00704446">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134" w:header="3969" w:footer="709" w:gutter="0"/>
              <w:pgNumType w:start="0"/>
              <w:cols w:space="708"/>
              <w:titlePg/>
              <w:docGrid w:linePitch="360"/>
            </w:sectPr>
          </w:pPr>
        </w:p>
        <w:p w14:paraId="6967CEED" w14:textId="32F159DB" w:rsidR="002758FD" w:rsidRPr="00BE1C55" w:rsidRDefault="002758FD" w:rsidP="003B35B0">
          <w:pPr>
            <w:pStyle w:val="Heading1"/>
            <w:rPr>
              <w:rStyle w:val="Heading2Char"/>
              <w:rFonts w:eastAsiaTheme="minorHAnsi" w:cstheme="minorBidi"/>
              <w:sz w:val="36"/>
              <w:szCs w:val="36"/>
            </w:rPr>
          </w:pPr>
          <w:bookmarkStart w:id="1" w:name="_Toc89441975"/>
          <w:bookmarkStart w:id="2" w:name="_Toc89442065"/>
          <w:bookmarkStart w:id="3" w:name="_Toc89892415"/>
          <w:bookmarkStart w:id="4" w:name="_Toc98852141"/>
          <w:r w:rsidRPr="00543FFA">
            <w:rPr>
              <w:rStyle w:val="Heading2Char"/>
              <w:rFonts w:eastAsiaTheme="minorHAnsi" w:cstheme="minorBidi"/>
              <w:b/>
              <w:sz w:val="36"/>
              <w:szCs w:val="36"/>
            </w:rPr>
            <w:lastRenderedPageBreak/>
            <w:t>Executive Summary</w:t>
          </w:r>
          <w:bookmarkEnd w:id="1"/>
          <w:bookmarkEnd w:id="2"/>
          <w:bookmarkEnd w:id="3"/>
          <w:bookmarkEnd w:id="4"/>
        </w:p>
        <w:p w14:paraId="3A3B5571" w14:textId="25C3F06B" w:rsidR="00577416" w:rsidRPr="00577416" w:rsidRDefault="00577416" w:rsidP="00FE641F">
          <w:pPr>
            <w:rPr>
              <w:color w:val="000000" w:themeColor="text1"/>
            </w:rPr>
          </w:pPr>
          <w:bookmarkStart w:id="5" w:name="_Toc506367601"/>
          <w:bookmarkStart w:id="6" w:name="_Toc506558709"/>
          <w:bookmarkStart w:id="7" w:name="_Toc506791788"/>
          <w:bookmarkStart w:id="8" w:name="_Toc508264515"/>
          <w:bookmarkStart w:id="9" w:name="_Toc508285902"/>
          <w:bookmarkStart w:id="10" w:name="_Toc508357736"/>
          <w:bookmarkStart w:id="11" w:name="_Toc508720932"/>
          <w:bookmarkStart w:id="12" w:name="_Toc530660177"/>
          <w:bookmarkStart w:id="13" w:name="_Toc530660347"/>
          <w:bookmarkStart w:id="14" w:name="_Toc532460854"/>
          <w:bookmarkStart w:id="15" w:name="_Toc1042645"/>
          <w:r w:rsidRPr="00577416">
            <w:rPr>
              <w:rFonts w:eastAsia="Times New Roman"/>
            </w:rPr>
            <w:t xml:space="preserve">The Renewables Obligation (RO) is a scheme that supports the deployment of large-scale renewable electricity generation in Great Britain (GB), and the deployment of large-scale, as well as smaller scale renewable electricity generation in Northern Ireland (NI). The scheme </w:t>
          </w:r>
          <w:r w:rsidRPr="00577416">
            <w:rPr>
              <w:color w:val="000000" w:themeColor="text1"/>
            </w:rPr>
            <w:t xml:space="preserve">is governed by three separate, but similar pieces of legislation: The Renewables Obligation England and Wales, the Renewables Obligation Scotland (ROS) and the Northern Ireland Renewables Obligation (NIRO). </w:t>
          </w:r>
          <w:r w:rsidRPr="00577416">
            <w:rPr>
              <w:rFonts w:eastAsia="Times New Roman"/>
            </w:rPr>
            <w:t>Each obligation period</w:t>
          </w:r>
          <w:r w:rsidR="00D830D2">
            <w:rPr>
              <w:rFonts w:eastAsia="Times New Roman"/>
            </w:rPr>
            <w:t>,</w:t>
          </w:r>
          <w:r w:rsidRPr="00577416">
            <w:rPr>
              <w:rFonts w:eastAsia="Times New Roman"/>
            </w:rPr>
            <w:t xml:space="preserve"> licensed electricity suppliers are required to present a specified number of Renewables Obligation Certificates (ROCs), in respect of each MWh of electricity supplied to customers. Those suppliers not presenting sufficient ROCs to fulfil their obligation are required to make a payment to cover the shortfall</w:t>
          </w:r>
          <w:r w:rsidR="00A37F23" w:rsidRPr="00577416">
            <w:rPr>
              <w:rFonts w:eastAsia="Times New Roman"/>
            </w:rPr>
            <w:t>.</w:t>
          </w:r>
          <w:r w:rsidRPr="00577416">
            <w:rPr>
              <w:rStyle w:val="FootnoteReference"/>
              <w:rFonts w:eastAsia="Times New Roman"/>
            </w:rPr>
            <w:footnoteReference w:id="2"/>
          </w:r>
          <w:r w:rsidRPr="00577416">
            <w:rPr>
              <w:rFonts w:eastAsia="Times New Roman"/>
            </w:rPr>
            <w:t xml:space="preserve"> This report covers scheme activity during the </w:t>
          </w:r>
          <w:r w:rsidR="00D830D2" w:rsidRPr="00577416">
            <w:rPr>
              <w:rFonts w:eastAsia="Times New Roman"/>
            </w:rPr>
            <w:t>20</w:t>
          </w:r>
          <w:r w:rsidR="00D830D2">
            <w:rPr>
              <w:rFonts w:eastAsia="Times New Roman"/>
            </w:rPr>
            <w:t>20</w:t>
          </w:r>
          <w:r w:rsidRPr="00577416">
            <w:rPr>
              <w:rFonts w:eastAsia="Times New Roman"/>
            </w:rPr>
            <w:t>-</w:t>
          </w:r>
          <w:r w:rsidR="00D830D2">
            <w:rPr>
              <w:rFonts w:eastAsia="Times New Roman"/>
            </w:rPr>
            <w:t>21</w:t>
          </w:r>
          <w:r w:rsidRPr="00577416">
            <w:rPr>
              <w:rFonts w:eastAsia="Times New Roman"/>
            </w:rPr>
            <w:t xml:space="preserve"> obligation period (1 April 20</w:t>
          </w:r>
          <w:r>
            <w:rPr>
              <w:rFonts w:eastAsia="Times New Roman"/>
            </w:rPr>
            <w:t>20</w:t>
          </w:r>
          <w:r w:rsidRPr="00577416">
            <w:rPr>
              <w:rFonts w:eastAsia="Times New Roman"/>
            </w:rPr>
            <w:t xml:space="preserve"> – 31 March 202</w:t>
          </w:r>
          <w:r>
            <w:rPr>
              <w:rFonts w:eastAsia="Times New Roman"/>
            </w:rPr>
            <w:t>1</w:t>
          </w:r>
          <w:r w:rsidRPr="00577416">
            <w:rPr>
              <w:rFonts w:eastAsia="Times New Roman"/>
            </w:rPr>
            <w:t>).</w:t>
          </w:r>
        </w:p>
        <w:p w14:paraId="71F4A148" w14:textId="77777777" w:rsidR="006F392C" w:rsidRDefault="006F392C" w:rsidP="003B35B0">
          <w:pPr>
            <w:pStyle w:val="Heading3"/>
            <w:rPr>
              <w:rFonts w:eastAsia="Times New Roman"/>
            </w:rPr>
          </w:pPr>
          <w:bookmarkStart w:id="16" w:name="_Toc92465933"/>
          <w:bookmarkStart w:id="17" w:name="_Toc94003007"/>
          <w:bookmarkStart w:id="18" w:name="_Hlk98432924"/>
          <w:bookmarkEnd w:id="5"/>
          <w:bookmarkEnd w:id="6"/>
          <w:bookmarkEnd w:id="7"/>
          <w:bookmarkEnd w:id="8"/>
          <w:bookmarkEnd w:id="9"/>
          <w:bookmarkEnd w:id="10"/>
          <w:bookmarkEnd w:id="11"/>
          <w:bookmarkEnd w:id="12"/>
          <w:bookmarkEnd w:id="13"/>
          <w:bookmarkEnd w:id="14"/>
          <w:bookmarkEnd w:id="15"/>
          <w:r w:rsidRPr="006F392C">
            <w:rPr>
              <w:rFonts w:eastAsia="Times New Roman"/>
            </w:rPr>
            <w:t>ROCs issued and renewable generation</w:t>
          </w:r>
          <w:bookmarkStart w:id="19" w:name="_Toc3276323"/>
          <w:bookmarkStart w:id="20" w:name="_Toc21962780"/>
          <w:bookmarkStart w:id="21" w:name="_Toc22743436"/>
          <w:bookmarkStart w:id="22" w:name="_Toc26958289"/>
          <w:bookmarkStart w:id="23" w:name="_Toc29893075"/>
          <w:bookmarkStart w:id="24" w:name="_Toc29893515"/>
          <w:bookmarkStart w:id="25" w:name="_Toc29894176"/>
          <w:bookmarkStart w:id="26" w:name="_Toc62337071"/>
          <w:bookmarkStart w:id="27" w:name="_Toc64039843"/>
          <w:bookmarkStart w:id="28" w:name="_Toc64040991"/>
          <w:bookmarkStart w:id="29" w:name="_Toc64493523"/>
          <w:bookmarkEnd w:id="16"/>
          <w:bookmarkEnd w:id="17"/>
        </w:p>
        <w:p w14:paraId="2829A375" w14:textId="2C45236D" w:rsidR="006F392C" w:rsidRPr="006F392C" w:rsidRDefault="006F392C" w:rsidP="00FE641F">
          <w:pPr>
            <w:rPr>
              <w:rFonts w:eastAsia="Times New Roman" w:cstheme="majorBidi"/>
              <w:color w:val="004125"/>
              <w:sz w:val="24"/>
              <w:szCs w:val="24"/>
              <w:highlight w:val="yellow"/>
            </w:rPr>
          </w:pPr>
          <w:r w:rsidRPr="006F392C">
            <w:rPr>
              <w:rFonts w:eastAsia="Times New Roman"/>
            </w:rPr>
            <w:t>In 2020-21, we issued 109.</w:t>
          </w:r>
          <w:r w:rsidR="0036008D">
            <w:rPr>
              <w:rFonts w:eastAsia="Times New Roman"/>
            </w:rPr>
            <w:t>25</w:t>
          </w:r>
          <w:r w:rsidRPr="006F392C">
            <w:rPr>
              <w:rFonts w:eastAsia="Times New Roman"/>
            </w:rPr>
            <w:t xml:space="preserve"> million ROCs to renewable generating stations. This ROC issue represents 80.3</w:t>
          </w:r>
          <w:r w:rsidR="0036008D">
            <w:rPr>
              <w:rFonts w:eastAsia="Times New Roman"/>
            </w:rPr>
            <w:t>5</w:t>
          </w:r>
          <w:r w:rsidRPr="006F392C">
            <w:rPr>
              <w:rFonts w:eastAsia="Times New Roman"/>
            </w:rPr>
            <w:t xml:space="preserve"> </w:t>
          </w:r>
          <w:proofErr w:type="spellStart"/>
          <w:r w:rsidRPr="006F392C">
            <w:rPr>
              <w:rFonts w:eastAsia="Times New Roman"/>
            </w:rPr>
            <w:t>TWh</w:t>
          </w:r>
          <w:proofErr w:type="spellEnd"/>
          <w:r w:rsidRPr="006F392C">
            <w:rPr>
              <w:rFonts w:eastAsia="Times New Roman"/>
            </w:rPr>
            <w:t xml:space="preserve"> of renewable electricity generation</w:t>
          </w:r>
          <w:r w:rsidR="0036720A">
            <w:rPr>
              <w:rFonts w:eastAsia="Times New Roman"/>
            </w:rPr>
            <w:t xml:space="preserve">. This </w:t>
          </w:r>
          <w:r w:rsidR="004655F2">
            <w:rPr>
              <w:rFonts w:eastAsia="Times New Roman"/>
            </w:rPr>
            <w:t>generation</w:t>
          </w:r>
          <w:r w:rsidR="0036720A">
            <w:rPr>
              <w:rFonts w:eastAsia="Times New Roman"/>
            </w:rPr>
            <w:t xml:space="preserve"> is </w:t>
          </w:r>
          <w:r w:rsidRPr="006F392C">
            <w:rPr>
              <w:rFonts w:eastAsia="Times New Roman"/>
            </w:rPr>
            <w:t>a decrease of 5.4% from last year</w:t>
          </w:r>
          <w:r w:rsidR="0036720A">
            <w:rPr>
              <w:rFonts w:eastAsia="Times New Roman"/>
            </w:rPr>
            <w:t xml:space="preserve"> but </w:t>
          </w:r>
          <w:r w:rsidR="008A708B">
            <w:rPr>
              <w:rFonts w:eastAsia="Times New Roman"/>
            </w:rPr>
            <w:t xml:space="preserve">mirrors </w:t>
          </w:r>
          <w:r w:rsidR="004655F2">
            <w:rPr>
              <w:rFonts w:eastAsia="Times New Roman"/>
            </w:rPr>
            <w:t>a</w:t>
          </w:r>
          <w:r w:rsidR="008A708B">
            <w:rPr>
              <w:rFonts w:eastAsia="Times New Roman"/>
            </w:rPr>
            <w:t xml:space="preserve"> reduction </w:t>
          </w:r>
          <w:r w:rsidR="002C6C8A">
            <w:rPr>
              <w:rFonts w:eastAsia="Times New Roman"/>
            </w:rPr>
            <w:t xml:space="preserve">in </w:t>
          </w:r>
          <w:r w:rsidR="008A708B">
            <w:rPr>
              <w:rFonts w:eastAsia="Times New Roman"/>
            </w:rPr>
            <w:t>total UK electricity supply between 2019-20 and 2020-21, which fell by 5.</w:t>
          </w:r>
          <w:r w:rsidR="004655F2">
            <w:rPr>
              <w:rFonts w:eastAsia="Times New Roman"/>
            </w:rPr>
            <w:t>8</w:t>
          </w:r>
          <w:r w:rsidR="008A708B">
            <w:rPr>
              <w:rFonts w:eastAsia="Times New Roman"/>
            </w:rPr>
            <w:t>%.</w:t>
          </w:r>
          <w:r w:rsidRPr="006F392C">
            <w:rPr>
              <w:rFonts w:eastAsia="Times New Roman"/>
            </w:rPr>
            <w:t xml:space="preserve"> </w:t>
          </w:r>
          <w:r w:rsidR="004655F2">
            <w:rPr>
              <w:rFonts w:eastAsia="Times New Roman"/>
            </w:rPr>
            <w:t>Consequently e</w:t>
          </w:r>
          <w:r w:rsidR="002C6C8A">
            <w:rPr>
              <w:rFonts w:eastAsia="Times New Roman"/>
            </w:rPr>
            <w:t xml:space="preserve">lectricity generation under the RO </w:t>
          </w:r>
          <w:r w:rsidR="004655F2">
            <w:rPr>
              <w:rFonts w:eastAsia="Times New Roman"/>
            </w:rPr>
            <w:t xml:space="preserve">rose to the </w:t>
          </w:r>
          <w:r w:rsidRPr="006F392C">
            <w:rPr>
              <w:rFonts w:eastAsia="Times New Roman"/>
            </w:rPr>
            <w:t xml:space="preserve">equivalent </w:t>
          </w:r>
          <w:r w:rsidR="004655F2">
            <w:rPr>
              <w:rFonts w:eastAsia="Times New Roman"/>
            </w:rPr>
            <w:t>of</w:t>
          </w:r>
          <w:r w:rsidRPr="006F392C">
            <w:rPr>
              <w:rFonts w:eastAsia="Times New Roman"/>
            </w:rPr>
            <w:t xml:space="preserve"> 31.2% of total electricity suppl</w:t>
          </w:r>
          <w:r w:rsidR="005F6D21">
            <w:rPr>
              <w:rFonts w:eastAsia="Times New Roman"/>
            </w:rPr>
            <w:t xml:space="preserve">ied </w:t>
          </w:r>
          <w:r w:rsidR="004655F2" w:rsidRPr="006F392C">
            <w:rPr>
              <w:rFonts w:eastAsia="Times New Roman"/>
            </w:rPr>
            <w:t>in the UK</w:t>
          </w:r>
          <w:r w:rsidR="004655F2">
            <w:rPr>
              <w:rFonts w:eastAsia="Times New Roman"/>
            </w:rPr>
            <w:t xml:space="preserve"> </w:t>
          </w:r>
          <w:r w:rsidR="002C6C8A">
            <w:rPr>
              <w:rFonts w:eastAsia="Times New Roman"/>
            </w:rPr>
            <w:t>during</w:t>
          </w:r>
          <w:r w:rsidR="005F6D21">
            <w:rPr>
              <w:rFonts w:eastAsia="Times New Roman"/>
            </w:rPr>
            <w:t xml:space="preserve"> </w:t>
          </w:r>
          <w:r w:rsidR="005F6D21" w:rsidRPr="006F392C">
            <w:rPr>
              <w:rFonts w:eastAsia="Times New Roman"/>
            </w:rPr>
            <w:t>2020-21</w:t>
          </w:r>
          <w:r w:rsidRPr="006F392C">
            <w:rPr>
              <w:rFonts w:eastAsia="Times New Roman"/>
            </w:rPr>
            <w:t xml:space="preserve">. </w:t>
          </w:r>
          <w:r w:rsidR="00144452" w:rsidRPr="00144452">
            <w:rPr>
              <w:rFonts w:eastAsia="Times New Roman"/>
            </w:rPr>
            <w:t xml:space="preserve">All technology types saw a decrease in ROC issue compared to 2019-20. The largest drop in ROCs issued was </w:t>
          </w:r>
          <w:r w:rsidR="001127BF">
            <w:rPr>
              <w:rFonts w:eastAsia="Times New Roman"/>
            </w:rPr>
            <w:t>a</w:t>
          </w:r>
          <w:r w:rsidR="00144452" w:rsidRPr="00144452">
            <w:rPr>
              <w:rFonts w:eastAsia="Times New Roman"/>
            </w:rPr>
            <w:t xml:space="preserve"> 10.4% decrease to onshore wind installations. ROCs issued to Solar PV installations experienced the smallest drop, a decrease of 0.3%. </w:t>
          </w:r>
        </w:p>
        <w:p w14:paraId="5D453C68" w14:textId="6895928C" w:rsidR="00577416" w:rsidRPr="006F392C" w:rsidRDefault="006F392C">
          <w:pPr>
            <w:pStyle w:val="Heading3"/>
            <w:rPr>
              <w:rFonts w:eastAsia="Times New Roman"/>
            </w:rPr>
          </w:pPr>
          <w:bookmarkStart w:id="30" w:name="_Toc89892416"/>
          <w:bookmarkStart w:id="31" w:name="_Toc90552021"/>
          <w:bookmarkStart w:id="32" w:name="_Toc92465934"/>
          <w:bookmarkStart w:id="33" w:name="_Toc94003008"/>
          <w:bookmarkStart w:id="34" w:name="_Hlk93917950"/>
          <w:bookmarkEnd w:id="19"/>
          <w:bookmarkEnd w:id="20"/>
          <w:bookmarkEnd w:id="21"/>
          <w:bookmarkEnd w:id="22"/>
          <w:bookmarkEnd w:id="23"/>
          <w:bookmarkEnd w:id="24"/>
          <w:bookmarkEnd w:id="25"/>
          <w:bookmarkEnd w:id="26"/>
          <w:bookmarkEnd w:id="27"/>
          <w:bookmarkEnd w:id="28"/>
          <w:bookmarkEnd w:id="29"/>
          <w:r w:rsidRPr="006F392C">
            <w:rPr>
              <w:rFonts w:eastAsia="Times New Roman"/>
            </w:rPr>
            <w:t>Biomass Sustainability</w:t>
          </w:r>
          <w:bookmarkEnd w:id="30"/>
          <w:bookmarkEnd w:id="31"/>
          <w:bookmarkEnd w:id="32"/>
          <w:bookmarkEnd w:id="33"/>
        </w:p>
        <w:p w14:paraId="31B30B8B" w14:textId="02332D48" w:rsidR="00973C32" w:rsidRDefault="006F392C" w:rsidP="00FE641F">
          <w:bookmarkStart w:id="35" w:name="_Toc62337072"/>
          <w:bookmarkStart w:id="36" w:name="_Toc64039844"/>
          <w:bookmarkStart w:id="37" w:name="_Toc64040992"/>
          <w:bookmarkStart w:id="38" w:name="_Toc64493524"/>
          <w:r w:rsidRPr="006F392C">
            <w:t xml:space="preserve">In the 2020-21 obligation period, 350 fuelled generating stations were required to report their biomass fuels against the land and greenhouse gas </w:t>
          </w:r>
          <w:r w:rsidR="00973C32">
            <w:t xml:space="preserve">(GHG) </w:t>
          </w:r>
          <w:r w:rsidRPr="006F392C">
            <w:t>emissions criteria, collectively known as the sustainability criteria</w:t>
          </w:r>
          <w:r w:rsidR="009773DC" w:rsidRPr="006F392C">
            <w:t>.</w:t>
          </w:r>
          <w:r w:rsidR="001F7286">
            <w:rPr>
              <w:rStyle w:val="FootnoteReference"/>
            </w:rPr>
            <w:footnoteReference w:id="3"/>
          </w:r>
          <w:r w:rsidR="009773DC">
            <w:t xml:space="preserve"> </w:t>
          </w:r>
          <w:r w:rsidRPr="006F392C">
            <w:t>Compliance with the sustainability criteria is a requirement for ROC issue for the 13</w:t>
          </w:r>
          <w:r w:rsidR="00204BA1">
            <w:t>1</w:t>
          </w:r>
          <w:r w:rsidRPr="006F392C">
            <w:t xml:space="preserve"> bioliquid and solid biomass or biogas stations greater than 1</w:t>
          </w:r>
          <w:r w:rsidR="00032947">
            <w:t xml:space="preserve"> </w:t>
          </w:r>
          <w:r w:rsidRPr="006F392C">
            <w:t>MW Total Installed Capacity (TIC). Compliance with the sustainability criteria is not linked to ROC issue for the remaining 21</w:t>
          </w:r>
          <w:r w:rsidR="00204BA1">
            <w:t>9</w:t>
          </w:r>
          <w:r w:rsidRPr="006F392C">
            <w:t xml:space="preserve"> solid biomass and biogas stations </w:t>
          </w:r>
          <w:r w:rsidR="006D5A9E">
            <w:t xml:space="preserve">that are </w:t>
          </w:r>
          <w:r w:rsidRPr="006F392C">
            <w:t>smaller than 1</w:t>
          </w:r>
          <w:r w:rsidR="00032947">
            <w:t xml:space="preserve"> </w:t>
          </w:r>
          <w:r w:rsidRPr="006F392C">
            <w:t>MW TIC.</w:t>
          </w:r>
        </w:p>
        <w:p w14:paraId="2A62DBC9" w14:textId="78C6CA22" w:rsidR="006F392C" w:rsidRDefault="00973C32" w:rsidP="00FE641F">
          <w:r>
            <w:lastRenderedPageBreak/>
            <w:t xml:space="preserve">There were no fuel consignments that failed to meet the land use criteria during 2020-21. In total </w:t>
          </w:r>
          <w:r w:rsidR="00204BA1">
            <w:t>4</w:t>
          </w:r>
          <w:r>
            <w:t xml:space="preserve">9 consignments failed to meet the GHG emissions criteria in comparison to </w:t>
          </w:r>
          <w:r w:rsidR="00EC4ED0">
            <w:t>five</w:t>
          </w:r>
          <w:r>
            <w:t xml:space="preserve"> during 2019-20. The increase in consignments not meeting GHG emissions criteria can be attributed to </w:t>
          </w:r>
          <w:r w:rsidR="00A37F23">
            <w:t>more stringent</w:t>
          </w:r>
          <w:r>
            <w:t xml:space="preserve"> GHG emissions thresholds, which came into effect from 1 April 2020. </w:t>
          </w:r>
          <w:bookmarkStart w:id="39" w:name="_Hlk94264253"/>
          <w:r>
            <w:t xml:space="preserve">However, the proportion failing to meet the criteria is very small against </w:t>
          </w:r>
          <w:r w:rsidR="00B924EC">
            <w:t>the</w:t>
          </w:r>
          <w:r>
            <w:t xml:space="preserve"> total </w:t>
          </w:r>
          <w:r w:rsidR="00B85F3E">
            <w:t xml:space="preserve">number </w:t>
          </w:r>
          <w:r>
            <w:t>of consignments reported during 2020-21.</w:t>
          </w:r>
          <w:r w:rsidR="006F392C" w:rsidRPr="006F392C">
            <w:t xml:space="preserve"> </w:t>
          </w:r>
          <w:bookmarkEnd w:id="39"/>
        </w:p>
        <w:p w14:paraId="4BF99925" w14:textId="144C18F0" w:rsidR="00577416" w:rsidRPr="006F392C" w:rsidRDefault="006F392C">
          <w:pPr>
            <w:pStyle w:val="Heading3"/>
            <w:rPr>
              <w:rFonts w:eastAsia="Times New Roman"/>
            </w:rPr>
          </w:pPr>
          <w:bookmarkStart w:id="40" w:name="_Toc89892417"/>
          <w:bookmarkStart w:id="41" w:name="_Toc90552022"/>
          <w:bookmarkStart w:id="42" w:name="_Toc92465935"/>
          <w:bookmarkStart w:id="43" w:name="_Toc94003009"/>
          <w:bookmarkEnd w:id="34"/>
          <w:bookmarkEnd w:id="35"/>
          <w:bookmarkEnd w:id="36"/>
          <w:bookmarkEnd w:id="37"/>
          <w:bookmarkEnd w:id="38"/>
          <w:r w:rsidRPr="006F392C">
            <w:rPr>
              <w:rFonts w:eastAsia="Times New Roman"/>
            </w:rPr>
            <w:t>Compliance by licensed suppliers</w:t>
          </w:r>
          <w:bookmarkEnd w:id="40"/>
          <w:bookmarkEnd w:id="41"/>
          <w:bookmarkEnd w:id="42"/>
          <w:bookmarkEnd w:id="43"/>
        </w:p>
        <w:p w14:paraId="0B10F6E2" w14:textId="2A4FFE0A" w:rsidR="006F392C" w:rsidRPr="006F392C" w:rsidRDefault="006F392C" w:rsidP="00FE641F">
          <w:bookmarkStart w:id="44" w:name="_Toc62337073"/>
          <w:bookmarkStart w:id="45" w:name="_Toc64039845"/>
          <w:bookmarkStart w:id="46" w:name="_Toc64040993"/>
          <w:bookmarkStart w:id="47" w:name="_Toc64493525"/>
          <w:r w:rsidRPr="006F392C">
            <w:t xml:space="preserve">In 2020-21, suppliers presented 105.26 million ROCs towards the total UK obligation of 119.09 million ROCs. </w:t>
          </w:r>
          <w:r w:rsidR="001119A3" w:rsidRPr="006F392C">
            <w:t>Each ROC was notionally worth £54.47, giving a scheme value of approximately £5.73 billion.</w:t>
          </w:r>
          <w:r w:rsidR="001119A3">
            <w:t xml:space="preserve"> Suppliers</w:t>
          </w:r>
          <w:r w:rsidRPr="006F392C">
            <w:t xml:space="preserve"> who do not meet their obligation through presenting ROCs by the deadline of 1 September are required to make up the shortfall by making payments into the buy-out fund no later than 31 August. Where this payment deadline is missed</w:t>
          </w:r>
          <w:r w:rsidR="00C63BF0">
            <w:t>,</w:t>
          </w:r>
          <w:r w:rsidRPr="006F392C">
            <w:t xml:space="preserve"> suppliers have not met their obligations on time and are required to fulfil any remaining part of their obligation by paying into</w:t>
          </w:r>
          <w:r w:rsidR="00F95A22">
            <w:t xml:space="preserve"> the</w:t>
          </w:r>
          <w:r w:rsidRPr="006F392C">
            <w:t xml:space="preserve"> late payment fund by 31 October. The payments collected resulted in £465.9 million being redistributed to eligible suppliers from the buy-out fund and late payment funds. This was substantially less than the £654.6 million redistributed in 2019-20. </w:t>
          </w:r>
        </w:p>
        <w:p w14:paraId="0915AB04" w14:textId="2FE7A0A6" w:rsidR="006F392C" w:rsidRDefault="003F32B9" w:rsidP="00FE641F">
          <w:r>
            <w:t>Twenty-eight</w:t>
          </w:r>
          <w:r w:rsidR="006F392C" w:rsidRPr="006F392C">
            <w:t xml:space="preserve"> suppliers did not </w:t>
          </w:r>
          <w:r>
            <w:t xml:space="preserve">submit ROCs or make payments sufficient to </w:t>
          </w:r>
          <w:r w:rsidR="006F392C" w:rsidRPr="006F392C">
            <w:t>meet their obligations</w:t>
          </w:r>
          <w:r>
            <w:t>. This</w:t>
          </w:r>
          <w:r w:rsidR="006F392C" w:rsidRPr="006F392C">
            <w:t xml:space="preserve"> result</w:t>
          </w:r>
          <w:r>
            <w:t>ed</w:t>
          </w:r>
          <w:r w:rsidR="006F392C" w:rsidRPr="006F392C">
            <w:t xml:space="preserve"> in a shortfall of £218.3 million (excluding interest) in the buy-out/late payment funds as of the late payment deadline of 31 October 2021. </w:t>
          </w:r>
          <w:r w:rsidR="00204BA1">
            <w:t>This resulted in</w:t>
          </w:r>
          <w:r>
            <w:t xml:space="preserve"> </w:t>
          </w:r>
          <w:r w:rsidRPr="006F392C">
            <w:t xml:space="preserve"> </w:t>
          </w:r>
          <w:r w:rsidR="006F392C" w:rsidRPr="006F392C">
            <w:t xml:space="preserve">mutualisation </w:t>
          </w:r>
          <w:r w:rsidR="00204BA1">
            <w:t>being</w:t>
          </w:r>
          <w:r w:rsidRPr="006F392C">
            <w:t xml:space="preserve"> </w:t>
          </w:r>
          <w:r w:rsidR="006F392C" w:rsidRPr="006F392C">
            <w:t xml:space="preserve">triggered on the RO and ROS for the fourth successive year. </w:t>
          </w:r>
        </w:p>
        <w:p w14:paraId="3067872D" w14:textId="640ABCB2" w:rsidR="00973C32" w:rsidRDefault="00973C32" w:rsidP="00FE641F">
          <w:r>
            <w:t xml:space="preserve">We </w:t>
          </w:r>
          <w:r w:rsidR="00A746D0">
            <w:t xml:space="preserve">also conduct </w:t>
          </w:r>
          <w:r w:rsidR="00BE1C55">
            <w:rPr>
              <w:rFonts w:cs="Calibri"/>
            </w:rPr>
            <w:t>s</w:t>
          </w:r>
          <w:r w:rsidR="00A746D0" w:rsidRPr="00AC0ADA">
            <w:rPr>
              <w:rFonts w:cs="Calibri"/>
            </w:rPr>
            <w:t xml:space="preserve">upplier audits each year to </w:t>
          </w:r>
          <w:r w:rsidR="00204BA1" w:rsidRPr="00AC0ADA">
            <w:rPr>
              <w:rFonts w:cs="Calibri"/>
            </w:rPr>
            <w:t xml:space="preserve">ensure suppliers’ internal processes are robust </w:t>
          </w:r>
          <w:r w:rsidR="00204BA1">
            <w:rPr>
              <w:rFonts w:cs="Calibri"/>
            </w:rPr>
            <w:t xml:space="preserve"> and to </w:t>
          </w:r>
          <w:r w:rsidR="00A746D0" w:rsidRPr="00AC0ADA">
            <w:rPr>
              <w:rFonts w:cs="Calibri"/>
            </w:rPr>
            <w:t>gain assurance on the accuracy of the electricity figures submitted to us</w:t>
          </w:r>
          <w:r w:rsidR="00A746D0">
            <w:rPr>
              <w:rFonts w:cs="Calibri"/>
            </w:rPr>
            <w:t>. Of the four supplier audits conducted during 2020-21</w:t>
          </w:r>
          <w:r w:rsidR="009773DC">
            <w:rPr>
              <w:rFonts w:cs="Calibri"/>
            </w:rPr>
            <w:t>,</w:t>
          </w:r>
          <w:r w:rsidR="00A746D0">
            <w:rPr>
              <w:rFonts w:cs="Calibri"/>
            </w:rPr>
            <w:t xml:space="preserve"> </w:t>
          </w:r>
          <w:r w:rsidR="00D45B72">
            <w:t>three</w:t>
          </w:r>
          <w:r w:rsidRPr="006F392C">
            <w:t xml:space="preserve"> were rated either ‘</w:t>
          </w:r>
          <w:r>
            <w:t>G</w:t>
          </w:r>
          <w:r w:rsidRPr="006F392C">
            <w:t>ood' or ‘</w:t>
          </w:r>
          <w:r>
            <w:t>S</w:t>
          </w:r>
          <w:r w:rsidRPr="006F392C">
            <w:t>atisfactory’</w:t>
          </w:r>
          <w:r w:rsidR="00A746D0">
            <w:t>, with the remaining audit rated as ‘Weak’.</w:t>
          </w:r>
        </w:p>
        <w:p w14:paraId="418CB87D" w14:textId="5E8AD1CC" w:rsidR="00577416" w:rsidRPr="006F392C" w:rsidRDefault="006F392C">
          <w:pPr>
            <w:pStyle w:val="Heading3"/>
            <w:rPr>
              <w:rFonts w:eastAsia="Times New Roman"/>
            </w:rPr>
          </w:pPr>
          <w:bookmarkStart w:id="48" w:name="_Toc89892418"/>
          <w:bookmarkStart w:id="49" w:name="_Toc90552023"/>
          <w:bookmarkStart w:id="50" w:name="_Toc92465936"/>
          <w:bookmarkStart w:id="51" w:name="_Toc94003010"/>
          <w:bookmarkEnd w:id="44"/>
          <w:bookmarkEnd w:id="45"/>
          <w:bookmarkEnd w:id="46"/>
          <w:bookmarkEnd w:id="47"/>
          <w:r w:rsidRPr="006F392C">
            <w:rPr>
              <w:rFonts w:eastAsia="Times New Roman"/>
            </w:rPr>
            <w:t>Compliance of RO generators</w:t>
          </w:r>
          <w:bookmarkEnd w:id="48"/>
          <w:bookmarkEnd w:id="49"/>
          <w:bookmarkEnd w:id="50"/>
          <w:bookmarkEnd w:id="51"/>
        </w:p>
        <w:p w14:paraId="59211587" w14:textId="274F06F1" w:rsidR="002544D1" w:rsidRDefault="006F392C" w:rsidP="00FE641F">
          <w:bookmarkStart w:id="52" w:name="_Toc62337074"/>
          <w:bookmarkStart w:id="53" w:name="_Toc64039846"/>
          <w:bookmarkStart w:id="54" w:name="_Toc64040994"/>
          <w:bookmarkStart w:id="55" w:name="_Toc64493526"/>
          <w:r w:rsidRPr="006F392C">
            <w:t xml:space="preserve">The 2020-21 audit programme consisted of </w:t>
          </w:r>
          <w:r w:rsidR="002544D1">
            <w:t xml:space="preserve">83 targeted and 391 statistical </w:t>
          </w:r>
          <w:r w:rsidRPr="006F392C">
            <w:t>generator audits being conducted on stations in the UK</w:t>
          </w:r>
          <w:r w:rsidR="002544D1">
            <w:t>.</w:t>
          </w:r>
          <w:r w:rsidRPr="006F392C">
            <w:t xml:space="preserve"> </w:t>
          </w:r>
          <w:bookmarkStart w:id="56" w:name="_Hlk97730626"/>
          <w:r w:rsidR="002544D1">
            <w:t xml:space="preserve">This was the first year </w:t>
          </w:r>
          <w:r w:rsidR="007D43FF">
            <w:t xml:space="preserve">in which </w:t>
          </w:r>
          <w:r w:rsidR="002544D1">
            <w:t>statistical audits have been conducted on the RO. Overall, 64% of targeted audits and 78% of statistical audits were rated as being either ‘Weak’ or ‘Unsatisfactory’</w:t>
          </w:r>
          <w:r w:rsidRPr="006F392C">
            <w:t>.</w:t>
          </w:r>
          <w:r w:rsidR="002544D1">
            <w:t xml:space="preserve"> A high level of non-compliance is expected for targeted audits as they focus on known risk areas. However, the </w:t>
          </w:r>
          <w:r w:rsidR="006A2DF7" w:rsidRPr="008B545B">
            <w:rPr>
              <w:rFonts w:cs="Calibri"/>
            </w:rPr>
            <w:t xml:space="preserve">proportion of </w:t>
          </w:r>
          <w:r w:rsidR="006A2DF7">
            <w:rPr>
              <w:rFonts w:cs="Calibri"/>
            </w:rPr>
            <w:t xml:space="preserve">statistical </w:t>
          </w:r>
          <w:r w:rsidR="006A2DF7" w:rsidRPr="008B545B">
            <w:rPr>
              <w:rFonts w:cs="Calibri"/>
            </w:rPr>
            <w:t xml:space="preserve">audits </w:t>
          </w:r>
          <w:r w:rsidR="006A2DF7">
            <w:rPr>
              <w:rFonts w:cs="Calibri"/>
            </w:rPr>
            <w:t xml:space="preserve">which </w:t>
          </w:r>
          <w:r w:rsidR="006A2DF7" w:rsidRPr="008B545B">
            <w:rPr>
              <w:rFonts w:cs="Calibri"/>
            </w:rPr>
            <w:t>earned the rating of ‘</w:t>
          </w:r>
          <w:r w:rsidR="006A2DF7">
            <w:rPr>
              <w:rFonts w:cs="Calibri"/>
            </w:rPr>
            <w:t>W</w:t>
          </w:r>
          <w:r w:rsidR="006A2DF7" w:rsidRPr="008B545B">
            <w:rPr>
              <w:rFonts w:cs="Calibri"/>
            </w:rPr>
            <w:t>eak’</w:t>
          </w:r>
          <w:r w:rsidR="006A2DF7" w:rsidRPr="001D6C95">
            <w:rPr>
              <w:rFonts w:cs="Calibri"/>
            </w:rPr>
            <w:t xml:space="preserve"> </w:t>
          </w:r>
          <w:r w:rsidR="006A2DF7">
            <w:rPr>
              <w:rFonts w:cs="Calibri"/>
            </w:rPr>
            <w:t>was</w:t>
          </w:r>
          <w:r w:rsidR="006A2DF7" w:rsidRPr="008B545B">
            <w:rPr>
              <w:rFonts w:cs="Calibri"/>
            </w:rPr>
            <w:t xml:space="preserve"> higher than expected</w:t>
          </w:r>
          <w:r w:rsidR="006A2DF7">
            <w:rPr>
              <w:rFonts w:cs="Calibri"/>
            </w:rPr>
            <w:t xml:space="preserve">. </w:t>
          </w:r>
          <w:r w:rsidR="006A2DF7" w:rsidRPr="008B545B">
            <w:rPr>
              <w:rFonts w:cs="Calibri"/>
            </w:rPr>
            <w:t xml:space="preserve">This </w:t>
          </w:r>
          <w:r w:rsidR="006A2DF7">
            <w:rPr>
              <w:rFonts w:cs="Calibri"/>
            </w:rPr>
            <w:t xml:space="preserve">predominantly </w:t>
          </w:r>
          <w:r w:rsidR="006A2DF7" w:rsidRPr="008B545B">
            <w:rPr>
              <w:rFonts w:cs="Calibri"/>
            </w:rPr>
            <w:t>occurred in audits of generating stations which</w:t>
          </w:r>
          <w:r w:rsidR="006A2DF7">
            <w:rPr>
              <w:rFonts w:cs="Calibri"/>
            </w:rPr>
            <w:t xml:space="preserve"> were</w:t>
          </w:r>
          <w:r w:rsidR="006A2DF7" w:rsidRPr="008B545B">
            <w:rPr>
              <w:rFonts w:cs="Calibri"/>
            </w:rPr>
            <w:t xml:space="preserve"> commissioned either before the commencement</w:t>
          </w:r>
          <w:r w:rsidR="006A2DF7">
            <w:rPr>
              <w:rFonts w:cs="Calibri"/>
            </w:rPr>
            <w:t>,</w:t>
          </w:r>
          <w:r w:rsidR="006A2DF7" w:rsidRPr="008B545B">
            <w:rPr>
              <w:rFonts w:cs="Calibri"/>
            </w:rPr>
            <w:t xml:space="preserve"> or in the initial years</w:t>
          </w:r>
          <w:r w:rsidR="007D43FF">
            <w:rPr>
              <w:rFonts w:cs="Calibri"/>
            </w:rPr>
            <w:t>,</w:t>
          </w:r>
          <w:r w:rsidR="006A2DF7" w:rsidRPr="008B545B">
            <w:rPr>
              <w:rFonts w:cs="Calibri"/>
            </w:rPr>
            <w:t xml:space="preserve"> of the </w:t>
          </w:r>
          <w:r w:rsidR="006A2DF7">
            <w:rPr>
              <w:rFonts w:cs="Calibri"/>
            </w:rPr>
            <w:t xml:space="preserve">RO </w:t>
          </w:r>
          <w:r w:rsidR="006A2DF7" w:rsidRPr="008B545B">
            <w:rPr>
              <w:rFonts w:cs="Calibri"/>
            </w:rPr>
            <w:t>scheme</w:t>
          </w:r>
          <w:r w:rsidR="006A2DF7">
            <w:rPr>
              <w:rFonts w:cs="Calibri"/>
            </w:rPr>
            <w:t>. These stations were found to have additional challenges providing some of the required evidence, particularly in relation to commissioning.</w:t>
          </w:r>
        </w:p>
        <w:p w14:paraId="0648AC90" w14:textId="2F2B40FE" w:rsidR="00BB2566" w:rsidRDefault="00BB2566" w:rsidP="00FE641F">
          <w:r>
            <w:lastRenderedPageBreak/>
            <w:t xml:space="preserve">In addition to the generator audits we also conducted </w:t>
          </w:r>
          <w:r w:rsidR="006F392C" w:rsidRPr="006F392C">
            <w:t>three agent or ‘rent-a-roof’ compan</w:t>
          </w:r>
          <w:r>
            <w:t>y audits</w:t>
          </w:r>
          <w:r w:rsidR="006F392C" w:rsidRPr="006F392C">
            <w:t xml:space="preserve"> </w:t>
          </w:r>
          <w:r w:rsidR="00C63BF0">
            <w:t>and</w:t>
          </w:r>
          <w:r w:rsidR="00C63BF0" w:rsidRPr="006F392C">
            <w:t xml:space="preserve"> </w:t>
          </w:r>
          <w:r w:rsidR="006F392C" w:rsidRPr="006F392C">
            <w:t>all were rated either ‘</w:t>
          </w:r>
          <w:r w:rsidR="00C16D6E">
            <w:t>G</w:t>
          </w:r>
          <w:r w:rsidR="006F392C" w:rsidRPr="006F392C">
            <w:t>ood’ or ‘</w:t>
          </w:r>
          <w:r w:rsidR="00C16D6E">
            <w:t>S</w:t>
          </w:r>
          <w:r w:rsidR="006F392C" w:rsidRPr="006F392C">
            <w:t>atisfactory’.</w:t>
          </w:r>
        </w:p>
        <w:p w14:paraId="1466C4C0" w14:textId="29691C07" w:rsidR="006F392C" w:rsidRDefault="00BB2566" w:rsidP="00FE641F">
          <w:r w:rsidRPr="00BB2566">
            <w:t xml:space="preserve">A total of 48 </w:t>
          </w:r>
          <w:r>
            <w:t xml:space="preserve">participant compliance </w:t>
          </w:r>
          <w:r w:rsidRPr="00BB2566">
            <w:t xml:space="preserve">investigations were closed during 2020-21 with </w:t>
          </w:r>
          <w:r w:rsidR="00C63BF0">
            <w:t>seven</w:t>
          </w:r>
          <w:r w:rsidRPr="00BB2566">
            <w:t xml:space="preserve"> of these cases resulting in compliance action being taken.</w:t>
          </w:r>
          <w:r>
            <w:t xml:space="preserve"> This included the withdrawal of accreditation for three generating stations.</w:t>
          </w:r>
          <w:r w:rsidR="006F392C" w:rsidRPr="006F392C">
            <w:t xml:space="preserve"> </w:t>
          </w:r>
          <w:r w:rsidR="00A262B6">
            <w:t xml:space="preserve">Two of these withdrawal </w:t>
          </w:r>
          <w:r w:rsidR="00A262B6" w:rsidRPr="00A262B6">
            <w:t xml:space="preserve">decisions resulted in applications to the High Court for judicial review. Ofgem successfully defended one case. The applicant in the other case </w:t>
          </w:r>
          <w:r w:rsidR="00A262B6">
            <w:t xml:space="preserve">ultimately </w:t>
          </w:r>
          <w:r w:rsidR="00A262B6" w:rsidRPr="00A262B6">
            <w:t>withdrew their application for judicial review.</w:t>
          </w:r>
          <w:bookmarkEnd w:id="56"/>
        </w:p>
        <w:p w14:paraId="14326B5E" w14:textId="2B925290" w:rsidR="00577416" w:rsidRPr="003A5EEE" w:rsidRDefault="003A5EEE">
          <w:pPr>
            <w:pStyle w:val="Heading3"/>
            <w:rPr>
              <w:rFonts w:eastAsia="Times New Roman"/>
            </w:rPr>
          </w:pPr>
          <w:bookmarkStart w:id="57" w:name="_Toc89892419"/>
          <w:bookmarkStart w:id="58" w:name="_Toc90552024"/>
          <w:bookmarkStart w:id="59" w:name="_Toc92465937"/>
          <w:bookmarkStart w:id="60" w:name="_Toc94003011"/>
          <w:bookmarkEnd w:id="52"/>
          <w:bookmarkEnd w:id="53"/>
          <w:bookmarkEnd w:id="54"/>
          <w:bookmarkEnd w:id="55"/>
          <w:r w:rsidRPr="003A5EEE">
            <w:rPr>
              <w:rFonts w:eastAsia="Times New Roman"/>
            </w:rPr>
            <w:t>Generators accredited</w:t>
          </w:r>
          <w:bookmarkEnd w:id="57"/>
          <w:bookmarkEnd w:id="58"/>
          <w:bookmarkEnd w:id="59"/>
          <w:bookmarkEnd w:id="60"/>
        </w:p>
        <w:p w14:paraId="5761D2C3" w14:textId="588E6CDC" w:rsidR="00577416" w:rsidRDefault="003A5EEE" w:rsidP="00FE641F">
          <w:bookmarkStart w:id="61" w:name="_Hlk96004433"/>
          <w:r w:rsidRPr="003A5EEE">
            <w:t xml:space="preserve">Although the Renewables Obligation scheme closed to new entrants </w:t>
          </w:r>
          <w:r w:rsidR="002E0A4D">
            <w:t>on 31 March 2017</w:t>
          </w:r>
          <w:r w:rsidRPr="003A5EEE">
            <w:t xml:space="preserve">, the number of accredited stations increased as the accreditation assessment of </w:t>
          </w:r>
          <w:r w:rsidR="003F32B9">
            <w:t xml:space="preserve">a number of </w:t>
          </w:r>
          <w:r w:rsidRPr="003A5EEE">
            <w:t>stations with earlier accreditation dates concluded. On 28 October 2021 when data was extracted for this report, 26</w:t>
          </w:r>
          <w:r w:rsidR="00F95A22">
            <w:t>,</w:t>
          </w:r>
          <w:r w:rsidRPr="003A5EEE">
            <w:t>599 stations had been accredited with a total generating capacity of 35.4</w:t>
          </w:r>
          <w:r w:rsidR="0036008D">
            <w:t xml:space="preserve"> </w:t>
          </w:r>
          <w:r w:rsidRPr="003A5EEE">
            <w:t>GW. This is an increase of 17 stations and a decrease of 4</w:t>
          </w:r>
          <w:r w:rsidR="001F7286">
            <w:t>3</w:t>
          </w:r>
          <w:r w:rsidR="0036008D">
            <w:t xml:space="preserve"> </w:t>
          </w:r>
          <w:r w:rsidRPr="003A5EEE">
            <w:t>MW</w:t>
          </w:r>
          <w:r w:rsidR="003F32B9">
            <w:t xml:space="preserve"> capacity</w:t>
          </w:r>
          <w:r w:rsidRPr="003A5EEE">
            <w:t xml:space="preserve"> from the figures reported in the 201</w:t>
          </w:r>
          <w:r w:rsidR="001F7286">
            <w:t>9</w:t>
          </w:r>
          <w:r w:rsidRPr="003A5EEE">
            <w:t>-</w:t>
          </w:r>
          <w:r w:rsidR="001F7286">
            <w:t>20</w:t>
          </w:r>
          <w:r w:rsidRPr="003A5EEE">
            <w:t xml:space="preserve"> annual report.</w:t>
          </w:r>
          <w:r w:rsidR="004C5937">
            <w:t xml:space="preserve"> T</w:t>
          </w:r>
          <w:r w:rsidR="004C5937" w:rsidRPr="0076464C">
            <w:t>hese figures are the net change in stations accredited and installed capacity</w:t>
          </w:r>
          <w:r w:rsidR="003F32B9">
            <w:t xml:space="preserve">. As well as </w:t>
          </w:r>
          <w:r w:rsidR="004C5937" w:rsidRPr="0076464C">
            <w:t>stations being approved onto the scheme</w:t>
          </w:r>
          <w:r w:rsidR="008A708B">
            <w:t>,</w:t>
          </w:r>
          <w:r w:rsidR="003F32B9">
            <w:t xml:space="preserve"> the figures are affected by</w:t>
          </w:r>
          <w:r w:rsidR="004C5937" w:rsidRPr="0076464C">
            <w:t xml:space="preserve"> stations withdrawing from the scheme or the capacity of a station changing</w:t>
          </w:r>
          <w:r w:rsidR="008A708B">
            <w:t>.</w:t>
          </w:r>
          <w:r w:rsidR="003F32B9">
            <w:t xml:space="preserve"> </w:t>
          </w:r>
          <w:r w:rsidR="008A708B">
            <w:t>This</w:t>
          </w:r>
          <w:r w:rsidR="003F32B9">
            <w:t xml:space="preserve"> for example</w:t>
          </w:r>
          <w:r w:rsidR="008A708B">
            <w:t>,</w:t>
          </w:r>
          <w:r w:rsidR="003F32B9">
            <w:t xml:space="preserve"> could be due to the decommissioning of a wind turbine</w:t>
          </w:r>
          <w:r w:rsidR="004C5937">
            <w:t xml:space="preserve">. </w:t>
          </w:r>
        </w:p>
        <w:bookmarkEnd w:id="61"/>
        <w:p w14:paraId="5BA89C65" w14:textId="28B81E65" w:rsidR="005261E7" w:rsidRDefault="005261E7" w:rsidP="00FE641F"/>
        <w:bookmarkEnd w:id="18"/>
        <w:p w14:paraId="3A72DC03" w14:textId="636F3854" w:rsidR="00DC726A" w:rsidRDefault="00DC726A" w:rsidP="00FE641F"/>
        <w:p w14:paraId="3CD0D52B" w14:textId="328EA69E" w:rsidR="00DC726A" w:rsidRDefault="00DC726A" w:rsidP="00FE641F"/>
        <w:p w14:paraId="259AC6A1" w14:textId="3DC2D00D" w:rsidR="00DC726A" w:rsidRDefault="00DC726A" w:rsidP="00FE641F"/>
        <w:p w14:paraId="35692495" w14:textId="1DAD2DBD" w:rsidR="00DC726A" w:rsidRDefault="00DC726A" w:rsidP="00FE641F"/>
        <w:p w14:paraId="17C07BB0" w14:textId="4E55C21D" w:rsidR="00DC726A" w:rsidRDefault="00DC726A" w:rsidP="00FE641F"/>
        <w:p w14:paraId="4B04AEB2" w14:textId="0DAECC8B" w:rsidR="00DC726A" w:rsidRDefault="00DC726A" w:rsidP="00FE641F"/>
        <w:p w14:paraId="1C1A33B6" w14:textId="77777777" w:rsidR="00245251" w:rsidRDefault="00245251" w:rsidP="00FE641F">
          <w:pPr>
            <w:pStyle w:val="Heading2"/>
            <w:pBdr>
              <w:bottom w:val="single" w:sz="6" w:space="1" w:color="auto"/>
            </w:pBdr>
          </w:pPr>
        </w:p>
        <w:p w14:paraId="3211035E" w14:textId="77777777" w:rsidR="00245251" w:rsidRPr="00482E14" w:rsidRDefault="00245251" w:rsidP="003B35B0">
          <w:pPr>
            <w:spacing w:before="120"/>
            <w:rPr>
              <w:szCs w:val="28"/>
            </w:rPr>
          </w:pPr>
          <w:bookmarkStart w:id="62" w:name="_Toc89787758"/>
          <w:bookmarkStart w:id="63" w:name="_Toc90552025"/>
          <w:r w:rsidRPr="003B35B0">
            <w:rPr>
              <w:b/>
              <w:bCs/>
              <w:color w:val="004125"/>
              <w:sz w:val="28"/>
              <w:szCs w:val="28"/>
            </w:rPr>
            <w:t>Feedback</w:t>
          </w:r>
          <w:bookmarkEnd w:id="62"/>
          <w:bookmarkEnd w:id="63"/>
        </w:p>
        <w:p w14:paraId="5DCC51D8" w14:textId="71A62AD1" w:rsidR="002758FD" w:rsidRDefault="00245251" w:rsidP="003B35B0">
          <w:pPr>
            <w:rPr>
              <w:rStyle w:val="Heading2Char"/>
            </w:rPr>
          </w:pPr>
          <w:r w:rsidRPr="006A6B6B">
            <w:t>We value your feedback</w:t>
          </w:r>
          <w:r>
            <w:t xml:space="preserve"> on this report</w:t>
          </w:r>
          <w:r w:rsidRPr="006A6B6B">
            <w:t xml:space="preserve">. Please contact us at </w:t>
          </w:r>
          <w:hyperlink r:id="rId16" w:history="1">
            <w:r w:rsidR="00FD0D99" w:rsidRPr="004842DF">
              <w:rPr>
                <w:rStyle w:val="Hyperlink"/>
              </w:rPr>
              <w:t>SchemesReportingFeedback@ofgem.gov.uk</w:t>
            </w:r>
          </w:hyperlink>
          <w:r w:rsidR="00FD0D99">
            <w:rPr>
              <w:rStyle w:val="Hyperlink"/>
            </w:rPr>
            <w:t xml:space="preserve"> </w:t>
          </w:r>
          <w:r w:rsidRPr="006A6B6B">
            <w:t>with any comments or suggestions.</w:t>
          </w:r>
          <w:r w:rsidR="002758FD">
            <w:rPr>
              <w:rStyle w:val="Heading2Char"/>
            </w:rPr>
            <w:br w:type="page"/>
          </w:r>
        </w:p>
        <w:p w14:paraId="79B9BD27" w14:textId="0655F542" w:rsidR="002758FD" w:rsidRPr="00BE1C55" w:rsidRDefault="00033FA2" w:rsidP="003B35B0">
          <w:pPr>
            <w:pStyle w:val="Heading1"/>
            <w:rPr>
              <w:rStyle w:val="Heading2Char"/>
              <w:rFonts w:eastAsiaTheme="minorHAnsi" w:cstheme="minorBidi"/>
              <w:sz w:val="36"/>
              <w:szCs w:val="36"/>
            </w:rPr>
          </w:pPr>
          <w:bookmarkStart w:id="64" w:name="_Toc89441976"/>
          <w:bookmarkStart w:id="65" w:name="_Toc89442066"/>
          <w:bookmarkStart w:id="66" w:name="_Toc89892420"/>
          <w:bookmarkStart w:id="67" w:name="_Toc98852142"/>
          <w:r w:rsidRPr="00543FFA">
            <w:rPr>
              <w:rStyle w:val="Heading2Char"/>
              <w:rFonts w:eastAsiaTheme="minorHAnsi" w:cstheme="minorBidi"/>
              <w:b/>
              <w:sz w:val="36"/>
              <w:szCs w:val="36"/>
            </w:rPr>
            <w:lastRenderedPageBreak/>
            <w:t>A</w:t>
          </w:r>
          <w:r w:rsidR="002758FD" w:rsidRPr="00543FFA">
            <w:rPr>
              <w:rStyle w:val="Heading2Char"/>
              <w:rFonts w:eastAsiaTheme="minorHAnsi" w:cstheme="minorBidi"/>
              <w:b/>
              <w:sz w:val="36"/>
              <w:szCs w:val="36"/>
            </w:rPr>
            <w:t>ssociated documents</w:t>
          </w:r>
          <w:bookmarkEnd w:id="64"/>
          <w:bookmarkEnd w:id="65"/>
          <w:bookmarkEnd w:id="66"/>
          <w:bookmarkEnd w:id="67"/>
        </w:p>
        <w:p w14:paraId="2AAE959C" w14:textId="77777777" w:rsidR="00033FA2" w:rsidRPr="003B35B0" w:rsidRDefault="00033FA2" w:rsidP="003B35B0">
          <w:pPr>
            <w:autoSpaceDE w:val="0"/>
            <w:autoSpaceDN w:val="0"/>
            <w:adjustRightInd w:val="0"/>
            <w:spacing w:after="0"/>
            <w:rPr>
              <w:rFonts w:eastAsia="Times New Roman" w:cs="Vrinda"/>
            </w:rPr>
          </w:pPr>
          <w:r w:rsidRPr="003B35B0">
            <w:rPr>
              <w:rFonts w:eastAsia="Times New Roman" w:cs="Vrinda"/>
            </w:rPr>
            <w:t xml:space="preserve">The annual reports for all previous obligation periods are published in the publications library: </w:t>
          </w:r>
        </w:p>
        <w:p w14:paraId="06AE3C3A" w14:textId="77777777" w:rsidR="00033FA2" w:rsidRDefault="00482956">
          <w:pPr>
            <w:pStyle w:val="ListParagraph"/>
            <w:autoSpaceDE w:val="0"/>
            <w:autoSpaceDN w:val="0"/>
            <w:adjustRightInd w:val="0"/>
            <w:spacing w:after="0"/>
          </w:pPr>
          <w:hyperlink r:id="rId17" w:history="1">
            <w:r w:rsidR="00033FA2" w:rsidRPr="007A442A">
              <w:rPr>
                <w:rStyle w:val="Hyperlink"/>
              </w:rPr>
              <w:t xml:space="preserve">Link to </w:t>
            </w:r>
            <w:r w:rsidR="00033FA2">
              <w:rPr>
                <w:rStyle w:val="Hyperlink"/>
              </w:rPr>
              <w:t xml:space="preserve">Ofgem </w:t>
            </w:r>
            <w:r w:rsidR="00033FA2" w:rsidRPr="007A442A">
              <w:rPr>
                <w:rStyle w:val="Hyperlink"/>
              </w:rPr>
              <w:t>RO publications library</w:t>
            </w:r>
          </w:hyperlink>
          <w:r w:rsidR="00033FA2">
            <w:t xml:space="preserve"> </w:t>
          </w:r>
        </w:p>
        <w:p w14:paraId="620C1560" w14:textId="289A3880" w:rsidR="001E26E3" w:rsidRPr="001F7286" w:rsidRDefault="00033FA2">
          <w:pPr>
            <w:pStyle w:val="ListParagraph"/>
            <w:autoSpaceDE w:val="0"/>
            <w:autoSpaceDN w:val="0"/>
            <w:adjustRightInd w:val="0"/>
            <w:spacing w:after="360"/>
          </w:pPr>
          <w:r>
            <w:t>&lt;</w:t>
          </w:r>
          <w:r w:rsidRPr="001E26E3">
            <w:rPr>
              <w:rFonts w:eastAsia="Times New Roman" w:cs="Vrinda"/>
              <w:color w:val="000000" w:themeColor="text1"/>
            </w:rPr>
            <w:t>https://www.ofgem.gov.uk/environmental-programmes/ro/contacts-publications-and-data/publications-library-renewables-obligation-ro&gt;</w:t>
          </w:r>
        </w:p>
        <w:p w14:paraId="454C7BC9" w14:textId="77777777" w:rsidR="00033FA2" w:rsidRPr="003B35B0" w:rsidRDefault="00033FA2" w:rsidP="003B35B0">
          <w:pPr>
            <w:autoSpaceDE w:val="0"/>
            <w:autoSpaceDN w:val="0"/>
            <w:adjustRightInd w:val="0"/>
            <w:spacing w:after="0"/>
            <w:rPr>
              <w:rFonts w:eastAsia="Times New Roman" w:cs="Vrinda"/>
            </w:rPr>
          </w:pPr>
          <w:r w:rsidRPr="003B35B0">
            <w:rPr>
              <w:rFonts w:eastAsia="Times New Roman" w:cs="Vrinda"/>
            </w:rPr>
            <w:t xml:space="preserve">Up-to-date data on scheme activity is published on the public reports and data page within the RO section of the Ofgem website: </w:t>
          </w:r>
        </w:p>
        <w:p w14:paraId="2235979A" w14:textId="049CE97B" w:rsidR="00033FA2" w:rsidRDefault="00482956">
          <w:pPr>
            <w:pStyle w:val="ListParagraph"/>
            <w:autoSpaceDE w:val="0"/>
            <w:autoSpaceDN w:val="0"/>
            <w:adjustRightInd w:val="0"/>
            <w:spacing w:after="360"/>
            <w:rPr>
              <w:rFonts w:eastAsia="Times New Roman" w:cs="Vrinda"/>
              <w:color w:val="000000" w:themeColor="text1"/>
            </w:rPr>
          </w:pPr>
          <w:hyperlink r:id="rId18" w:history="1">
            <w:r w:rsidR="00033FA2" w:rsidRPr="007A442A">
              <w:rPr>
                <w:rStyle w:val="Hyperlink"/>
              </w:rPr>
              <w:t>Link to Ofgem RO public reports and data webpage</w:t>
            </w:r>
          </w:hyperlink>
          <w:r w:rsidR="00033FA2">
            <w:t xml:space="preserve"> </w:t>
          </w:r>
          <w:r w:rsidR="00033FA2" w:rsidRPr="00305121">
            <w:t>&lt;</w:t>
          </w:r>
          <w:r w:rsidR="00033FA2" w:rsidRPr="001E26E3">
            <w:rPr>
              <w:rFonts w:eastAsia="Times New Roman" w:cs="Vrinda"/>
              <w:color w:val="000000" w:themeColor="text1"/>
            </w:rPr>
            <w:t xml:space="preserve">https://www.ofgem.gov.uk/environmental-programmes/ro/contacts-publications-and-data/public-reports-and-data-ro&gt;  </w:t>
          </w:r>
        </w:p>
        <w:p w14:paraId="7D05B0A7" w14:textId="77777777" w:rsidR="00033FA2" w:rsidRPr="003B35B0" w:rsidRDefault="00033FA2" w:rsidP="003B35B0">
          <w:pPr>
            <w:autoSpaceDE w:val="0"/>
            <w:autoSpaceDN w:val="0"/>
            <w:adjustRightInd w:val="0"/>
            <w:spacing w:after="0"/>
            <w:rPr>
              <w:rFonts w:eastAsia="Times New Roman" w:cs="Vrinda"/>
            </w:rPr>
          </w:pPr>
          <w:r w:rsidRPr="003B35B0">
            <w:rPr>
              <w:rFonts w:eastAsia="Times New Roman" w:cs="Vrinda"/>
            </w:rPr>
            <w:t xml:space="preserve">A variety of data reports are available to download from the Renewables and CHP Register: </w:t>
          </w:r>
        </w:p>
        <w:p w14:paraId="5E570255" w14:textId="77777777" w:rsidR="00033FA2" w:rsidRDefault="00482956">
          <w:pPr>
            <w:pStyle w:val="ListParagraph"/>
            <w:autoSpaceDE w:val="0"/>
            <w:autoSpaceDN w:val="0"/>
            <w:adjustRightInd w:val="0"/>
            <w:spacing w:after="0"/>
          </w:pPr>
          <w:hyperlink r:id="rId19" w:history="1">
            <w:r w:rsidR="00033FA2" w:rsidRPr="00305121">
              <w:rPr>
                <w:rStyle w:val="Hyperlink"/>
              </w:rPr>
              <w:t>Link to the Renewables and CHP Register</w:t>
            </w:r>
          </w:hyperlink>
        </w:p>
        <w:p w14:paraId="4B0166E5" w14:textId="75B8C3A0" w:rsidR="00033FA2" w:rsidRDefault="001E26E3">
          <w:pPr>
            <w:pStyle w:val="ListParagraph"/>
            <w:autoSpaceDE w:val="0"/>
            <w:autoSpaceDN w:val="0"/>
            <w:adjustRightInd w:val="0"/>
            <w:spacing w:after="360"/>
            <w:rPr>
              <w:rStyle w:val="Hyperlink"/>
              <w:rFonts w:eastAsia="Times New Roman" w:cs="Vrinda"/>
              <w:color w:val="000000" w:themeColor="text1"/>
            </w:rPr>
          </w:pPr>
          <w:r>
            <w:rPr>
              <w:rFonts w:eastAsia="Times New Roman" w:cs="Vrinda"/>
            </w:rPr>
            <w:t>&lt;</w:t>
          </w:r>
          <w:r w:rsidRPr="001E26E3">
            <w:rPr>
              <w:rFonts w:eastAsia="Times New Roman" w:cs="Vrinda"/>
            </w:rPr>
            <w:t>https://renewablesandchp.ofgem.gov.uk/</w:t>
          </w:r>
          <w:r>
            <w:rPr>
              <w:rFonts w:eastAsia="Times New Roman" w:cs="Vrinda"/>
            </w:rPr>
            <w:t>&gt;</w:t>
          </w:r>
          <w:r>
            <w:rPr>
              <w:rStyle w:val="Hyperlink"/>
              <w:rFonts w:eastAsia="Times New Roman" w:cs="Vrinda"/>
              <w:color w:val="000000" w:themeColor="text1"/>
            </w:rPr>
            <w:t xml:space="preserve"> </w:t>
          </w:r>
        </w:p>
        <w:p w14:paraId="0FD54E3D" w14:textId="77777777" w:rsidR="00033FA2" w:rsidRPr="003B35B0" w:rsidRDefault="00033FA2" w:rsidP="003B35B0">
          <w:pPr>
            <w:autoSpaceDE w:val="0"/>
            <w:autoSpaceDN w:val="0"/>
            <w:adjustRightInd w:val="0"/>
            <w:spacing w:after="0"/>
            <w:rPr>
              <w:rFonts w:eastAsia="Times New Roman" w:cs="Vrinda"/>
            </w:rPr>
          </w:pPr>
          <w:r w:rsidRPr="003B35B0">
            <w:rPr>
              <w:rFonts w:eastAsia="Times New Roman" w:cs="Vrinda"/>
            </w:rPr>
            <w:t>Information for generators accredited under the RO is available on our website:</w:t>
          </w:r>
        </w:p>
        <w:p w14:paraId="052734FC" w14:textId="77777777" w:rsidR="00033FA2" w:rsidRPr="001E26E3" w:rsidRDefault="00482956">
          <w:pPr>
            <w:pStyle w:val="ListParagraph"/>
            <w:autoSpaceDE w:val="0"/>
            <w:autoSpaceDN w:val="0"/>
            <w:adjustRightInd w:val="0"/>
            <w:spacing w:after="0"/>
            <w:rPr>
              <w:rFonts w:eastAsia="Times New Roman" w:cs="Vrinda"/>
            </w:rPr>
          </w:pPr>
          <w:hyperlink r:id="rId20" w:history="1">
            <w:r w:rsidR="00033FA2" w:rsidRPr="001E26E3">
              <w:rPr>
                <w:rStyle w:val="Hyperlink"/>
                <w:rFonts w:eastAsia="Times New Roman" w:cs="Vrinda"/>
              </w:rPr>
              <w:t>Link to information for generators</w:t>
            </w:r>
          </w:hyperlink>
          <w:r w:rsidR="00033FA2" w:rsidRPr="001E26E3">
            <w:rPr>
              <w:rFonts w:eastAsia="Times New Roman" w:cs="Vrinda"/>
            </w:rPr>
            <w:t xml:space="preserve"> </w:t>
          </w:r>
        </w:p>
        <w:p w14:paraId="4C284B36" w14:textId="4C35D0A7" w:rsidR="00033FA2" w:rsidRDefault="00033FA2">
          <w:pPr>
            <w:pStyle w:val="ListParagraph"/>
            <w:autoSpaceDE w:val="0"/>
            <w:autoSpaceDN w:val="0"/>
            <w:adjustRightInd w:val="0"/>
            <w:spacing w:after="360"/>
            <w:rPr>
              <w:rFonts w:eastAsia="Times New Roman" w:cs="Vrinda"/>
              <w:color w:val="000000" w:themeColor="text1"/>
            </w:rPr>
          </w:pPr>
          <w:r w:rsidRPr="001E26E3">
            <w:rPr>
              <w:rFonts w:eastAsia="Times New Roman" w:cs="Vrinda"/>
              <w:color w:val="000000" w:themeColor="text1"/>
            </w:rPr>
            <w:t xml:space="preserve">&lt;https://www.ofgem.gov.uk/environmental-programmes/ro/applicants&gt;  </w:t>
          </w:r>
        </w:p>
        <w:p w14:paraId="40DA4224" w14:textId="77777777" w:rsidR="00033FA2" w:rsidRPr="003B35B0" w:rsidRDefault="00033FA2" w:rsidP="003B35B0">
          <w:pPr>
            <w:autoSpaceDE w:val="0"/>
            <w:autoSpaceDN w:val="0"/>
            <w:adjustRightInd w:val="0"/>
            <w:spacing w:after="0"/>
            <w:rPr>
              <w:rFonts w:eastAsia="Times New Roman" w:cs="Vrinda"/>
            </w:rPr>
          </w:pPr>
          <w:r w:rsidRPr="003B35B0">
            <w:rPr>
              <w:rFonts w:eastAsia="Times New Roman" w:cs="Vrinda"/>
            </w:rPr>
            <w:t>Information for licensed UK electricity suppliers on how to comply with the RO is available on our website:</w:t>
          </w:r>
        </w:p>
        <w:p w14:paraId="10282BA8" w14:textId="77777777" w:rsidR="00033FA2" w:rsidRPr="001E26E3" w:rsidRDefault="00482956">
          <w:pPr>
            <w:pStyle w:val="ListParagraph"/>
            <w:autoSpaceDE w:val="0"/>
            <w:autoSpaceDN w:val="0"/>
            <w:adjustRightInd w:val="0"/>
            <w:spacing w:after="0"/>
            <w:rPr>
              <w:rFonts w:eastAsia="Times New Roman" w:cs="Vrinda"/>
            </w:rPr>
          </w:pPr>
          <w:hyperlink r:id="rId21" w:history="1">
            <w:r w:rsidR="00033FA2" w:rsidRPr="001E26E3">
              <w:rPr>
                <w:rStyle w:val="Hyperlink"/>
                <w:rFonts w:eastAsia="Times New Roman" w:cs="Vrinda"/>
              </w:rPr>
              <w:t>Link to information for suppliers</w:t>
            </w:r>
          </w:hyperlink>
        </w:p>
        <w:p w14:paraId="701F97EE" w14:textId="688FD123" w:rsidR="00033FA2" w:rsidRDefault="00033FA2">
          <w:pPr>
            <w:pStyle w:val="ListParagraph"/>
            <w:spacing w:after="360"/>
            <w:rPr>
              <w:rFonts w:eastAsia="Times New Roman" w:cs="Vrinda"/>
              <w:color w:val="000000" w:themeColor="text1"/>
            </w:rPr>
          </w:pPr>
          <w:r w:rsidRPr="001E26E3">
            <w:rPr>
              <w:rFonts w:eastAsia="Times New Roman" w:cs="Vrinda"/>
              <w:color w:val="000000" w:themeColor="text1"/>
            </w:rPr>
            <w:t>&lt;https://www.ofgem.gov.uk/environmental-programmes/renewables-obligation-ro/information-suppliers&gt;</w:t>
          </w:r>
          <w:r w:rsidR="001E26E3">
            <w:rPr>
              <w:rFonts w:eastAsia="Times New Roman" w:cs="Vrinda"/>
              <w:color w:val="000000" w:themeColor="text1"/>
            </w:rPr>
            <w:t xml:space="preserve"> </w:t>
          </w:r>
        </w:p>
        <w:p w14:paraId="071485BE" w14:textId="153D1FD6" w:rsidR="00033FA2" w:rsidRPr="003B35B0" w:rsidRDefault="00033FA2" w:rsidP="003B35B0">
          <w:pPr>
            <w:autoSpaceDE w:val="0"/>
            <w:autoSpaceDN w:val="0"/>
            <w:adjustRightInd w:val="0"/>
            <w:spacing w:after="0"/>
            <w:rPr>
              <w:rFonts w:eastAsia="Times New Roman" w:cs="Vrinda"/>
              <w:color w:val="000000" w:themeColor="text1"/>
            </w:rPr>
          </w:pPr>
          <w:r w:rsidRPr="003B35B0">
            <w:rPr>
              <w:rFonts w:eastAsia="Times New Roman" w:cs="Vrinda"/>
            </w:rPr>
            <w:t>The</w:t>
          </w:r>
          <w:r w:rsidR="0094101E" w:rsidRPr="003B35B0">
            <w:rPr>
              <w:rFonts w:eastAsia="Times New Roman" w:cs="Vrinda"/>
            </w:rPr>
            <w:t xml:space="preserve"> Renewable</w:t>
          </w:r>
          <w:r w:rsidR="00D72E11" w:rsidRPr="003B35B0">
            <w:rPr>
              <w:rFonts w:eastAsia="Times New Roman" w:cs="Vrinda"/>
            </w:rPr>
            <w:t>s</w:t>
          </w:r>
          <w:r w:rsidR="0094101E" w:rsidRPr="003B35B0">
            <w:rPr>
              <w:rFonts w:eastAsia="Times New Roman" w:cs="Vrinda"/>
            </w:rPr>
            <w:t xml:space="preserve"> Obligation</w:t>
          </w:r>
          <w:r w:rsidRPr="003B35B0">
            <w:rPr>
              <w:rFonts w:eastAsia="Times New Roman" w:cs="Vrinda"/>
            </w:rPr>
            <w:t xml:space="preserve"> legislation</w:t>
          </w:r>
          <w:r w:rsidRPr="003B35B0">
            <w:rPr>
              <w:rFonts w:eastAsia="Times New Roman" w:cs="Vrinda"/>
              <w:color w:val="000000" w:themeColor="text1"/>
            </w:rPr>
            <w:t xml:space="preserve"> which underpins the RO (England &amp; Wales), ROS (Scotland) and NIRO (Northern Ireland) schemes can be viewed on the legislation.gov.uk website:</w:t>
          </w:r>
        </w:p>
        <w:p w14:paraId="395B7C4D" w14:textId="77777777" w:rsidR="00033FA2" w:rsidRDefault="00482956">
          <w:pPr>
            <w:pStyle w:val="ListParagraph"/>
          </w:pPr>
          <w:hyperlink r:id="rId22" w:history="1">
            <w:r w:rsidR="00033FA2" w:rsidRPr="001E26E3">
              <w:rPr>
                <w:rStyle w:val="Hyperlink"/>
                <w:rFonts w:eastAsia="Times New Roman" w:cs="Vrinda"/>
              </w:rPr>
              <w:t>Link to the RO section of the legislation.gov.uk website</w:t>
            </w:r>
          </w:hyperlink>
          <w:r w:rsidR="00033FA2" w:rsidRPr="001E26E3">
            <w:rPr>
              <w:rFonts w:eastAsia="Times New Roman" w:cs="Vrinda"/>
              <w:color w:val="000000" w:themeColor="text1"/>
            </w:rPr>
            <w:t xml:space="preserve"> &lt;</w:t>
          </w:r>
          <w:r w:rsidR="00033FA2" w:rsidRPr="001E26E3">
            <w:rPr>
              <w:rFonts w:eastAsia="Times New Roman" w:cs="Vrinda"/>
            </w:rPr>
            <w:t>http://www.legislation.gov.uk/all?title=renewables%20obligation&gt;</w:t>
          </w:r>
        </w:p>
        <w:p w14:paraId="0109579A" w14:textId="77777777" w:rsidR="001E26E3" w:rsidRDefault="001E26E3">
          <w:pPr>
            <w:ind w:left="360"/>
            <w:jc w:val="both"/>
          </w:pPr>
        </w:p>
        <w:p w14:paraId="39959B05" w14:textId="6D0201BB" w:rsidR="001E26E3" w:rsidRDefault="001E26E3" w:rsidP="003B35B0">
          <w:pPr>
            <w:jc w:val="both"/>
          </w:pPr>
          <w:r>
            <w:t>Please note that a spreadsheet containing all the data used in the production of this report is published alongside the report on our website.</w:t>
          </w:r>
        </w:p>
        <w:p w14:paraId="4F262B3E" w14:textId="77777777" w:rsidR="001F7286" w:rsidRDefault="001F7286">
          <w:pPr>
            <w:spacing w:line="276" w:lineRule="auto"/>
            <w:rPr>
              <w:rStyle w:val="Heading2Char"/>
            </w:rPr>
          </w:pPr>
          <w:bookmarkStart w:id="68" w:name="_Toc89441977"/>
          <w:bookmarkStart w:id="69" w:name="_Toc89442067"/>
          <w:bookmarkStart w:id="70" w:name="_Toc89892421"/>
          <w:r>
            <w:rPr>
              <w:rStyle w:val="Heading2Char"/>
            </w:rPr>
            <w:br w:type="page"/>
          </w:r>
        </w:p>
        <w:p w14:paraId="4B68932B" w14:textId="31B385F1" w:rsidR="002758FD" w:rsidRPr="00BE1C55" w:rsidRDefault="002758FD" w:rsidP="003B35B0">
          <w:pPr>
            <w:pStyle w:val="Heading1"/>
            <w:rPr>
              <w:rStyle w:val="Heading2Char"/>
              <w:rFonts w:eastAsiaTheme="minorHAnsi" w:cstheme="minorBidi"/>
              <w:sz w:val="36"/>
              <w:szCs w:val="36"/>
            </w:rPr>
          </w:pPr>
          <w:bookmarkStart w:id="71" w:name="_Toc98852143"/>
          <w:r w:rsidRPr="00543FFA">
            <w:rPr>
              <w:rStyle w:val="Heading2Char"/>
              <w:rFonts w:eastAsiaTheme="minorHAnsi" w:cstheme="minorBidi"/>
              <w:b/>
              <w:sz w:val="36"/>
              <w:szCs w:val="36"/>
            </w:rPr>
            <w:lastRenderedPageBreak/>
            <w:t>Contents</w:t>
          </w:r>
          <w:bookmarkEnd w:id="68"/>
          <w:bookmarkEnd w:id="69"/>
          <w:bookmarkEnd w:id="70"/>
          <w:bookmarkEnd w:id="71"/>
        </w:p>
        <w:sdt>
          <w:sdtPr>
            <w:rPr>
              <w:b w:val="0"/>
              <w:bCs w:val="0"/>
            </w:rPr>
            <w:id w:val="-1186678741"/>
            <w:docPartObj>
              <w:docPartGallery w:val="Table of Contents"/>
              <w:docPartUnique/>
            </w:docPartObj>
          </w:sdtPr>
          <w:sdtEndPr>
            <w:rPr>
              <w:b/>
              <w:bCs/>
            </w:rPr>
          </w:sdtEndPr>
          <w:sdtContent>
            <w:p w14:paraId="47248557" w14:textId="64DFE72C" w:rsidR="0088414A" w:rsidRDefault="00B86025">
              <w:pPr>
                <w:pStyle w:val="TOC1"/>
                <w:rPr>
                  <w:rFonts w:asciiTheme="minorHAnsi" w:eastAsiaTheme="minorEastAsia" w:hAnsiTheme="minorHAnsi"/>
                  <w:b w:val="0"/>
                  <w:bCs w:val="0"/>
                  <w:noProof/>
                  <w:sz w:val="22"/>
                  <w:szCs w:val="22"/>
                </w:rPr>
              </w:pPr>
              <w:r>
                <w:fldChar w:fldCharType="begin"/>
              </w:r>
              <w:r>
                <w:instrText xml:space="preserve"> TOC \o "1-2" \h \z \u </w:instrText>
              </w:r>
              <w:r>
                <w:fldChar w:fldCharType="separate"/>
              </w:r>
              <w:hyperlink w:anchor="_Toc98852141" w:history="1">
                <w:r w:rsidR="0088414A" w:rsidRPr="00781FB7">
                  <w:rPr>
                    <w:rStyle w:val="Hyperlink"/>
                    <w:noProof/>
                  </w:rPr>
                  <w:t>Executive Summary</w:t>
                </w:r>
                <w:r w:rsidR="0088414A">
                  <w:rPr>
                    <w:noProof/>
                    <w:webHidden/>
                  </w:rPr>
                  <w:tab/>
                </w:r>
                <w:r w:rsidR="0088414A">
                  <w:rPr>
                    <w:noProof/>
                    <w:webHidden/>
                  </w:rPr>
                  <w:fldChar w:fldCharType="begin"/>
                </w:r>
                <w:r w:rsidR="0088414A">
                  <w:rPr>
                    <w:noProof/>
                    <w:webHidden/>
                  </w:rPr>
                  <w:instrText xml:space="preserve"> PAGEREF _Toc98852141 \h </w:instrText>
                </w:r>
                <w:r w:rsidR="0088414A">
                  <w:rPr>
                    <w:noProof/>
                    <w:webHidden/>
                  </w:rPr>
                </w:r>
                <w:r w:rsidR="0088414A">
                  <w:rPr>
                    <w:noProof/>
                    <w:webHidden/>
                  </w:rPr>
                  <w:fldChar w:fldCharType="separate"/>
                </w:r>
                <w:r w:rsidR="001B6235">
                  <w:rPr>
                    <w:noProof/>
                    <w:webHidden/>
                  </w:rPr>
                  <w:t>2</w:t>
                </w:r>
                <w:r w:rsidR="0088414A">
                  <w:rPr>
                    <w:noProof/>
                    <w:webHidden/>
                  </w:rPr>
                  <w:fldChar w:fldCharType="end"/>
                </w:r>
              </w:hyperlink>
            </w:p>
            <w:p w14:paraId="5F1C31AC" w14:textId="50E5DF3F" w:rsidR="0088414A" w:rsidRDefault="00482956">
              <w:pPr>
                <w:pStyle w:val="TOC1"/>
                <w:rPr>
                  <w:rFonts w:asciiTheme="minorHAnsi" w:eastAsiaTheme="minorEastAsia" w:hAnsiTheme="minorHAnsi"/>
                  <w:b w:val="0"/>
                  <w:bCs w:val="0"/>
                  <w:noProof/>
                  <w:sz w:val="22"/>
                  <w:szCs w:val="22"/>
                </w:rPr>
              </w:pPr>
              <w:hyperlink w:anchor="_Toc98852142" w:history="1">
                <w:r w:rsidR="0088414A" w:rsidRPr="00781FB7">
                  <w:rPr>
                    <w:rStyle w:val="Hyperlink"/>
                    <w:noProof/>
                  </w:rPr>
                  <w:t>Associated documents</w:t>
                </w:r>
                <w:r w:rsidR="0088414A">
                  <w:rPr>
                    <w:noProof/>
                    <w:webHidden/>
                  </w:rPr>
                  <w:tab/>
                </w:r>
                <w:r w:rsidR="0088414A">
                  <w:rPr>
                    <w:noProof/>
                    <w:webHidden/>
                  </w:rPr>
                  <w:fldChar w:fldCharType="begin"/>
                </w:r>
                <w:r w:rsidR="0088414A">
                  <w:rPr>
                    <w:noProof/>
                    <w:webHidden/>
                  </w:rPr>
                  <w:instrText xml:space="preserve"> PAGEREF _Toc98852142 \h </w:instrText>
                </w:r>
                <w:r w:rsidR="0088414A">
                  <w:rPr>
                    <w:noProof/>
                    <w:webHidden/>
                  </w:rPr>
                </w:r>
                <w:r w:rsidR="0088414A">
                  <w:rPr>
                    <w:noProof/>
                    <w:webHidden/>
                  </w:rPr>
                  <w:fldChar w:fldCharType="separate"/>
                </w:r>
                <w:r w:rsidR="001B6235">
                  <w:rPr>
                    <w:noProof/>
                    <w:webHidden/>
                  </w:rPr>
                  <w:t>5</w:t>
                </w:r>
                <w:r w:rsidR="0088414A">
                  <w:rPr>
                    <w:noProof/>
                    <w:webHidden/>
                  </w:rPr>
                  <w:fldChar w:fldCharType="end"/>
                </w:r>
              </w:hyperlink>
            </w:p>
            <w:p w14:paraId="4092966D" w14:textId="5A90BEEF" w:rsidR="0088414A" w:rsidRDefault="00482956">
              <w:pPr>
                <w:pStyle w:val="TOC1"/>
                <w:rPr>
                  <w:rFonts w:asciiTheme="minorHAnsi" w:eastAsiaTheme="minorEastAsia" w:hAnsiTheme="minorHAnsi"/>
                  <w:b w:val="0"/>
                  <w:bCs w:val="0"/>
                  <w:noProof/>
                  <w:sz w:val="22"/>
                  <w:szCs w:val="22"/>
                </w:rPr>
              </w:pPr>
              <w:hyperlink w:anchor="_Toc98852144" w:history="1">
                <w:r w:rsidR="0088414A" w:rsidRPr="00781FB7">
                  <w:rPr>
                    <w:rStyle w:val="Hyperlink"/>
                    <w:noProof/>
                  </w:rPr>
                  <w:t>Context</w:t>
                </w:r>
                <w:r w:rsidR="0088414A">
                  <w:rPr>
                    <w:noProof/>
                    <w:webHidden/>
                  </w:rPr>
                  <w:tab/>
                </w:r>
                <w:r w:rsidR="0088414A">
                  <w:rPr>
                    <w:noProof/>
                    <w:webHidden/>
                  </w:rPr>
                  <w:fldChar w:fldCharType="begin"/>
                </w:r>
                <w:r w:rsidR="0088414A">
                  <w:rPr>
                    <w:noProof/>
                    <w:webHidden/>
                  </w:rPr>
                  <w:instrText xml:space="preserve"> PAGEREF _Toc98852144 \h </w:instrText>
                </w:r>
                <w:r w:rsidR="0088414A">
                  <w:rPr>
                    <w:noProof/>
                    <w:webHidden/>
                  </w:rPr>
                </w:r>
                <w:r w:rsidR="0088414A">
                  <w:rPr>
                    <w:noProof/>
                    <w:webHidden/>
                  </w:rPr>
                  <w:fldChar w:fldCharType="separate"/>
                </w:r>
                <w:r w:rsidR="001B6235">
                  <w:rPr>
                    <w:noProof/>
                    <w:webHidden/>
                  </w:rPr>
                  <w:t>8</w:t>
                </w:r>
                <w:r w:rsidR="0088414A">
                  <w:rPr>
                    <w:noProof/>
                    <w:webHidden/>
                  </w:rPr>
                  <w:fldChar w:fldCharType="end"/>
                </w:r>
              </w:hyperlink>
            </w:p>
            <w:p w14:paraId="52A1BA53" w14:textId="6FFDEFCA" w:rsidR="0088414A" w:rsidRDefault="00482956">
              <w:pPr>
                <w:pStyle w:val="TOC1"/>
                <w:rPr>
                  <w:rFonts w:asciiTheme="minorHAnsi" w:eastAsiaTheme="minorEastAsia" w:hAnsiTheme="minorHAnsi"/>
                  <w:b w:val="0"/>
                  <w:bCs w:val="0"/>
                  <w:noProof/>
                  <w:sz w:val="22"/>
                  <w:szCs w:val="22"/>
                </w:rPr>
              </w:pPr>
              <w:hyperlink w:anchor="_Toc98852145" w:history="1">
                <w:r w:rsidR="0088414A" w:rsidRPr="00781FB7">
                  <w:rPr>
                    <w:rStyle w:val="Hyperlink"/>
                    <w:noProof/>
                  </w:rPr>
                  <w:t>Responding to COVID-19</w:t>
                </w:r>
                <w:r w:rsidR="0088414A">
                  <w:rPr>
                    <w:noProof/>
                    <w:webHidden/>
                  </w:rPr>
                  <w:tab/>
                </w:r>
                <w:r w:rsidR="0088414A">
                  <w:rPr>
                    <w:noProof/>
                    <w:webHidden/>
                  </w:rPr>
                  <w:fldChar w:fldCharType="begin"/>
                </w:r>
                <w:r w:rsidR="0088414A">
                  <w:rPr>
                    <w:noProof/>
                    <w:webHidden/>
                  </w:rPr>
                  <w:instrText xml:space="preserve"> PAGEREF _Toc98852145 \h </w:instrText>
                </w:r>
                <w:r w:rsidR="0088414A">
                  <w:rPr>
                    <w:noProof/>
                    <w:webHidden/>
                  </w:rPr>
                </w:r>
                <w:r w:rsidR="0088414A">
                  <w:rPr>
                    <w:noProof/>
                    <w:webHidden/>
                  </w:rPr>
                  <w:fldChar w:fldCharType="separate"/>
                </w:r>
                <w:r w:rsidR="001B6235">
                  <w:rPr>
                    <w:noProof/>
                    <w:webHidden/>
                  </w:rPr>
                  <w:t>10</w:t>
                </w:r>
                <w:r w:rsidR="0088414A">
                  <w:rPr>
                    <w:noProof/>
                    <w:webHidden/>
                  </w:rPr>
                  <w:fldChar w:fldCharType="end"/>
                </w:r>
              </w:hyperlink>
            </w:p>
            <w:p w14:paraId="2175DD1E" w14:textId="1B04B13F" w:rsidR="0088414A" w:rsidRDefault="00482956">
              <w:pPr>
                <w:pStyle w:val="TOC1"/>
                <w:rPr>
                  <w:rFonts w:asciiTheme="minorHAnsi" w:eastAsiaTheme="minorEastAsia" w:hAnsiTheme="minorHAnsi"/>
                  <w:b w:val="0"/>
                  <w:bCs w:val="0"/>
                  <w:noProof/>
                  <w:sz w:val="22"/>
                  <w:szCs w:val="22"/>
                </w:rPr>
              </w:pPr>
              <w:hyperlink w:anchor="_Toc98852146" w:history="1">
                <w:r w:rsidR="0088414A" w:rsidRPr="00781FB7">
                  <w:rPr>
                    <w:rStyle w:val="Hyperlink"/>
                    <w:noProof/>
                  </w:rPr>
                  <w:t>1. Introduction</w:t>
                </w:r>
                <w:r w:rsidR="0088414A">
                  <w:rPr>
                    <w:noProof/>
                    <w:webHidden/>
                  </w:rPr>
                  <w:tab/>
                </w:r>
                <w:r w:rsidR="0088414A">
                  <w:rPr>
                    <w:noProof/>
                    <w:webHidden/>
                  </w:rPr>
                  <w:fldChar w:fldCharType="begin"/>
                </w:r>
                <w:r w:rsidR="0088414A">
                  <w:rPr>
                    <w:noProof/>
                    <w:webHidden/>
                  </w:rPr>
                  <w:instrText xml:space="preserve"> PAGEREF _Toc98852146 \h </w:instrText>
                </w:r>
                <w:r w:rsidR="0088414A">
                  <w:rPr>
                    <w:noProof/>
                    <w:webHidden/>
                  </w:rPr>
                </w:r>
                <w:r w:rsidR="0088414A">
                  <w:rPr>
                    <w:noProof/>
                    <w:webHidden/>
                  </w:rPr>
                  <w:fldChar w:fldCharType="separate"/>
                </w:r>
                <w:r w:rsidR="001B6235">
                  <w:rPr>
                    <w:noProof/>
                    <w:webHidden/>
                  </w:rPr>
                  <w:t>11</w:t>
                </w:r>
                <w:r w:rsidR="0088414A">
                  <w:rPr>
                    <w:noProof/>
                    <w:webHidden/>
                  </w:rPr>
                  <w:fldChar w:fldCharType="end"/>
                </w:r>
              </w:hyperlink>
            </w:p>
            <w:p w14:paraId="41B08F01" w14:textId="7B0A29BA" w:rsidR="0088414A" w:rsidRDefault="00482956">
              <w:pPr>
                <w:pStyle w:val="TOC1"/>
                <w:rPr>
                  <w:rFonts w:asciiTheme="minorHAnsi" w:eastAsiaTheme="minorEastAsia" w:hAnsiTheme="minorHAnsi"/>
                  <w:b w:val="0"/>
                  <w:bCs w:val="0"/>
                  <w:noProof/>
                  <w:sz w:val="22"/>
                  <w:szCs w:val="22"/>
                </w:rPr>
              </w:pPr>
              <w:hyperlink w:anchor="_Toc98852147" w:history="1">
                <w:r w:rsidR="0088414A" w:rsidRPr="00781FB7">
                  <w:rPr>
                    <w:rStyle w:val="Hyperlink"/>
                    <w:noProof/>
                  </w:rPr>
                  <w:t>2. ROCs issued and renewable generation</w:t>
                </w:r>
                <w:r w:rsidR="0088414A">
                  <w:rPr>
                    <w:noProof/>
                    <w:webHidden/>
                  </w:rPr>
                  <w:tab/>
                </w:r>
                <w:r w:rsidR="0088414A">
                  <w:rPr>
                    <w:noProof/>
                    <w:webHidden/>
                  </w:rPr>
                  <w:fldChar w:fldCharType="begin"/>
                </w:r>
                <w:r w:rsidR="0088414A">
                  <w:rPr>
                    <w:noProof/>
                    <w:webHidden/>
                  </w:rPr>
                  <w:instrText xml:space="preserve"> PAGEREF _Toc98852147 \h </w:instrText>
                </w:r>
                <w:r w:rsidR="0088414A">
                  <w:rPr>
                    <w:noProof/>
                    <w:webHidden/>
                  </w:rPr>
                </w:r>
                <w:r w:rsidR="0088414A">
                  <w:rPr>
                    <w:noProof/>
                    <w:webHidden/>
                  </w:rPr>
                  <w:fldChar w:fldCharType="separate"/>
                </w:r>
                <w:r w:rsidR="001B6235">
                  <w:rPr>
                    <w:noProof/>
                    <w:webHidden/>
                  </w:rPr>
                  <w:t>13</w:t>
                </w:r>
                <w:r w:rsidR="0088414A">
                  <w:rPr>
                    <w:noProof/>
                    <w:webHidden/>
                  </w:rPr>
                  <w:fldChar w:fldCharType="end"/>
                </w:r>
              </w:hyperlink>
            </w:p>
            <w:p w14:paraId="2D6B01AA" w14:textId="39601414" w:rsidR="0088414A" w:rsidRDefault="00482956">
              <w:pPr>
                <w:pStyle w:val="TOC2"/>
                <w:rPr>
                  <w:rFonts w:asciiTheme="minorHAnsi" w:eastAsiaTheme="minorEastAsia" w:hAnsiTheme="minorHAnsi"/>
                  <w:sz w:val="22"/>
                  <w:szCs w:val="22"/>
                </w:rPr>
              </w:pPr>
              <w:hyperlink w:anchor="_Toc98852148" w:history="1">
                <w:r w:rsidR="0088414A" w:rsidRPr="00781FB7">
                  <w:rPr>
                    <w:rStyle w:val="Hyperlink"/>
                  </w:rPr>
                  <w:t>ROCs issued and renewable generation in 2020-21</w:t>
                </w:r>
                <w:r w:rsidR="0088414A">
                  <w:rPr>
                    <w:webHidden/>
                  </w:rPr>
                  <w:tab/>
                </w:r>
                <w:r w:rsidR="0088414A">
                  <w:rPr>
                    <w:webHidden/>
                  </w:rPr>
                  <w:fldChar w:fldCharType="begin"/>
                </w:r>
                <w:r w:rsidR="0088414A">
                  <w:rPr>
                    <w:webHidden/>
                  </w:rPr>
                  <w:instrText xml:space="preserve"> PAGEREF _Toc98852148 \h </w:instrText>
                </w:r>
                <w:r w:rsidR="0088414A">
                  <w:rPr>
                    <w:webHidden/>
                  </w:rPr>
                </w:r>
                <w:r w:rsidR="0088414A">
                  <w:rPr>
                    <w:webHidden/>
                  </w:rPr>
                  <w:fldChar w:fldCharType="separate"/>
                </w:r>
                <w:r w:rsidR="001B6235">
                  <w:rPr>
                    <w:webHidden/>
                  </w:rPr>
                  <w:t>13</w:t>
                </w:r>
                <w:r w:rsidR="0088414A">
                  <w:rPr>
                    <w:webHidden/>
                  </w:rPr>
                  <w:fldChar w:fldCharType="end"/>
                </w:r>
              </w:hyperlink>
            </w:p>
            <w:p w14:paraId="7D2BAA99" w14:textId="2FC3D76C" w:rsidR="0088414A" w:rsidRDefault="00482956">
              <w:pPr>
                <w:pStyle w:val="TOC2"/>
                <w:rPr>
                  <w:rFonts w:asciiTheme="minorHAnsi" w:eastAsiaTheme="minorEastAsia" w:hAnsiTheme="minorHAnsi"/>
                  <w:sz w:val="22"/>
                  <w:szCs w:val="22"/>
                </w:rPr>
              </w:pPr>
              <w:hyperlink w:anchor="_Toc98852149" w:history="1">
                <w:r w:rsidR="0088414A" w:rsidRPr="00781FB7">
                  <w:rPr>
                    <w:rStyle w:val="Hyperlink"/>
                  </w:rPr>
                  <w:t>Technologies</w:t>
                </w:r>
                <w:r w:rsidR="0088414A">
                  <w:rPr>
                    <w:webHidden/>
                  </w:rPr>
                  <w:tab/>
                </w:r>
                <w:r w:rsidR="0088414A">
                  <w:rPr>
                    <w:webHidden/>
                  </w:rPr>
                  <w:fldChar w:fldCharType="begin"/>
                </w:r>
                <w:r w:rsidR="0088414A">
                  <w:rPr>
                    <w:webHidden/>
                  </w:rPr>
                  <w:instrText xml:space="preserve"> PAGEREF _Toc98852149 \h </w:instrText>
                </w:r>
                <w:r w:rsidR="0088414A">
                  <w:rPr>
                    <w:webHidden/>
                  </w:rPr>
                </w:r>
                <w:r w:rsidR="0088414A">
                  <w:rPr>
                    <w:webHidden/>
                  </w:rPr>
                  <w:fldChar w:fldCharType="separate"/>
                </w:r>
                <w:r w:rsidR="001B6235">
                  <w:rPr>
                    <w:webHidden/>
                  </w:rPr>
                  <w:t>16</w:t>
                </w:r>
                <w:r w:rsidR="0088414A">
                  <w:rPr>
                    <w:webHidden/>
                  </w:rPr>
                  <w:fldChar w:fldCharType="end"/>
                </w:r>
              </w:hyperlink>
            </w:p>
            <w:p w14:paraId="0F3CB99A" w14:textId="43C9DA91" w:rsidR="0088414A" w:rsidRDefault="00482956">
              <w:pPr>
                <w:pStyle w:val="TOC2"/>
                <w:rPr>
                  <w:rFonts w:asciiTheme="minorHAnsi" w:eastAsiaTheme="minorEastAsia" w:hAnsiTheme="minorHAnsi"/>
                  <w:sz w:val="22"/>
                  <w:szCs w:val="22"/>
                </w:rPr>
              </w:pPr>
              <w:hyperlink w:anchor="_Toc98852150" w:history="1">
                <w:r w:rsidR="0088414A" w:rsidRPr="00781FB7">
                  <w:rPr>
                    <w:rStyle w:val="Hyperlink"/>
                  </w:rPr>
                  <w:t>Revoked and retired ROCs</w:t>
                </w:r>
                <w:r w:rsidR="0088414A">
                  <w:rPr>
                    <w:webHidden/>
                  </w:rPr>
                  <w:tab/>
                </w:r>
                <w:r w:rsidR="0088414A">
                  <w:rPr>
                    <w:webHidden/>
                  </w:rPr>
                  <w:fldChar w:fldCharType="begin"/>
                </w:r>
                <w:r w:rsidR="0088414A">
                  <w:rPr>
                    <w:webHidden/>
                  </w:rPr>
                  <w:instrText xml:space="preserve"> PAGEREF _Toc98852150 \h </w:instrText>
                </w:r>
                <w:r w:rsidR="0088414A">
                  <w:rPr>
                    <w:webHidden/>
                  </w:rPr>
                </w:r>
                <w:r w:rsidR="0088414A">
                  <w:rPr>
                    <w:webHidden/>
                  </w:rPr>
                  <w:fldChar w:fldCharType="separate"/>
                </w:r>
                <w:r w:rsidR="001B6235">
                  <w:rPr>
                    <w:webHidden/>
                  </w:rPr>
                  <w:t>19</w:t>
                </w:r>
                <w:r w:rsidR="0088414A">
                  <w:rPr>
                    <w:webHidden/>
                  </w:rPr>
                  <w:fldChar w:fldCharType="end"/>
                </w:r>
              </w:hyperlink>
            </w:p>
            <w:p w14:paraId="27A912E7" w14:textId="7C1F7E41" w:rsidR="0088414A" w:rsidRDefault="00482956">
              <w:pPr>
                <w:pStyle w:val="TOC1"/>
                <w:rPr>
                  <w:rFonts w:asciiTheme="minorHAnsi" w:eastAsiaTheme="minorEastAsia" w:hAnsiTheme="minorHAnsi"/>
                  <w:b w:val="0"/>
                  <w:bCs w:val="0"/>
                  <w:noProof/>
                  <w:sz w:val="22"/>
                  <w:szCs w:val="22"/>
                </w:rPr>
              </w:pPr>
              <w:hyperlink w:anchor="_Toc98852151" w:history="1">
                <w:r w:rsidR="0088414A" w:rsidRPr="00781FB7">
                  <w:rPr>
                    <w:rStyle w:val="Hyperlink"/>
                    <w:noProof/>
                  </w:rPr>
                  <w:t>3. Biomass sustainability</w:t>
                </w:r>
                <w:r w:rsidR="0088414A">
                  <w:rPr>
                    <w:noProof/>
                    <w:webHidden/>
                  </w:rPr>
                  <w:tab/>
                </w:r>
                <w:r w:rsidR="0088414A">
                  <w:rPr>
                    <w:noProof/>
                    <w:webHidden/>
                  </w:rPr>
                  <w:fldChar w:fldCharType="begin"/>
                </w:r>
                <w:r w:rsidR="0088414A">
                  <w:rPr>
                    <w:noProof/>
                    <w:webHidden/>
                  </w:rPr>
                  <w:instrText xml:space="preserve"> PAGEREF _Toc98852151 \h </w:instrText>
                </w:r>
                <w:r w:rsidR="0088414A">
                  <w:rPr>
                    <w:noProof/>
                    <w:webHidden/>
                  </w:rPr>
                </w:r>
                <w:r w:rsidR="0088414A">
                  <w:rPr>
                    <w:noProof/>
                    <w:webHidden/>
                  </w:rPr>
                  <w:fldChar w:fldCharType="separate"/>
                </w:r>
                <w:r w:rsidR="001B6235">
                  <w:rPr>
                    <w:noProof/>
                    <w:webHidden/>
                  </w:rPr>
                  <w:t>20</w:t>
                </w:r>
                <w:r w:rsidR="0088414A">
                  <w:rPr>
                    <w:noProof/>
                    <w:webHidden/>
                  </w:rPr>
                  <w:fldChar w:fldCharType="end"/>
                </w:r>
              </w:hyperlink>
            </w:p>
            <w:p w14:paraId="1C46E61C" w14:textId="080368D9" w:rsidR="0088414A" w:rsidRDefault="00482956">
              <w:pPr>
                <w:pStyle w:val="TOC2"/>
                <w:rPr>
                  <w:rFonts w:asciiTheme="minorHAnsi" w:eastAsiaTheme="minorEastAsia" w:hAnsiTheme="minorHAnsi"/>
                  <w:sz w:val="22"/>
                  <w:szCs w:val="22"/>
                </w:rPr>
              </w:pPr>
              <w:hyperlink w:anchor="_Toc98852152" w:history="1">
                <w:r w:rsidR="0088414A" w:rsidRPr="00781FB7">
                  <w:rPr>
                    <w:rStyle w:val="Hyperlink"/>
                    <w:rFonts w:eastAsia="Times New Roman"/>
                  </w:rPr>
                  <w:t>Sustainability Criteria</w:t>
                </w:r>
                <w:r w:rsidR="0088414A">
                  <w:rPr>
                    <w:webHidden/>
                  </w:rPr>
                  <w:tab/>
                </w:r>
                <w:r w:rsidR="0088414A">
                  <w:rPr>
                    <w:webHidden/>
                  </w:rPr>
                  <w:fldChar w:fldCharType="begin"/>
                </w:r>
                <w:r w:rsidR="0088414A">
                  <w:rPr>
                    <w:webHidden/>
                  </w:rPr>
                  <w:instrText xml:space="preserve"> PAGEREF _Toc98852152 \h </w:instrText>
                </w:r>
                <w:r w:rsidR="0088414A">
                  <w:rPr>
                    <w:webHidden/>
                  </w:rPr>
                </w:r>
                <w:r w:rsidR="0088414A">
                  <w:rPr>
                    <w:webHidden/>
                  </w:rPr>
                  <w:fldChar w:fldCharType="separate"/>
                </w:r>
                <w:r w:rsidR="001B6235">
                  <w:rPr>
                    <w:webHidden/>
                  </w:rPr>
                  <w:t>20</w:t>
                </w:r>
                <w:r w:rsidR="0088414A">
                  <w:rPr>
                    <w:webHidden/>
                  </w:rPr>
                  <w:fldChar w:fldCharType="end"/>
                </w:r>
              </w:hyperlink>
            </w:p>
            <w:p w14:paraId="66F690DE" w14:textId="17A3C45D" w:rsidR="0088414A" w:rsidRDefault="00482956">
              <w:pPr>
                <w:pStyle w:val="TOC2"/>
                <w:rPr>
                  <w:rFonts w:asciiTheme="minorHAnsi" w:eastAsiaTheme="minorEastAsia" w:hAnsiTheme="minorHAnsi"/>
                  <w:sz w:val="22"/>
                  <w:szCs w:val="22"/>
                </w:rPr>
              </w:pPr>
              <w:hyperlink w:anchor="_Toc98852153" w:history="1">
                <w:r w:rsidR="0088414A" w:rsidRPr="00781FB7">
                  <w:rPr>
                    <w:rStyle w:val="Hyperlink"/>
                    <w:rFonts w:eastAsia="Times New Roman"/>
                  </w:rPr>
                  <w:t>Performance Summary</w:t>
                </w:r>
                <w:r w:rsidR="0088414A">
                  <w:rPr>
                    <w:webHidden/>
                  </w:rPr>
                  <w:tab/>
                </w:r>
                <w:r w:rsidR="0088414A">
                  <w:rPr>
                    <w:webHidden/>
                  </w:rPr>
                  <w:fldChar w:fldCharType="begin"/>
                </w:r>
                <w:r w:rsidR="0088414A">
                  <w:rPr>
                    <w:webHidden/>
                  </w:rPr>
                  <w:instrText xml:space="preserve"> PAGEREF _Toc98852153 \h </w:instrText>
                </w:r>
                <w:r w:rsidR="0088414A">
                  <w:rPr>
                    <w:webHidden/>
                  </w:rPr>
                </w:r>
                <w:r w:rsidR="0088414A">
                  <w:rPr>
                    <w:webHidden/>
                  </w:rPr>
                  <w:fldChar w:fldCharType="separate"/>
                </w:r>
                <w:r w:rsidR="001B6235">
                  <w:rPr>
                    <w:webHidden/>
                  </w:rPr>
                  <w:t>22</w:t>
                </w:r>
                <w:r w:rsidR="0088414A">
                  <w:rPr>
                    <w:webHidden/>
                  </w:rPr>
                  <w:fldChar w:fldCharType="end"/>
                </w:r>
              </w:hyperlink>
            </w:p>
            <w:p w14:paraId="1C20868B" w14:textId="1F07AB6E" w:rsidR="0088414A" w:rsidRDefault="00482956">
              <w:pPr>
                <w:pStyle w:val="TOC2"/>
                <w:rPr>
                  <w:rFonts w:asciiTheme="minorHAnsi" w:eastAsiaTheme="minorEastAsia" w:hAnsiTheme="minorHAnsi"/>
                  <w:sz w:val="22"/>
                  <w:szCs w:val="22"/>
                </w:rPr>
              </w:pPr>
              <w:hyperlink w:anchor="_Toc98852154" w:history="1">
                <w:r w:rsidR="0088414A" w:rsidRPr="00781FB7">
                  <w:rPr>
                    <w:rStyle w:val="Hyperlink"/>
                    <w:rFonts w:eastAsia="Times New Roman"/>
                  </w:rPr>
                  <w:t>Feedstock/fuel types</w:t>
                </w:r>
                <w:r w:rsidR="0088414A">
                  <w:rPr>
                    <w:webHidden/>
                  </w:rPr>
                  <w:tab/>
                </w:r>
                <w:r w:rsidR="0088414A">
                  <w:rPr>
                    <w:webHidden/>
                  </w:rPr>
                  <w:fldChar w:fldCharType="begin"/>
                </w:r>
                <w:r w:rsidR="0088414A">
                  <w:rPr>
                    <w:webHidden/>
                  </w:rPr>
                  <w:instrText xml:space="preserve"> PAGEREF _Toc98852154 \h </w:instrText>
                </w:r>
                <w:r w:rsidR="0088414A">
                  <w:rPr>
                    <w:webHidden/>
                  </w:rPr>
                </w:r>
                <w:r w:rsidR="0088414A">
                  <w:rPr>
                    <w:webHidden/>
                  </w:rPr>
                  <w:fldChar w:fldCharType="separate"/>
                </w:r>
                <w:r w:rsidR="001B6235">
                  <w:rPr>
                    <w:webHidden/>
                  </w:rPr>
                  <w:t>24</w:t>
                </w:r>
                <w:r w:rsidR="0088414A">
                  <w:rPr>
                    <w:webHidden/>
                  </w:rPr>
                  <w:fldChar w:fldCharType="end"/>
                </w:r>
              </w:hyperlink>
            </w:p>
            <w:p w14:paraId="26D63992" w14:textId="697C67BE" w:rsidR="0088414A" w:rsidRDefault="00482956">
              <w:pPr>
                <w:pStyle w:val="TOC2"/>
                <w:rPr>
                  <w:rFonts w:asciiTheme="minorHAnsi" w:eastAsiaTheme="minorEastAsia" w:hAnsiTheme="minorHAnsi"/>
                  <w:sz w:val="22"/>
                  <w:szCs w:val="22"/>
                </w:rPr>
              </w:pPr>
              <w:hyperlink w:anchor="_Toc98852155" w:history="1">
                <w:r w:rsidR="0088414A" w:rsidRPr="00781FB7">
                  <w:rPr>
                    <w:rStyle w:val="Hyperlink"/>
                    <w:rFonts w:eastAsia="Times New Roman"/>
                  </w:rPr>
                  <w:t>Country of origin</w:t>
                </w:r>
                <w:r w:rsidR="0088414A">
                  <w:rPr>
                    <w:webHidden/>
                  </w:rPr>
                  <w:tab/>
                </w:r>
                <w:r w:rsidR="0088414A">
                  <w:rPr>
                    <w:webHidden/>
                  </w:rPr>
                  <w:fldChar w:fldCharType="begin"/>
                </w:r>
                <w:r w:rsidR="0088414A">
                  <w:rPr>
                    <w:webHidden/>
                  </w:rPr>
                  <w:instrText xml:space="preserve"> PAGEREF _Toc98852155 \h </w:instrText>
                </w:r>
                <w:r w:rsidR="0088414A">
                  <w:rPr>
                    <w:webHidden/>
                  </w:rPr>
                </w:r>
                <w:r w:rsidR="0088414A">
                  <w:rPr>
                    <w:webHidden/>
                  </w:rPr>
                  <w:fldChar w:fldCharType="separate"/>
                </w:r>
                <w:r w:rsidR="001B6235">
                  <w:rPr>
                    <w:webHidden/>
                  </w:rPr>
                  <w:t>26</w:t>
                </w:r>
                <w:r w:rsidR="0088414A">
                  <w:rPr>
                    <w:webHidden/>
                  </w:rPr>
                  <w:fldChar w:fldCharType="end"/>
                </w:r>
              </w:hyperlink>
            </w:p>
            <w:p w14:paraId="036B5CED" w14:textId="1F8903AF" w:rsidR="0088414A" w:rsidRDefault="00482956">
              <w:pPr>
                <w:pStyle w:val="TOC1"/>
                <w:rPr>
                  <w:rFonts w:asciiTheme="minorHAnsi" w:eastAsiaTheme="minorEastAsia" w:hAnsiTheme="minorHAnsi"/>
                  <w:b w:val="0"/>
                  <w:bCs w:val="0"/>
                  <w:noProof/>
                  <w:sz w:val="22"/>
                  <w:szCs w:val="22"/>
                </w:rPr>
              </w:pPr>
              <w:hyperlink w:anchor="_Toc98852156" w:history="1">
                <w:r w:rsidR="0088414A" w:rsidRPr="00781FB7">
                  <w:rPr>
                    <w:rStyle w:val="Hyperlink"/>
                    <w:noProof/>
                  </w:rPr>
                  <w:t>4. Compliance by licensed suppliers</w:t>
                </w:r>
                <w:r w:rsidR="0088414A">
                  <w:rPr>
                    <w:noProof/>
                    <w:webHidden/>
                  </w:rPr>
                  <w:tab/>
                </w:r>
                <w:r w:rsidR="0088414A">
                  <w:rPr>
                    <w:noProof/>
                    <w:webHidden/>
                  </w:rPr>
                  <w:fldChar w:fldCharType="begin"/>
                </w:r>
                <w:r w:rsidR="0088414A">
                  <w:rPr>
                    <w:noProof/>
                    <w:webHidden/>
                  </w:rPr>
                  <w:instrText xml:space="preserve"> PAGEREF _Toc98852156 \h </w:instrText>
                </w:r>
                <w:r w:rsidR="0088414A">
                  <w:rPr>
                    <w:noProof/>
                    <w:webHidden/>
                  </w:rPr>
                </w:r>
                <w:r w:rsidR="0088414A">
                  <w:rPr>
                    <w:noProof/>
                    <w:webHidden/>
                  </w:rPr>
                  <w:fldChar w:fldCharType="separate"/>
                </w:r>
                <w:r w:rsidR="001B6235">
                  <w:rPr>
                    <w:noProof/>
                    <w:webHidden/>
                  </w:rPr>
                  <w:t>29</w:t>
                </w:r>
                <w:r w:rsidR="0088414A">
                  <w:rPr>
                    <w:noProof/>
                    <w:webHidden/>
                  </w:rPr>
                  <w:fldChar w:fldCharType="end"/>
                </w:r>
              </w:hyperlink>
            </w:p>
            <w:p w14:paraId="48D89D21" w14:textId="6950142E" w:rsidR="0088414A" w:rsidRDefault="00482956">
              <w:pPr>
                <w:pStyle w:val="TOC2"/>
                <w:rPr>
                  <w:rFonts w:asciiTheme="minorHAnsi" w:eastAsiaTheme="minorEastAsia" w:hAnsiTheme="minorHAnsi"/>
                  <w:sz w:val="22"/>
                  <w:szCs w:val="22"/>
                </w:rPr>
              </w:pPr>
              <w:hyperlink w:anchor="_Toc98852157" w:history="1">
                <w:r w:rsidR="0088414A" w:rsidRPr="00781FB7">
                  <w:rPr>
                    <w:rStyle w:val="Hyperlink"/>
                  </w:rPr>
                  <w:t>Supplier Obligation</w:t>
                </w:r>
                <w:r w:rsidR="0088414A">
                  <w:rPr>
                    <w:webHidden/>
                  </w:rPr>
                  <w:tab/>
                </w:r>
                <w:r w:rsidR="0088414A">
                  <w:rPr>
                    <w:webHidden/>
                  </w:rPr>
                  <w:fldChar w:fldCharType="begin"/>
                </w:r>
                <w:r w:rsidR="0088414A">
                  <w:rPr>
                    <w:webHidden/>
                  </w:rPr>
                  <w:instrText xml:space="preserve"> PAGEREF _Toc98852157 \h </w:instrText>
                </w:r>
                <w:r w:rsidR="0088414A">
                  <w:rPr>
                    <w:webHidden/>
                  </w:rPr>
                </w:r>
                <w:r w:rsidR="0088414A">
                  <w:rPr>
                    <w:webHidden/>
                  </w:rPr>
                  <w:fldChar w:fldCharType="separate"/>
                </w:r>
                <w:r w:rsidR="001B6235">
                  <w:rPr>
                    <w:webHidden/>
                  </w:rPr>
                  <w:t>29</w:t>
                </w:r>
                <w:r w:rsidR="0088414A">
                  <w:rPr>
                    <w:webHidden/>
                  </w:rPr>
                  <w:fldChar w:fldCharType="end"/>
                </w:r>
              </w:hyperlink>
            </w:p>
            <w:p w14:paraId="3910DB32" w14:textId="1F6130A2" w:rsidR="0088414A" w:rsidRDefault="00482956">
              <w:pPr>
                <w:pStyle w:val="TOC2"/>
                <w:rPr>
                  <w:rFonts w:asciiTheme="minorHAnsi" w:eastAsiaTheme="minorEastAsia" w:hAnsiTheme="minorHAnsi"/>
                  <w:sz w:val="22"/>
                  <w:szCs w:val="22"/>
                </w:rPr>
              </w:pPr>
              <w:hyperlink w:anchor="_Toc98852158" w:history="1">
                <w:r w:rsidR="0088414A" w:rsidRPr="00781FB7">
                  <w:rPr>
                    <w:rStyle w:val="Hyperlink"/>
                    <w:rFonts w:cstheme="minorHAnsi"/>
                  </w:rPr>
                  <w:t>Compliance and Enforcement</w:t>
                </w:r>
                <w:r w:rsidR="0088414A">
                  <w:rPr>
                    <w:webHidden/>
                  </w:rPr>
                  <w:tab/>
                </w:r>
                <w:r w:rsidR="0088414A">
                  <w:rPr>
                    <w:webHidden/>
                  </w:rPr>
                  <w:fldChar w:fldCharType="begin"/>
                </w:r>
                <w:r w:rsidR="0088414A">
                  <w:rPr>
                    <w:webHidden/>
                  </w:rPr>
                  <w:instrText xml:space="preserve"> PAGEREF _Toc98852158 \h </w:instrText>
                </w:r>
                <w:r w:rsidR="0088414A">
                  <w:rPr>
                    <w:webHidden/>
                  </w:rPr>
                </w:r>
                <w:r w:rsidR="0088414A">
                  <w:rPr>
                    <w:webHidden/>
                  </w:rPr>
                  <w:fldChar w:fldCharType="separate"/>
                </w:r>
                <w:r w:rsidR="001B6235">
                  <w:rPr>
                    <w:webHidden/>
                  </w:rPr>
                  <w:t>30</w:t>
                </w:r>
                <w:r w:rsidR="0088414A">
                  <w:rPr>
                    <w:webHidden/>
                  </w:rPr>
                  <w:fldChar w:fldCharType="end"/>
                </w:r>
              </w:hyperlink>
            </w:p>
            <w:p w14:paraId="56B5EFB2" w14:textId="27FB6ED8" w:rsidR="0088414A" w:rsidRDefault="00482956">
              <w:pPr>
                <w:pStyle w:val="TOC2"/>
                <w:rPr>
                  <w:rFonts w:asciiTheme="minorHAnsi" w:eastAsiaTheme="minorEastAsia" w:hAnsiTheme="minorHAnsi"/>
                  <w:sz w:val="22"/>
                  <w:szCs w:val="22"/>
                </w:rPr>
              </w:pPr>
              <w:hyperlink w:anchor="_Toc98852159" w:history="1">
                <w:r w:rsidR="0088414A" w:rsidRPr="00781FB7">
                  <w:rPr>
                    <w:rStyle w:val="Hyperlink"/>
                    <w:rFonts w:cstheme="minorHAnsi"/>
                  </w:rPr>
                  <w:t>2020-21 Compliance Timeline</w:t>
                </w:r>
                <w:r w:rsidR="0088414A">
                  <w:rPr>
                    <w:webHidden/>
                  </w:rPr>
                  <w:tab/>
                </w:r>
                <w:r w:rsidR="0088414A">
                  <w:rPr>
                    <w:webHidden/>
                  </w:rPr>
                  <w:fldChar w:fldCharType="begin"/>
                </w:r>
                <w:r w:rsidR="0088414A">
                  <w:rPr>
                    <w:webHidden/>
                  </w:rPr>
                  <w:instrText xml:space="preserve"> PAGEREF _Toc98852159 \h </w:instrText>
                </w:r>
                <w:r w:rsidR="0088414A">
                  <w:rPr>
                    <w:webHidden/>
                  </w:rPr>
                </w:r>
                <w:r w:rsidR="0088414A">
                  <w:rPr>
                    <w:webHidden/>
                  </w:rPr>
                  <w:fldChar w:fldCharType="separate"/>
                </w:r>
                <w:r w:rsidR="001B6235">
                  <w:rPr>
                    <w:webHidden/>
                  </w:rPr>
                  <w:t>34</w:t>
                </w:r>
                <w:r w:rsidR="0088414A">
                  <w:rPr>
                    <w:webHidden/>
                  </w:rPr>
                  <w:fldChar w:fldCharType="end"/>
                </w:r>
              </w:hyperlink>
            </w:p>
            <w:p w14:paraId="1CB95409" w14:textId="46A667AF" w:rsidR="0088414A" w:rsidRDefault="00482956">
              <w:pPr>
                <w:pStyle w:val="TOC2"/>
                <w:rPr>
                  <w:rFonts w:asciiTheme="minorHAnsi" w:eastAsiaTheme="minorEastAsia" w:hAnsiTheme="minorHAnsi"/>
                  <w:sz w:val="22"/>
                  <w:szCs w:val="22"/>
                </w:rPr>
              </w:pPr>
              <w:hyperlink w:anchor="_Toc98852160" w:history="1">
                <w:r w:rsidR="0088414A" w:rsidRPr="00781FB7">
                  <w:rPr>
                    <w:rStyle w:val="Hyperlink"/>
                  </w:rPr>
                  <w:t>Mutualisation</w:t>
                </w:r>
                <w:r w:rsidR="0088414A">
                  <w:rPr>
                    <w:webHidden/>
                  </w:rPr>
                  <w:tab/>
                </w:r>
                <w:r w:rsidR="0088414A">
                  <w:rPr>
                    <w:webHidden/>
                  </w:rPr>
                  <w:fldChar w:fldCharType="begin"/>
                </w:r>
                <w:r w:rsidR="0088414A">
                  <w:rPr>
                    <w:webHidden/>
                  </w:rPr>
                  <w:instrText xml:space="preserve"> PAGEREF _Toc98852160 \h </w:instrText>
                </w:r>
                <w:r w:rsidR="0088414A">
                  <w:rPr>
                    <w:webHidden/>
                  </w:rPr>
                </w:r>
                <w:r w:rsidR="0088414A">
                  <w:rPr>
                    <w:webHidden/>
                  </w:rPr>
                  <w:fldChar w:fldCharType="separate"/>
                </w:r>
                <w:r w:rsidR="001B6235">
                  <w:rPr>
                    <w:webHidden/>
                  </w:rPr>
                  <w:t>44</w:t>
                </w:r>
                <w:r w:rsidR="0088414A">
                  <w:rPr>
                    <w:webHidden/>
                  </w:rPr>
                  <w:fldChar w:fldCharType="end"/>
                </w:r>
              </w:hyperlink>
            </w:p>
            <w:p w14:paraId="0CD9A4FB" w14:textId="6F400C48" w:rsidR="0088414A" w:rsidRDefault="00482956">
              <w:pPr>
                <w:pStyle w:val="TOC2"/>
                <w:rPr>
                  <w:rFonts w:asciiTheme="minorHAnsi" w:eastAsiaTheme="minorEastAsia" w:hAnsiTheme="minorHAnsi"/>
                  <w:sz w:val="22"/>
                  <w:szCs w:val="22"/>
                </w:rPr>
              </w:pPr>
              <w:hyperlink w:anchor="_Toc98852161" w:history="1">
                <w:r w:rsidR="0088414A" w:rsidRPr="00781FB7">
                  <w:rPr>
                    <w:rStyle w:val="Hyperlink"/>
                  </w:rPr>
                  <w:t>2020-21 Supplier Audits</w:t>
                </w:r>
                <w:r w:rsidR="0088414A">
                  <w:rPr>
                    <w:webHidden/>
                  </w:rPr>
                  <w:tab/>
                </w:r>
                <w:r w:rsidR="0088414A">
                  <w:rPr>
                    <w:webHidden/>
                  </w:rPr>
                  <w:fldChar w:fldCharType="begin"/>
                </w:r>
                <w:r w:rsidR="0088414A">
                  <w:rPr>
                    <w:webHidden/>
                  </w:rPr>
                  <w:instrText xml:space="preserve"> PAGEREF _Toc98852161 \h </w:instrText>
                </w:r>
                <w:r w:rsidR="0088414A">
                  <w:rPr>
                    <w:webHidden/>
                  </w:rPr>
                </w:r>
                <w:r w:rsidR="0088414A">
                  <w:rPr>
                    <w:webHidden/>
                  </w:rPr>
                  <w:fldChar w:fldCharType="separate"/>
                </w:r>
                <w:r w:rsidR="001B6235">
                  <w:rPr>
                    <w:webHidden/>
                  </w:rPr>
                  <w:t>46</w:t>
                </w:r>
                <w:r w:rsidR="0088414A">
                  <w:rPr>
                    <w:webHidden/>
                  </w:rPr>
                  <w:fldChar w:fldCharType="end"/>
                </w:r>
              </w:hyperlink>
            </w:p>
            <w:p w14:paraId="149ADE25" w14:textId="110E671A" w:rsidR="0088414A" w:rsidRDefault="00482956">
              <w:pPr>
                <w:pStyle w:val="TOC1"/>
                <w:rPr>
                  <w:rFonts w:asciiTheme="minorHAnsi" w:eastAsiaTheme="minorEastAsia" w:hAnsiTheme="minorHAnsi"/>
                  <w:b w:val="0"/>
                  <w:bCs w:val="0"/>
                  <w:noProof/>
                  <w:sz w:val="22"/>
                  <w:szCs w:val="22"/>
                </w:rPr>
              </w:pPr>
              <w:hyperlink w:anchor="_Toc98852162" w:history="1">
                <w:r w:rsidR="0088414A" w:rsidRPr="00781FB7">
                  <w:rPr>
                    <w:rStyle w:val="Hyperlink"/>
                    <w:noProof/>
                  </w:rPr>
                  <w:t>5. Compliance of RO generators</w:t>
                </w:r>
                <w:r w:rsidR="0088414A">
                  <w:rPr>
                    <w:noProof/>
                    <w:webHidden/>
                  </w:rPr>
                  <w:tab/>
                </w:r>
                <w:r w:rsidR="0088414A">
                  <w:rPr>
                    <w:noProof/>
                    <w:webHidden/>
                  </w:rPr>
                  <w:fldChar w:fldCharType="begin"/>
                </w:r>
                <w:r w:rsidR="0088414A">
                  <w:rPr>
                    <w:noProof/>
                    <w:webHidden/>
                  </w:rPr>
                  <w:instrText xml:space="preserve"> PAGEREF _Toc98852162 \h </w:instrText>
                </w:r>
                <w:r w:rsidR="0088414A">
                  <w:rPr>
                    <w:noProof/>
                    <w:webHidden/>
                  </w:rPr>
                </w:r>
                <w:r w:rsidR="0088414A">
                  <w:rPr>
                    <w:noProof/>
                    <w:webHidden/>
                  </w:rPr>
                  <w:fldChar w:fldCharType="separate"/>
                </w:r>
                <w:r w:rsidR="001B6235">
                  <w:rPr>
                    <w:noProof/>
                    <w:webHidden/>
                  </w:rPr>
                  <w:t>48</w:t>
                </w:r>
                <w:r w:rsidR="0088414A">
                  <w:rPr>
                    <w:noProof/>
                    <w:webHidden/>
                  </w:rPr>
                  <w:fldChar w:fldCharType="end"/>
                </w:r>
              </w:hyperlink>
            </w:p>
            <w:p w14:paraId="4B6BDE14" w14:textId="48B94888" w:rsidR="0088414A" w:rsidRDefault="00482956">
              <w:pPr>
                <w:pStyle w:val="TOC2"/>
                <w:rPr>
                  <w:rFonts w:asciiTheme="minorHAnsi" w:eastAsiaTheme="minorEastAsia" w:hAnsiTheme="minorHAnsi"/>
                  <w:sz w:val="22"/>
                  <w:szCs w:val="22"/>
                </w:rPr>
              </w:pPr>
              <w:hyperlink w:anchor="_Toc98852164" w:history="1">
                <w:r w:rsidR="0088414A" w:rsidRPr="00781FB7">
                  <w:rPr>
                    <w:rStyle w:val="Hyperlink"/>
                  </w:rPr>
                  <w:t>Targeted Generator Audits</w:t>
                </w:r>
                <w:r w:rsidR="0088414A">
                  <w:rPr>
                    <w:webHidden/>
                  </w:rPr>
                  <w:tab/>
                </w:r>
                <w:r w:rsidR="0088414A">
                  <w:rPr>
                    <w:webHidden/>
                  </w:rPr>
                  <w:fldChar w:fldCharType="begin"/>
                </w:r>
                <w:r w:rsidR="0088414A">
                  <w:rPr>
                    <w:webHidden/>
                  </w:rPr>
                  <w:instrText xml:space="preserve"> PAGEREF _Toc98852164 \h </w:instrText>
                </w:r>
                <w:r w:rsidR="0088414A">
                  <w:rPr>
                    <w:webHidden/>
                  </w:rPr>
                </w:r>
                <w:r w:rsidR="0088414A">
                  <w:rPr>
                    <w:webHidden/>
                  </w:rPr>
                  <w:fldChar w:fldCharType="separate"/>
                </w:r>
                <w:r w:rsidR="001B6235">
                  <w:rPr>
                    <w:webHidden/>
                  </w:rPr>
                  <w:t>49</w:t>
                </w:r>
                <w:r w:rsidR="0088414A">
                  <w:rPr>
                    <w:webHidden/>
                  </w:rPr>
                  <w:fldChar w:fldCharType="end"/>
                </w:r>
              </w:hyperlink>
            </w:p>
            <w:p w14:paraId="04337944" w14:textId="018EEDEC" w:rsidR="0088414A" w:rsidRDefault="00482956">
              <w:pPr>
                <w:pStyle w:val="TOC2"/>
                <w:rPr>
                  <w:rFonts w:asciiTheme="minorHAnsi" w:eastAsiaTheme="minorEastAsia" w:hAnsiTheme="minorHAnsi"/>
                  <w:sz w:val="22"/>
                  <w:szCs w:val="22"/>
                </w:rPr>
              </w:pPr>
              <w:hyperlink w:anchor="_Toc98852165" w:history="1">
                <w:r w:rsidR="0088414A" w:rsidRPr="00781FB7">
                  <w:rPr>
                    <w:rStyle w:val="Hyperlink"/>
                  </w:rPr>
                  <w:t>Statistical Generator Audits</w:t>
                </w:r>
                <w:r w:rsidR="0088414A">
                  <w:rPr>
                    <w:webHidden/>
                  </w:rPr>
                  <w:tab/>
                </w:r>
                <w:r w:rsidR="0088414A">
                  <w:rPr>
                    <w:webHidden/>
                  </w:rPr>
                  <w:fldChar w:fldCharType="begin"/>
                </w:r>
                <w:r w:rsidR="0088414A">
                  <w:rPr>
                    <w:webHidden/>
                  </w:rPr>
                  <w:instrText xml:space="preserve"> PAGEREF _Toc98852165 \h </w:instrText>
                </w:r>
                <w:r w:rsidR="0088414A">
                  <w:rPr>
                    <w:webHidden/>
                  </w:rPr>
                </w:r>
                <w:r w:rsidR="0088414A">
                  <w:rPr>
                    <w:webHidden/>
                  </w:rPr>
                  <w:fldChar w:fldCharType="separate"/>
                </w:r>
                <w:r w:rsidR="001B6235">
                  <w:rPr>
                    <w:webHidden/>
                  </w:rPr>
                  <w:t>53</w:t>
                </w:r>
                <w:r w:rsidR="0088414A">
                  <w:rPr>
                    <w:webHidden/>
                  </w:rPr>
                  <w:fldChar w:fldCharType="end"/>
                </w:r>
              </w:hyperlink>
            </w:p>
            <w:p w14:paraId="45BFCA91" w14:textId="31199615" w:rsidR="0088414A" w:rsidRDefault="00482956">
              <w:pPr>
                <w:pStyle w:val="TOC2"/>
                <w:rPr>
                  <w:rFonts w:asciiTheme="minorHAnsi" w:eastAsiaTheme="minorEastAsia" w:hAnsiTheme="minorHAnsi"/>
                  <w:sz w:val="22"/>
                  <w:szCs w:val="22"/>
                </w:rPr>
              </w:pPr>
              <w:hyperlink w:anchor="_Toc98852166" w:history="1">
                <w:r w:rsidR="0088414A" w:rsidRPr="00781FB7">
                  <w:rPr>
                    <w:rStyle w:val="Hyperlink"/>
                  </w:rPr>
                  <w:t>2020-21 Northern Ireland Micro Generator Audits</w:t>
                </w:r>
                <w:r w:rsidR="0088414A">
                  <w:rPr>
                    <w:webHidden/>
                  </w:rPr>
                  <w:tab/>
                </w:r>
                <w:r w:rsidR="0088414A">
                  <w:rPr>
                    <w:webHidden/>
                  </w:rPr>
                  <w:fldChar w:fldCharType="begin"/>
                </w:r>
                <w:r w:rsidR="0088414A">
                  <w:rPr>
                    <w:webHidden/>
                  </w:rPr>
                  <w:instrText xml:space="preserve"> PAGEREF _Toc98852166 \h </w:instrText>
                </w:r>
                <w:r w:rsidR="0088414A">
                  <w:rPr>
                    <w:webHidden/>
                  </w:rPr>
                </w:r>
                <w:r w:rsidR="0088414A">
                  <w:rPr>
                    <w:webHidden/>
                  </w:rPr>
                  <w:fldChar w:fldCharType="separate"/>
                </w:r>
                <w:r w:rsidR="001B6235">
                  <w:rPr>
                    <w:webHidden/>
                  </w:rPr>
                  <w:t>56</w:t>
                </w:r>
                <w:r w:rsidR="0088414A">
                  <w:rPr>
                    <w:webHidden/>
                  </w:rPr>
                  <w:fldChar w:fldCharType="end"/>
                </w:r>
              </w:hyperlink>
            </w:p>
            <w:p w14:paraId="69CB0499" w14:textId="28B76C20" w:rsidR="0088414A" w:rsidRDefault="00482956">
              <w:pPr>
                <w:pStyle w:val="TOC2"/>
                <w:rPr>
                  <w:rFonts w:asciiTheme="minorHAnsi" w:eastAsiaTheme="minorEastAsia" w:hAnsiTheme="minorHAnsi"/>
                  <w:sz w:val="22"/>
                  <w:szCs w:val="22"/>
                </w:rPr>
              </w:pPr>
              <w:hyperlink w:anchor="_Toc98852167" w:history="1">
                <w:r w:rsidR="0088414A" w:rsidRPr="00781FB7">
                  <w:rPr>
                    <w:rStyle w:val="Hyperlink"/>
                  </w:rPr>
                  <w:t>2020-21 Northern Ireland Agent and ‘Rent-a-Roof’ Audits</w:t>
                </w:r>
                <w:r w:rsidR="0088414A">
                  <w:rPr>
                    <w:webHidden/>
                  </w:rPr>
                  <w:tab/>
                </w:r>
                <w:r w:rsidR="0088414A">
                  <w:rPr>
                    <w:webHidden/>
                  </w:rPr>
                  <w:fldChar w:fldCharType="begin"/>
                </w:r>
                <w:r w:rsidR="0088414A">
                  <w:rPr>
                    <w:webHidden/>
                  </w:rPr>
                  <w:instrText xml:space="preserve"> PAGEREF _Toc98852167 \h </w:instrText>
                </w:r>
                <w:r w:rsidR="0088414A">
                  <w:rPr>
                    <w:webHidden/>
                  </w:rPr>
                </w:r>
                <w:r w:rsidR="0088414A">
                  <w:rPr>
                    <w:webHidden/>
                  </w:rPr>
                  <w:fldChar w:fldCharType="separate"/>
                </w:r>
                <w:r w:rsidR="001B6235">
                  <w:rPr>
                    <w:webHidden/>
                  </w:rPr>
                  <w:t>57</w:t>
                </w:r>
                <w:r w:rsidR="0088414A">
                  <w:rPr>
                    <w:webHidden/>
                  </w:rPr>
                  <w:fldChar w:fldCharType="end"/>
                </w:r>
              </w:hyperlink>
            </w:p>
            <w:p w14:paraId="2C7C5F50" w14:textId="00D77CAE" w:rsidR="0088414A" w:rsidRDefault="00482956">
              <w:pPr>
                <w:pStyle w:val="TOC2"/>
                <w:rPr>
                  <w:rFonts w:asciiTheme="minorHAnsi" w:eastAsiaTheme="minorEastAsia" w:hAnsiTheme="minorHAnsi"/>
                  <w:sz w:val="22"/>
                  <w:szCs w:val="22"/>
                </w:rPr>
              </w:pPr>
              <w:hyperlink w:anchor="_Toc98852168" w:history="1">
                <w:r w:rsidR="0088414A" w:rsidRPr="00781FB7">
                  <w:rPr>
                    <w:rStyle w:val="Hyperlink"/>
                  </w:rPr>
                  <w:t>Participant Compliance</w:t>
                </w:r>
                <w:r w:rsidR="0088414A">
                  <w:rPr>
                    <w:webHidden/>
                  </w:rPr>
                  <w:tab/>
                </w:r>
                <w:r w:rsidR="0088414A">
                  <w:rPr>
                    <w:webHidden/>
                  </w:rPr>
                  <w:fldChar w:fldCharType="begin"/>
                </w:r>
                <w:r w:rsidR="0088414A">
                  <w:rPr>
                    <w:webHidden/>
                  </w:rPr>
                  <w:instrText xml:space="preserve"> PAGEREF _Toc98852168 \h </w:instrText>
                </w:r>
                <w:r w:rsidR="0088414A">
                  <w:rPr>
                    <w:webHidden/>
                  </w:rPr>
                </w:r>
                <w:r w:rsidR="0088414A">
                  <w:rPr>
                    <w:webHidden/>
                  </w:rPr>
                  <w:fldChar w:fldCharType="separate"/>
                </w:r>
                <w:r w:rsidR="001B6235">
                  <w:rPr>
                    <w:webHidden/>
                  </w:rPr>
                  <w:t>57</w:t>
                </w:r>
                <w:r w:rsidR="0088414A">
                  <w:rPr>
                    <w:webHidden/>
                  </w:rPr>
                  <w:fldChar w:fldCharType="end"/>
                </w:r>
              </w:hyperlink>
            </w:p>
            <w:p w14:paraId="3A6151F6" w14:textId="7E3511E8" w:rsidR="0088414A" w:rsidRDefault="00482956">
              <w:pPr>
                <w:pStyle w:val="TOC2"/>
                <w:rPr>
                  <w:rFonts w:asciiTheme="minorHAnsi" w:eastAsiaTheme="minorEastAsia" w:hAnsiTheme="minorHAnsi"/>
                  <w:sz w:val="22"/>
                  <w:szCs w:val="22"/>
                </w:rPr>
              </w:pPr>
              <w:hyperlink w:anchor="_Toc98852169" w:history="1">
                <w:r w:rsidR="0088414A" w:rsidRPr="00781FB7">
                  <w:rPr>
                    <w:rStyle w:val="Hyperlink"/>
                  </w:rPr>
                  <w:t>Counter Fraud</w:t>
                </w:r>
                <w:r w:rsidR="0088414A">
                  <w:rPr>
                    <w:webHidden/>
                  </w:rPr>
                  <w:tab/>
                </w:r>
                <w:r w:rsidR="0088414A">
                  <w:rPr>
                    <w:webHidden/>
                  </w:rPr>
                  <w:fldChar w:fldCharType="begin"/>
                </w:r>
                <w:r w:rsidR="0088414A">
                  <w:rPr>
                    <w:webHidden/>
                  </w:rPr>
                  <w:instrText xml:space="preserve"> PAGEREF _Toc98852169 \h </w:instrText>
                </w:r>
                <w:r w:rsidR="0088414A">
                  <w:rPr>
                    <w:webHidden/>
                  </w:rPr>
                </w:r>
                <w:r w:rsidR="0088414A">
                  <w:rPr>
                    <w:webHidden/>
                  </w:rPr>
                  <w:fldChar w:fldCharType="separate"/>
                </w:r>
                <w:r w:rsidR="001B6235">
                  <w:rPr>
                    <w:webHidden/>
                  </w:rPr>
                  <w:t>59</w:t>
                </w:r>
                <w:r w:rsidR="0088414A">
                  <w:rPr>
                    <w:webHidden/>
                  </w:rPr>
                  <w:fldChar w:fldCharType="end"/>
                </w:r>
              </w:hyperlink>
            </w:p>
            <w:p w14:paraId="4292124C" w14:textId="081C2489" w:rsidR="0088414A" w:rsidRDefault="00482956">
              <w:pPr>
                <w:pStyle w:val="TOC2"/>
                <w:rPr>
                  <w:rFonts w:asciiTheme="minorHAnsi" w:eastAsiaTheme="minorEastAsia" w:hAnsiTheme="minorHAnsi"/>
                  <w:sz w:val="22"/>
                  <w:szCs w:val="22"/>
                </w:rPr>
              </w:pPr>
              <w:hyperlink w:anchor="_Toc98852170" w:history="1">
                <w:r w:rsidR="0088414A" w:rsidRPr="00781FB7">
                  <w:rPr>
                    <w:rStyle w:val="Hyperlink"/>
                  </w:rPr>
                  <w:t>Safeguarding Public Funds</w:t>
                </w:r>
                <w:r w:rsidR="0088414A">
                  <w:rPr>
                    <w:webHidden/>
                  </w:rPr>
                  <w:tab/>
                </w:r>
                <w:r w:rsidR="0088414A">
                  <w:rPr>
                    <w:webHidden/>
                  </w:rPr>
                  <w:fldChar w:fldCharType="begin"/>
                </w:r>
                <w:r w:rsidR="0088414A">
                  <w:rPr>
                    <w:webHidden/>
                  </w:rPr>
                  <w:instrText xml:space="preserve"> PAGEREF _Toc98852170 \h </w:instrText>
                </w:r>
                <w:r w:rsidR="0088414A">
                  <w:rPr>
                    <w:webHidden/>
                  </w:rPr>
                </w:r>
                <w:r w:rsidR="0088414A">
                  <w:rPr>
                    <w:webHidden/>
                  </w:rPr>
                  <w:fldChar w:fldCharType="separate"/>
                </w:r>
                <w:r w:rsidR="001B6235">
                  <w:rPr>
                    <w:webHidden/>
                  </w:rPr>
                  <w:t>60</w:t>
                </w:r>
                <w:r w:rsidR="0088414A">
                  <w:rPr>
                    <w:webHidden/>
                  </w:rPr>
                  <w:fldChar w:fldCharType="end"/>
                </w:r>
              </w:hyperlink>
            </w:p>
            <w:p w14:paraId="78D4D5D5" w14:textId="686E34D6" w:rsidR="0088414A" w:rsidRDefault="00482956">
              <w:pPr>
                <w:pStyle w:val="TOC1"/>
                <w:rPr>
                  <w:rFonts w:asciiTheme="minorHAnsi" w:eastAsiaTheme="minorEastAsia" w:hAnsiTheme="minorHAnsi"/>
                  <w:b w:val="0"/>
                  <w:bCs w:val="0"/>
                  <w:noProof/>
                  <w:sz w:val="22"/>
                  <w:szCs w:val="22"/>
                </w:rPr>
              </w:pPr>
              <w:hyperlink w:anchor="_Toc98852171" w:history="1">
                <w:r w:rsidR="0088414A" w:rsidRPr="00781FB7">
                  <w:rPr>
                    <w:rStyle w:val="Hyperlink"/>
                    <w:noProof/>
                  </w:rPr>
                  <w:t>6. Generators accredited</w:t>
                </w:r>
                <w:r w:rsidR="0088414A">
                  <w:rPr>
                    <w:noProof/>
                    <w:webHidden/>
                  </w:rPr>
                  <w:tab/>
                </w:r>
                <w:r w:rsidR="0088414A">
                  <w:rPr>
                    <w:noProof/>
                    <w:webHidden/>
                  </w:rPr>
                  <w:fldChar w:fldCharType="begin"/>
                </w:r>
                <w:r w:rsidR="0088414A">
                  <w:rPr>
                    <w:noProof/>
                    <w:webHidden/>
                  </w:rPr>
                  <w:instrText xml:space="preserve"> PAGEREF _Toc98852171 \h </w:instrText>
                </w:r>
                <w:r w:rsidR="0088414A">
                  <w:rPr>
                    <w:noProof/>
                    <w:webHidden/>
                  </w:rPr>
                </w:r>
                <w:r w:rsidR="0088414A">
                  <w:rPr>
                    <w:noProof/>
                    <w:webHidden/>
                  </w:rPr>
                  <w:fldChar w:fldCharType="separate"/>
                </w:r>
                <w:r w:rsidR="001B6235">
                  <w:rPr>
                    <w:noProof/>
                    <w:webHidden/>
                  </w:rPr>
                  <w:t>61</w:t>
                </w:r>
                <w:r w:rsidR="0088414A">
                  <w:rPr>
                    <w:noProof/>
                    <w:webHidden/>
                  </w:rPr>
                  <w:fldChar w:fldCharType="end"/>
                </w:r>
              </w:hyperlink>
            </w:p>
            <w:p w14:paraId="0EC17854" w14:textId="50EA4321" w:rsidR="0088414A" w:rsidRDefault="00482956">
              <w:pPr>
                <w:pStyle w:val="TOC2"/>
                <w:rPr>
                  <w:rFonts w:asciiTheme="minorHAnsi" w:eastAsiaTheme="minorEastAsia" w:hAnsiTheme="minorHAnsi"/>
                  <w:sz w:val="22"/>
                  <w:szCs w:val="22"/>
                </w:rPr>
              </w:pPr>
              <w:hyperlink w:anchor="_Toc98852173" w:history="1">
                <w:r w:rsidR="0088414A" w:rsidRPr="00781FB7">
                  <w:rPr>
                    <w:rStyle w:val="Hyperlink"/>
                  </w:rPr>
                  <w:t>Data assumptions</w:t>
                </w:r>
                <w:r w:rsidR="0088414A">
                  <w:rPr>
                    <w:webHidden/>
                  </w:rPr>
                  <w:tab/>
                </w:r>
                <w:r w:rsidR="0088414A">
                  <w:rPr>
                    <w:webHidden/>
                  </w:rPr>
                  <w:fldChar w:fldCharType="begin"/>
                </w:r>
                <w:r w:rsidR="0088414A">
                  <w:rPr>
                    <w:webHidden/>
                  </w:rPr>
                  <w:instrText xml:space="preserve"> PAGEREF _Toc98852173 \h </w:instrText>
                </w:r>
                <w:r w:rsidR="0088414A">
                  <w:rPr>
                    <w:webHidden/>
                  </w:rPr>
                </w:r>
                <w:r w:rsidR="0088414A">
                  <w:rPr>
                    <w:webHidden/>
                  </w:rPr>
                  <w:fldChar w:fldCharType="separate"/>
                </w:r>
                <w:r w:rsidR="001B6235">
                  <w:rPr>
                    <w:webHidden/>
                  </w:rPr>
                  <w:t>61</w:t>
                </w:r>
                <w:r w:rsidR="0088414A">
                  <w:rPr>
                    <w:webHidden/>
                  </w:rPr>
                  <w:fldChar w:fldCharType="end"/>
                </w:r>
              </w:hyperlink>
            </w:p>
            <w:p w14:paraId="2F31DF85" w14:textId="0F83B5A9" w:rsidR="0088414A" w:rsidRDefault="00482956">
              <w:pPr>
                <w:pStyle w:val="TOC2"/>
                <w:rPr>
                  <w:rFonts w:asciiTheme="minorHAnsi" w:eastAsiaTheme="minorEastAsia" w:hAnsiTheme="minorHAnsi"/>
                  <w:sz w:val="22"/>
                  <w:szCs w:val="22"/>
                </w:rPr>
              </w:pPr>
              <w:hyperlink w:anchor="_Toc98852174" w:history="1">
                <w:r w:rsidR="0088414A" w:rsidRPr="00781FB7">
                  <w:rPr>
                    <w:rStyle w:val="Hyperlink"/>
                  </w:rPr>
                  <w:t>Micro generation</w:t>
                </w:r>
                <w:r w:rsidR="0088414A">
                  <w:rPr>
                    <w:webHidden/>
                  </w:rPr>
                  <w:tab/>
                </w:r>
                <w:r w:rsidR="0088414A">
                  <w:rPr>
                    <w:webHidden/>
                  </w:rPr>
                  <w:fldChar w:fldCharType="begin"/>
                </w:r>
                <w:r w:rsidR="0088414A">
                  <w:rPr>
                    <w:webHidden/>
                  </w:rPr>
                  <w:instrText xml:space="preserve"> PAGEREF _Toc98852174 \h </w:instrText>
                </w:r>
                <w:r w:rsidR="0088414A">
                  <w:rPr>
                    <w:webHidden/>
                  </w:rPr>
                </w:r>
                <w:r w:rsidR="0088414A">
                  <w:rPr>
                    <w:webHidden/>
                  </w:rPr>
                  <w:fldChar w:fldCharType="separate"/>
                </w:r>
                <w:r w:rsidR="001B6235">
                  <w:rPr>
                    <w:webHidden/>
                  </w:rPr>
                  <w:t>62</w:t>
                </w:r>
                <w:r w:rsidR="0088414A">
                  <w:rPr>
                    <w:webHidden/>
                  </w:rPr>
                  <w:fldChar w:fldCharType="end"/>
                </w:r>
              </w:hyperlink>
            </w:p>
            <w:p w14:paraId="2758C337" w14:textId="1603041F" w:rsidR="0088414A" w:rsidRDefault="00482956">
              <w:pPr>
                <w:pStyle w:val="TOC2"/>
                <w:rPr>
                  <w:rFonts w:asciiTheme="minorHAnsi" w:eastAsiaTheme="minorEastAsia" w:hAnsiTheme="minorHAnsi"/>
                  <w:sz w:val="22"/>
                  <w:szCs w:val="22"/>
                </w:rPr>
              </w:pPr>
              <w:hyperlink w:anchor="_Toc98852175" w:history="1">
                <w:r w:rsidR="0088414A" w:rsidRPr="00781FB7">
                  <w:rPr>
                    <w:rStyle w:val="Hyperlink"/>
                  </w:rPr>
                  <w:t>Accredited generators</w:t>
                </w:r>
                <w:r w:rsidR="0088414A">
                  <w:rPr>
                    <w:webHidden/>
                  </w:rPr>
                  <w:tab/>
                </w:r>
                <w:r w:rsidR="0088414A">
                  <w:rPr>
                    <w:webHidden/>
                  </w:rPr>
                  <w:fldChar w:fldCharType="begin"/>
                </w:r>
                <w:r w:rsidR="0088414A">
                  <w:rPr>
                    <w:webHidden/>
                  </w:rPr>
                  <w:instrText xml:space="preserve"> PAGEREF _Toc98852175 \h </w:instrText>
                </w:r>
                <w:r w:rsidR="0088414A">
                  <w:rPr>
                    <w:webHidden/>
                  </w:rPr>
                </w:r>
                <w:r w:rsidR="0088414A">
                  <w:rPr>
                    <w:webHidden/>
                  </w:rPr>
                  <w:fldChar w:fldCharType="separate"/>
                </w:r>
                <w:r w:rsidR="001B6235">
                  <w:rPr>
                    <w:webHidden/>
                  </w:rPr>
                  <w:t>62</w:t>
                </w:r>
                <w:r w:rsidR="0088414A">
                  <w:rPr>
                    <w:webHidden/>
                  </w:rPr>
                  <w:fldChar w:fldCharType="end"/>
                </w:r>
              </w:hyperlink>
            </w:p>
            <w:p w14:paraId="1345DCEA" w14:textId="046A82B8" w:rsidR="0088414A" w:rsidRDefault="00482956">
              <w:pPr>
                <w:pStyle w:val="TOC2"/>
                <w:rPr>
                  <w:rFonts w:asciiTheme="minorHAnsi" w:eastAsiaTheme="minorEastAsia" w:hAnsiTheme="minorHAnsi"/>
                  <w:sz w:val="22"/>
                  <w:szCs w:val="22"/>
                </w:rPr>
              </w:pPr>
              <w:hyperlink w:anchor="_Toc98852176" w:history="1">
                <w:r w:rsidR="0088414A" w:rsidRPr="00781FB7">
                  <w:rPr>
                    <w:rStyle w:val="Hyperlink"/>
                  </w:rPr>
                  <w:t>Accreditations and withdrawals</w:t>
                </w:r>
                <w:r w:rsidR="0088414A">
                  <w:rPr>
                    <w:webHidden/>
                  </w:rPr>
                  <w:tab/>
                </w:r>
                <w:r w:rsidR="0088414A">
                  <w:rPr>
                    <w:webHidden/>
                  </w:rPr>
                  <w:fldChar w:fldCharType="begin"/>
                </w:r>
                <w:r w:rsidR="0088414A">
                  <w:rPr>
                    <w:webHidden/>
                  </w:rPr>
                  <w:instrText xml:space="preserve"> PAGEREF _Toc98852176 \h </w:instrText>
                </w:r>
                <w:r w:rsidR="0088414A">
                  <w:rPr>
                    <w:webHidden/>
                  </w:rPr>
                </w:r>
                <w:r w:rsidR="0088414A">
                  <w:rPr>
                    <w:webHidden/>
                  </w:rPr>
                  <w:fldChar w:fldCharType="separate"/>
                </w:r>
                <w:r w:rsidR="001B6235">
                  <w:rPr>
                    <w:webHidden/>
                  </w:rPr>
                  <w:t>65</w:t>
                </w:r>
                <w:r w:rsidR="0088414A">
                  <w:rPr>
                    <w:webHidden/>
                  </w:rPr>
                  <w:fldChar w:fldCharType="end"/>
                </w:r>
              </w:hyperlink>
            </w:p>
            <w:p w14:paraId="7A38BEDE" w14:textId="0CF4A1BA" w:rsidR="0088414A" w:rsidRDefault="00482956">
              <w:pPr>
                <w:pStyle w:val="TOC2"/>
                <w:rPr>
                  <w:rFonts w:asciiTheme="minorHAnsi" w:eastAsiaTheme="minorEastAsia" w:hAnsiTheme="minorHAnsi"/>
                  <w:sz w:val="22"/>
                  <w:szCs w:val="22"/>
                </w:rPr>
              </w:pPr>
              <w:hyperlink w:anchor="_Toc98852177" w:history="1">
                <w:r w:rsidR="0088414A" w:rsidRPr="00781FB7">
                  <w:rPr>
                    <w:rStyle w:val="Hyperlink"/>
                  </w:rPr>
                  <w:t>Application refusals</w:t>
                </w:r>
                <w:r w:rsidR="0088414A">
                  <w:rPr>
                    <w:webHidden/>
                  </w:rPr>
                  <w:tab/>
                </w:r>
                <w:r w:rsidR="0088414A">
                  <w:rPr>
                    <w:webHidden/>
                  </w:rPr>
                  <w:fldChar w:fldCharType="begin"/>
                </w:r>
                <w:r w:rsidR="0088414A">
                  <w:rPr>
                    <w:webHidden/>
                  </w:rPr>
                  <w:instrText xml:space="preserve"> PAGEREF _Toc98852177 \h </w:instrText>
                </w:r>
                <w:r w:rsidR="0088414A">
                  <w:rPr>
                    <w:webHidden/>
                  </w:rPr>
                </w:r>
                <w:r w:rsidR="0088414A">
                  <w:rPr>
                    <w:webHidden/>
                  </w:rPr>
                  <w:fldChar w:fldCharType="separate"/>
                </w:r>
                <w:r w:rsidR="001B6235">
                  <w:rPr>
                    <w:webHidden/>
                  </w:rPr>
                  <w:t>67</w:t>
                </w:r>
                <w:r w:rsidR="0088414A">
                  <w:rPr>
                    <w:webHidden/>
                  </w:rPr>
                  <w:fldChar w:fldCharType="end"/>
                </w:r>
              </w:hyperlink>
            </w:p>
            <w:p w14:paraId="6DFF3DE3" w14:textId="6811258D" w:rsidR="0088414A" w:rsidRDefault="00482956">
              <w:pPr>
                <w:pStyle w:val="TOC1"/>
                <w:rPr>
                  <w:rFonts w:asciiTheme="minorHAnsi" w:eastAsiaTheme="minorEastAsia" w:hAnsiTheme="minorHAnsi"/>
                  <w:b w:val="0"/>
                  <w:bCs w:val="0"/>
                  <w:noProof/>
                  <w:sz w:val="22"/>
                  <w:szCs w:val="22"/>
                </w:rPr>
              </w:pPr>
              <w:hyperlink w:anchor="_Toc98852178" w:history="1">
                <w:r w:rsidR="0088414A" w:rsidRPr="00781FB7">
                  <w:rPr>
                    <w:rStyle w:val="Hyperlink"/>
                    <w:rFonts w:eastAsiaTheme="majorEastAsia" w:cstheme="majorBidi"/>
                    <w:noProof/>
                  </w:rPr>
                  <w:t>7. Our Administration</w:t>
                </w:r>
                <w:r w:rsidR="0088414A">
                  <w:rPr>
                    <w:noProof/>
                    <w:webHidden/>
                  </w:rPr>
                  <w:tab/>
                </w:r>
                <w:r w:rsidR="0088414A">
                  <w:rPr>
                    <w:noProof/>
                    <w:webHidden/>
                  </w:rPr>
                  <w:fldChar w:fldCharType="begin"/>
                </w:r>
                <w:r w:rsidR="0088414A">
                  <w:rPr>
                    <w:noProof/>
                    <w:webHidden/>
                  </w:rPr>
                  <w:instrText xml:space="preserve"> PAGEREF _Toc98852178 \h </w:instrText>
                </w:r>
                <w:r w:rsidR="0088414A">
                  <w:rPr>
                    <w:noProof/>
                    <w:webHidden/>
                  </w:rPr>
                </w:r>
                <w:r w:rsidR="0088414A">
                  <w:rPr>
                    <w:noProof/>
                    <w:webHidden/>
                  </w:rPr>
                  <w:fldChar w:fldCharType="separate"/>
                </w:r>
                <w:r w:rsidR="001B6235">
                  <w:rPr>
                    <w:noProof/>
                    <w:webHidden/>
                  </w:rPr>
                  <w:t>68</w:t>
                </w:r>
                <w:r w:rsidR="0088414A">
                  <w:rPr>
                    <w:noProof/>
                    <w:webHidden/>
                  </w:rPr>
                  <w:fldChar w:fldCharType="end"/>
                </w:r>
              </w:hyperlink>
            </w:p>
            <w:p w14:paraId="73F61563" w14:textId="7C89FB4C" w:rsidR="0088414A" w:rsidRDefault="00482956">
              <w:pPr>
                <w:pStyle w:val="TOC2"/>
                <w:rPr>
                  <w:rFonts w:asciiTheme="minorHAnsi" w:eastAsiaTheme="minorEastAsia" w:hAnsiTheme="minorHAnsi"/>
                  <w:sz w:val="22"/>
                  <w:szCs w:val="22"/>
                </w:rPr>
              </w:pPr>
              <w:hyperlink w:anchor="_Toc98852179" w:history="1">
                <w:r w:rsidR="0088414A" w:rsidRPr="00781FB7">
                  <w:rPr>
                    <w:rStyle w:val="Hyperlink"/>
                  </w:rPr>
                  <w:t>Applications</w:t>
                </w:r>
                <w:r w:rsidR="0088414A">
                  <w:rPr>
                    <w:webHidden/>
                  </w:rPr>
                  <w:tab/>
                </w:r>
                <w:r w:rsidR="0088414A">
                  <w:rPr>
                    <w:webHidden/>
                  </w:rPr>
                  <w:fldChar w:fldCharType="begin"/>
                </w:r>
                <w:r w:rsidR="0088414A">
                  <w:rPr>
                    <w:webHidden/>
                  </w:rPr>
                  <w:instrText xml:space="preserve"> PAGEREF _Toc98852179 \h </w:instrText>
                </w:r>
                <w:r w:rsidR="0088414A">
                  <w:rPr>
                    <w:webHidden/>
                  </w:rPr>
                </w:r>
                <w:r w:rsidR="0088414A">
                  <w:rPr>
                    <w:webHidden/>
                  </w:rPr>
                  <w:fldChar w:fldCharType="separate"/>
                </w:r>
                <w:r w:rsidR="001B6235">
                  <w:rPr>
                    <w:webHidden/>
                  </w:rPr>
                  <w:t>68</w:t>
                </w:r>
                <w:r w:rsidR="0088414A">
                  <w:rPr>
                    <w:webHidden/>
                  </w:rPr>
                  <w:fldChar w:fldCharType="end"/>
                </w:r>
              </w:hyperlink>
            </w:p>
            <w:p w14:paraId="429F74C5" w14:textId="7CCF4DC6" w:rsidR="0088414A" w:rsidRDefault="00482956">
              <w:pPr>
                <w:pStyle w:val="TOC2"/>
                <w:rPr>
                  <w:rFonts w:asciiTheme="minorHAnsi" w:eastAsiaTheme="minorEastAsia" w:hAnsiTheme="minorHAnsi"/>
                  <w:sz w:val="22"/>
                  <w:szCs w:val="22"/>
                </w:rPr>
              </w:pPr>
              <w:hyperlink w:anchor="_Toc98852180" w:history="1">
                <w:r w:rsidR="0088414A" w:rsidRPr="00781FB7">
                  <w:rPr>
                    <w:rStyle w:val="Hyperlink"/>
                  </w:rPr>
                  <w:t>Amendments</w:t>
                </w:r>
                <w:r w:rsidR="0088414A">
                  <w:rPr>
                    <w:webHidden/>
                  </w:rPr>
                  <w:tab/>
                </w:r>
                <w:r w:rsidR="0088414A">
                  <w:rPr>
                    <w:webHidden/>
                  </w:rPr>
                  <w:fldChar w:fldCharType="begin"/>
                </w:r>
                <w:r w:rsidR="0088414A">
                  <w:rPr>
                    <w:webHidden/>
                  </w:rPr>
                  <w:instrText xml:space="preserve"> PAGEREF _Toc98852180 \h </w:instrText>
                </w:r>
                <w:r w:rsidR="0088414A">
                  <w:rPr>
                    <w:webHidden/>
                  </w:rPr>
                </w:r>
                <w:r w:rsidR="0088414A">
                  <w:rPr>
                    <w:webHidden/>
                  </w:rPr>
                  <w:fldChar w:fldCharType="separate"/>
                </w:r>
                <w:r w:rsidR="001B6235">
                  <w:rPr>
                    <w:webHidden/>
                  </w:rPr>
                  <w:t>68</w:t>
                </w:r>
                <w:r w:rsidR="0088414A">
                  <w:rPr>
                    <w:webHidden/>
                  </w:rPr>
                  <w:fldChar w:fldCharType="end"/>
                </w:r>
              </w:hyperlink>
            </w:p>
            <w:p w14:paraId="7A4F8281" w14:textId="4A13596A" w:rsidR="0088414A" w:rsidRDefault="00482956">
              <w:pPr>
                <w:pStyle w:val="TOC2"/>
                <w:rPr>
                  <w:rFonts w:asciiTheme="minorHAnsi" w:eastAsiaTheme="minorEastAsia" w:hAnsiTheme="minorHAnsi"/>
                  <w:sz w:val="22"/>
                  <w:szCs w:val="22"/>
                </w:rPr>
              </w:pPr>
              <w:hyperlink w:anchor="_Toc98852181" w:history="1">
                <w:r w:rsidR="0088414A" w:rsidRPr="00781FB7">
                  <w:rPr>
                    <w:rStyle w:val="Hyperlink"/>
                  </w:rPr>
                  <w:t>ROCs issued</w:t>
                </w:r>
                <w:r w:rsidR="0088414A">
                  <w:rPr>
                    <w:webHidden/>
                  </w:rPr>
                  <w:tab/>
                </w:r>
                <w:r w:rsidR="0088414A">
                  <w:rPr>
                    <w:webHidden/>
                  </w:rPr>
                  <w:fldChar w:fldCharType="begin"/>
                </w:r>
                <w:r w:rsidR="0088414A">
                  <w:rPr>
                    <w:webHidden/>
                  </w:rPr>
                  <w:instrText xml:space="preserve"> PAGEREF _Toc98852181 \h </w:instrText>
                </w:r>
                <w:r w:rsidR="0088414A">
                  <w:rPr>
                    <w:webHidden/>
                  </w:rPr>
                </w:r>
                <w:r w:rsidR="0088414A">
                  <w:rPr>
                    <w:webHidden/>
                  </w:rPr>
                  <w:fldChar w:fldCharType="separate"/>
                </w:r>
                <w:r w:rsidR="001B6235">
                  <w:rPr>
                    <w:webHidden/>
                  </w:rPr>
                  <w:t>69</w:t>
                </w:r>
                <w:r w:rsidR="0088414A">
                  <w:rPr>
                    <w:webHidden/>
                  </w:rPr>
                  <w:fldChar w:fldCharType="end"/>
                </w:r>
              </w:hyperlink>
            </w:p>
            <w:p w14:paraId="79918AFD" w14:textId="12AE659E" w:rsidR="0088414A" w:rsidRDefault="00482956">
              <w:pPr>
                <w:pStyle w:val="TOC2"/>
                <w:rPr>
                  <w:rFonts w:asciiTheme="minorHAnsi" w:eastAsiaTheme="minorEastAsia" w:hAnsiTheme="minorHAnsi"/>
                  <w:sz w:val="22"/>
                  <w:szCs w:val="22"/>
                </w:rPr>
              </w:pPr>
              <w:hyperlink w:anchor="_Toc98852183" w:history="1">
                <w:r w:rsidR="0088414A" w:rsidRPr="00781FB7">
                  <w:rPr>
                    <w:rStyle w:val="Hyperlink"/>
                  </w:rPr>
                  <w:t>Enquiries</w:t>
                </w:r>
                <w:r w:rsidR="0088414A">
                  <w:rPr>
                    <w:webHidden/>
                  </w:rPr>
                  <w:tab/>
                </w:r>
                <w:r w:rsidR="0088414A">
                  <w:rPr>
                    <w:webHidden/>
                  </w:rPr>
                  <w:fldChar w:fldCharType="begin"/>
                </w:r>
                <w:r w:rsidR="0088414A">
                  <w:rPr>
                    <w:webHidden/>
                  </w:rPr>
                  <w:instrText xml:space="preserve"> PAGEREF _Toc98852183 \h </w:instrText>
                </w:r>
                <w:r w:rsidR="0088414A">
                  <w:rPr>
                    <w:webHidden/>
                  </w:rPr>
                </w:r>
                <w:r w:rsidR="0088414A">
                  <w:rPr>
                    <w:webHidden/>
                  </w:rPr>
                  <w:fldChar w:fldCharType="separate"/>
                </w:r>
                <w:r w:rsidR="001B6235">
                  <w:rPr>
                    <w:webHidden/>
                  </w:rPr>
                  <w:t>69</w:t>
                </w:r>
                <w:r w:rsidR="0088414A">
                  <w:rPr>
                    <w:webHidden/>
                  </w:rPr>
                  <w:fldChar w:fldCharType="end"/>
                </w:r>
              </w:hyperlink>
            </w:p>
            <w:p w14:paraId="67202A1B" w14:textId="25516278" w:rsidR="0088414A" w:rsidRDefault="00482956">
              <w:pPr>
                <w:pStyle w:val="TOC2"/>
                <w:rPr>
                  <w:rFonts w:asciiTheme="minorHAnsi" w:eastAsiaTheme="minorEastAsia" w:hAnsiTheme="minorHAnsi"/>
                  <w:sz w:val="22"/>
                  <w:szCs w:val="22"/>
                </w:rPr>
              </w:pPr>
              <w:hyperlink w:anchor="_Toc98852185" w:history="1">
                <w:r w:rsidR="0088414A" w:rsidRPr="00781FB7">
                  <w:rPr>
                    <w:rStyle w:val="Hyperlink"/>
                  </w:rPr>
                  <w:t>Register updates</w:t>
                </w:r>
                <w:r w:rsidR="0088414A">
                  <w:rPr>
                    <w:webHidden/>
                  </w:rPr>
                  <w:tab/>
                </w:r>
                <w:r w:rsidR="0088414A">
                  <w:rPr>
                    <w:webHidden/>
                  </w:rPr>
                  <w:fldChar w:fldCharType="begin"/>
                </w:r>
                <w:r w:rsidR="0088414A">
                  <w:rPr>
                    <w:webHidden/>
                  </w:rPr>
                  <w:instrText xml:space="preserve"> PAGEREF _Toc98852185 \h </w:instrText>
                </w:r>
                <w:r w:rsidR="0088414A">
                  <w:rPr>
                    <w:webHidden/>
                  </w:rPr>
                </w:r>
                <w:r w:rsidR="0088414A">
                  <w:rPr>
                    <w:webHidden/>
                  </w:rPr>
                  <w:fldChar w:fldCharType="separate"/>
                </w:r>
                <w:r w:rsidR="001B6235">
                  <w:rPr>
                    <w:webHidden/>
                  </w:rPr>
                  <w:t>70</w:t>
                </w:r>
                <w:r w:rsidR="0088414A">
                  <w:rPr>
                    <w:webHidden/>
                  </w:rPr>
                  <w:fldChar w:fldCharType="end"/>
                </w:r>
              </w:hyperlink>
            </w:p>
            <w:p w14:paraId="57FC398E" w14:textId="07827A45" w:rsidR="0088414A" w:rsidRDefault="00482956">
              <w:pPr>
                <w:pStyle w:val="TOC2"/>
                <w:rPr>
                  <w:rFonts w:asciiTheme="minorHAnsi" w:eastAsiaTheme="minorEastAsia" w:hAnsiTheme="minorHAnsi"/>
                  <w:sz w:val="22"/>
                  <w:szCs w:val="22"/>
                </w:rPr>
              </w:pPr>
              <w:hyperlink w:anchor="_Toc98852186" w:history="1">
                <w:r w:rsidR="0088414A" w:rsidRPr="00781FB7">
                  <w:rPr>
                    <w:rStyle w:val="Hyperlink"/>
                  </w:rPr>
                  <w:t>Guidance updates</w:t>
                </w:r>
                <w:r w:rsidR="0088414A">
                  <w:rPr>
                    <w:webHidden/>
                  </w:rPr>
                  <w:tab/>
                </w:r>
                <w:r w:rsidR="0088414A">
                  <w:rPr>
                    <w:webHidden/>
                  </w:rPr>
                  <w:fldChar w:fldCharType="begin"/>
                </w:r>
                <w:r w:rsidR="0088414A">
                  <w:rPr>
                    <w:webHidden/>
                  </w:rPr>
                  <w:instrText xml:space="preserve"> PAGEREF _Toc98852186 \h </w:instrText>
                </w:r>
                <w:r w:rsidR="0088414A">
                  <w:rPr>
                    <w:webHidden/>
                  </w:rPr>
                </w:r>
                <w:r w:rsidR="0088414A">
                  <w:rPr>
                    <w:webHidden/>
                  </w:rPr>
                  <w:fldChar w:fldCharType="separate"/>
                </w:r>
                <w:r w:rsidR="001B6235">
                  <w:rPr>
                    <w:webHidden/>
                  </w:rPr>
                  <w:t>70</w:t>
                </w:r>
                <w:r w:rsidR="0088414A">
                  <w:rPr>
                    <w:webHidden/>
                  </w:rPr>
                  <w:fldChar w:fldCharType="end"/>
                </w:r>
              </w:hyperlink>
            </w:p>
            <w:p w14:paraId="0238DE12" w14:textId="1D77728F" w:rsidR="0088414A" w:rsidRDefault="00482956">
              <w:pPr>
                <w:pStyle w:val="TOC1"/>
                <w:rPr>
                  <w:rFonts w:asciiTheme="minorHAnsi" w:eastAsiaTheme="minorEastAsia" w:hAnsiTheme="minorHAnsi"/>
                  <w:b w:val="0"/>
                  <w:bCs w:val="0"/>
                  <w:noProof/>
                  <w:sz w:val="22"/>
                  <w:szCs w:val="22"/>
                </w:rPr>
              </w:pPr>
              <w:hyperlink w:anchor="_Toc98852187" w:history="1">
                <w:r w:rsidR="0088414A" w:rsidRPr="00781FB7">
                  <w:rPr>
                    <w:rStyle w:val="Hyperlink"/>
                    <w:rFonts w:eastAsiaTheme="majorEastAsia" w:cstheme="majorBidi"/>
                    <w:noProof/>
                  </w:rPr>
                  <w:t>8. Changes to the scheme</w:t>
                </w:r>
                <w:r w:rsidR="0088414A">
                  <w:rPr>
                    <w:noProof/>
                    <w:webHidden/>
                  </w:rPr>
                  <w:tab/>
                </w:r>
                <w:r w:rsidR="0088414A">
                  <w:rPr>
                    <w:noProof/>
                    <w:webHidden/>
                  </w:rPr>
                  <w:fldChar w:fldCharType="begin"/>
                </w:r>
                <w:r w:rsidR="0088414A">
                  <w:rPr>
                    <w:noProof/>
                    <w:webHidden/>
                  </w:rPr>
                  <w:instrText xml:space="preserve"> PAGEREF _Toc98852187 \h </w:instrText>
                </w:r>
                <w:r w:rsidR="0088414A">
                  <w:rPr>
                    <w:noProof/>
                    <w:webHidden/>
                  </w:rPr>
                </w:r>
                <w:r w:rsidR="0088414A">
                  <w:rPr>
                    <w:noProof/>
                    <w:webHidden/>
                  </w:rPr>
                  <w:fldChar w:fldCharType="separate"/>
                </w:r>
                <w:r w:rsidR="001B6235">
                  <w:rPr>
                    <w:noProof/>
                    <w:webHidden/>
                  </w:rPr>
                  <w:t>73</w:t>
                </w:r>
                <w:r w:rsidR="0088414A">
                  <w:rPr>
                    <w:noProof/>
                    <w:webHidden/>
                  </w:rPr>
                  <w:fldChar w:fldCharType="end"/>
                </w:r>
              </w:hyperlink>
            </w:p>
            <w:p w14:paraId="5AAC1814" w14:textId="6924B1B4" w:rsidR="0088414A" w:rsidRDefault="00482956">
              <w:pPr>
                <w:pStyle w:val="TOC2"/>
                <w:rPr>
                  <w:rFonts w:asciiTheme="minorHAnsi" w:eastAsiaTheme="minorEastAsia" w:hAnsiTheme="minorHAnsi"/>
                  <w:sz w:val="22"/>
                  <w:szCs w:val="22"/>
                </w:rPr>
              </w:pPr>
              <w:hyperlink w:anchor="_Toc98852188" w:history="1">
                <w:r w:rsidR="0088414A" w:rsidRPr="00781FB7">
                  <w:rPr>
                    <w:rStyle w:val="Hyperlink"/>
                  </w:rPr>
                  <w:t>End of Transition Period Regulations</w:t>
                </w:r>
                <w:r w:rsidR="0088414A">
                  <w:rPr>
                    <w:webHidden/>
                  </w:rPr>
                  <w:tab/>
                </w:r>
                <w:r w:rsidR="0088414A">
                  <w:rPr>
                    <w:webHidden/>
                  </w:rPr>
                  <w:fldChar w:fldCharType="begin"/>
                </w:r>
                <w:r w:rsidR="0088414A">
                  <w:rPr>
                    <w:webHidden/>
                  </w:rPr>
                  <w:instrText xml:space="preserve"> PAGEREF _Toc98852188 \h </w:instrText>
                </w:r>
                <w:r w:rsidR="0088414A">
                  <w:rPr>
                    <w:webHidden/>
                  </w:rPr>
                </w:r>
                <w:r w:rsidR="0088414A">
                  <w:rPr>
                    <w:webHidden/>
                  </w:rPr>
                  <w:fldChar w:fldCharType="separate"/>
                </w:r>
                <w:r w:rsidR="001B6235">
                  <w:rPr>
                    <w:webHidden/>
                  </w:rPr>
                  <w:t>73</w:t>
                </w:r>
                <w:r w:rsidR="0088414A">
                  <w:rPr>
                    <w:webHidden/>
                  </w:rPr>
                  <w:fldChar w:fldCharType="end"/>
                </w:r>
              </w:hyperlink>
            </w:p>
            <w:p w14:paraId="1724924F" w14:textId="1A93ECF9" w:rsidR="0088414A" w:rsidRDefault="00482956">
              <w:pPr>
                <w:pStyle w:val="TOC2"/>
                <w:rPr>
                  <w:rFonts w:asciiTheme="minorHAnsi" w:eastAsiaTheme="minorEastAsia" w:hAnsiTheme="minorHAnsi"/>
                  <w:sz w:val="22"/>
                  <w:szCs w:val="22"/>
                </w:rPr>
              </w:pPr>
              <w:hyperlink w:anchor="_Toc98852189" w:history="1">
                <w:r w:rsidR="0088414A" w:rsidRPr="00781FB7">
                  <w:rPr>
                    <w:rStyle w:val="Hyperlink"/>
                  </w:rPr>
                  <w:t>Changes to mutualisation arrangements</w:t>
                </w:r>
                <w:r w:rsidR="0088414A">
                  <w:rPr>
                    <w:webHidden/>
                  </w:rPr>
                  <w:tab/>
                </w:r>
                <w:r w:rsidR="0088414A">
                  <w:rPr>
                    <w:webHidden/>
                  </w:rPr>
                  <w:fldChar w:fldCharType="begin"/>
                </w:r>
                <w:r w:rsidR="0088414A">
                  <w:rPr>
                    <w:webHidden/>
                  </w:rPr>
                  <w:instrText xml:space="preserve"> PAGEREF _Toc98852189 \h </w:instrText>
                </w:r>
                <w:r w:rsidR="0088414A">
                  <w:rPr>
                    <w:webHidden/>
                  </w:rPr>
                </w:r>
                <w:r w:rsidR="0088414A">
                  <w:rPr>
                    <w:webHidden/>
                  </w:rPr>
                  <w:fldChar w:fldCharType="separate"/>
                </w:r>
                <w:r w:rsidR="001B6235">
                  <w:rPr>
                    <w:webHidden/>
                  </w:rPr>
                  <w:t>73</w:t>
                </w:r>
                <w:r w:rsidR="0088414A">
                  <w:rPr>
                    <w:webHidden/>
                  </w:rPr>
                  <w:fldChar w:fldCharType="end"/>
                </w:r>
              </w:hyperlink>
            </w:p>
            <w:p w14:paraId="710D9F69" w14:textId="1064A30B" w:rsidR="0088414A" w:rsidRDefault="00482956">
              <w:pPr>
                <w:pStyle w:val="TOC1"/>
                <w:rPr>
                  <w:rFonts w:asciiTheme="minorHAnsi" w:eastAsiaTheme="minorEastAsia" w:hAnsiTheme="minorHAnsi"/>
                  <w:b w:val="0"/>
                  <w:bCs w:val="0"/>
                  <w:noProof/>
                  <w:sz w:val="22"/>
                  <w:szCs w:val="22"/>
                </w:rPr>
              </w:pPr>
              <w:hyperlink w:anchor="_Toc98852190" w:history="1">
                <w:r w:rsidR="0088414A" w:rsidRPr="00781FB7">
                  <w:rPr>
                    <w:rStyle w:val="Hyperlink"/>
                    <w:rFonts w:eastAsiaTheme="majorEastAsia" w:cstheme="majorBidi"/>
                    <w:noProof/>
                  </w:rPr>
                  <w:t>Appendix 1 – Compliance by licensed suppliers</w:t>
                </w:r>
                <w:r w:rsidR="0088414A">
                  <w:rPr>
                    <w:noProof/>
                    <w:webHidden/>
                  </w:rPr>
                  <w:tab/>
                </w:r>
                <w:r w:rsidR="0088414A">
                  <w:rPr>
                    <w:noProof/>
                    <w:webHidden/>
                  </w:rPr>
                  <w:fldChar w:fldCharType="begin"/>
                </w:r>
                <w:r w:rsidR="0088414A">
                  <w:rPr>
                    <w:noProof/>
                    <w:webHidden/>
                  </w:rPr>
                  <w:instrText xml:space="preserve"> PAGEREF _Toc98852190 \h </w:instrText>
                </w:r>
                <w:r w:rsidR="0088414A">
                  <w:rPr>
                    <w:noProof/>
                    <w:webHidden/>
                  </w:rPr>
                </w:r>
                <w:r w:rsidR="0088414A">
                  <w:rPr>
                    <w:noProof/>
                    <w:webHidden/>
                  </w:rPr>
                  <w:fldChar w:fldCharType="separate"/>
                </w:r>
                <w:r w:rsidR="001B6235">
                  <w:rPr>
                    <w:noProof/>
                    <w:webHidden/>
                  </w:rPr>
                  <w:t>75</w:t>
                </w:r>
                <w:r w:rsidR="0088414A">
                  <w:rPr>
                    <w:noProof/>
                    <w:webHidden/>
                  </w:rPr>
                  <w:fldChar w:fldCharType="end"/>
                </w:r>
              </w:hyperlink>
            </w:p>
            <w:p w14:paraId="32A9809F" w14:textId="5898A71F" w:rsidR="0088414A" w:rsidRPr="003B35B0" w:rsidRDefault="00482956" w:rsidP="003B35B0">
              <w:pPr>
                <w:pStyle w:val="TOC2"/>
                <w:ind w:left="0"/>
                <w:rPr>
                  <w:rFonts w:asciiTheme="minorHAnsi" w:eastAsiaTheme="minorEastAsia" w:hAnsiTheme="minorHAnsi"/>
                  <w:b/>
                  <w:bCs/>
                  <w:sz w:val="22"/>
                  <w:szCs w:val="22"/>
                </w:rPr>
              </w:pPr>
              <w:hyperlink w:anchor="_Toc98852191" w:history="1">
                <w:r w:rsidR="0088414A" w:rsidRPr="003B35B0">
                  <w:rPr>
                    <w:rStyle w:val="Hyperlink"/>
                    <w:b/>
                    <w:bCs/>
                  </w:rPr>
                  <w:t>Appendix 2 – Mutualisation payments</w:t>
                </w:r>
                <w:r w:rsidR="0088414A" w:rsidRPr="003B35B0">
                  <w:rPr>
                    <w:b/>
                    <w:bCs/>
                    <w:webHidden/>
                  </w:rPr>
                  <w:tab/>
                </w:r>
                <w:r w:rsidR="0088414A" w:rsidRPr="003B35B0">
                  <w:rPr>
                    <w:b/>
                    <w:bCs/>
                    <w:webHidden/>
                  </w:rPr>
                  <w:fldChar w:fldCharType="begin"/>
                </w:r>
                <w:r w:rsidR="0088414A" w:rsidRPr="003B35B0">
                  <w:rPr>
                    <w:b/>
                    <w:bCs/>
                    <w:webHidden/>
                  </w:rPr>
                  <w:instrText xml:space="preserve"> PAGEREF _Toc98852191 \h </w:instrText>
                </w:r>
                <w:r w:rsidR="0088414A" w:rsidRPr="003B35B0">
                  <w:rPr>
                    <w:b/>
                    <w:bCs/>
                    <w:webHidden/>
                  </w:rPr>
                </w:r>
                <w:r w:rsidR="0088414A" w:rsidRPr="003B35B0">
                  <w:rPr>
                    <w:b/>
                    <w:bCs/>
                    <w:webHidden/>
                  </w:rPr>
                  <w:fldChar w:fldCharType="separate"/>
                </w:r>
                <w:r w:rsidR="001B6235">
                  <w:rPr>
                    <w:b/>
                    <w:bCs/>
                    <w:webHidden/>
                  </w:rPr>
                  <w:t>88</w:t>
                </w:r>
                <w:r w:rsidR="0088414A" w:rsidRPr="003B35B0">
                  <w:rPr>
                    <w:b/>
                    <w:bCs/>
                    <w:webHidden/>
                  </w:rPr>
                  <w:fldChar w:fldCharType="end"/>
                </w:r>
              </w:hyperlink>
            </w:p>
            <w:p w14:paraId="2BB828CF" w14:textId="64CB005C" w:rsidR="0088414A" w:rsidRPr="003B35B0" w:rsidRDefault="00482956" w:rsidP="003B35B0">
              <w:pPr>
                <w:pStyle w:val="TOC2"/>
                <w:ind w:left="0"/>
                <w:rPr>
                  <w:rFonts w:asciiTheme="minorHAnsi" w:eastAsiaTheme="minorEastAsia" w:hAnsiTheme="minorHAnsi"/>
                  <w:b/>
                  <w:bCs/>
                  <w:sz w:val="22"/>
                  <w:szCs w:val="22"/>
                </w:rPr>
              </w:pPr>
              <w:hyperlink w:anchor="_Toc98852192" w:history="1">
                <w:r w:rsidR="0088414A" w:rsidRPr="003B35B0">
                  <w:rPr>
                    <w:rStyle w:val="Hyperlink"/>
                    <w:b/>
                    <w:bCs/>
                  </w:rPr>
                  <w:t>Appendix 3 – ROC recycle value</w:t>
                </w:r>
                <w:r w:rsidR="0088414A" w:rsidRPr="003B35B0">
                  <w:rPr>
                    <w:b/>
                    <w:bCs/>
                    <w:webHidden/>
                  </w:rPr>
                  <w:tab/>
                </w:r>
                <w:r w:rsidR="0088414A" w:rsidRPr="003B35B0">
                  <w:rPr>
                    <w:b/>
                    <w:bCs/>
                    <w:webHidden/>
                  </w:rPr>
                  <w:fldChar w:fldCharType="begin"/>
                </w:r>
                <w:r w:rsidR="0088414A" w:rsidRPr="003B35B0">
                  <w:rPr>
                    <w:b/>
                    <w:bCs/>
                    <w:webHidden/>
                  </w:rPr>
                  <w:instrText xml:space="preserve"> PAGEREF _Toc98852192 \h </w:instrText>
                </w:r>
                <w:r w:rsidR="0088414A" w:rsidRPr="003B35B0">
                  <w:rPr>
                    <w:b/>
                    <w:bCs/>
                    <w:webHidden/>
                  </w:rPr>
                </w:r>
                <w:r w:rsidR="0088414A" w:rsidRPr="003B35B0">
                  <w:rPr>
                    <w:b/>
                    <w:bCs/>
                    <w:webHidden/>
                  </w:rPr>
                  <w:fldChar w:fldCharType="separate"/>
                </w:r>
                <w:r w:rsidR="001B6235">
                  <w:rPr>
                    <w:b/>
                    <w:bCs/>
                    <w:webHidden/>
                  </w:rPr>
                  <w:t>112</w:t>
                </w:r>
                <w:r w:rsidR="0088414A" w:rsidRPr="003B35B0">
                  <w:rPr>
                    <w:b/>
                    <w:bCs/>
                    <w:webHidden/>
                  </w:rPr>
                  <w:fldChar w:fldCharType="end"/>
                </w:r>
              </w:hyperlink>
            </w:p>
            <w:p w14:paraId="530246E5" w14:textId="6A64927E" w:rsidR="0088414A" w:rsidRPr="003B35B0" w:rsidRDefault="00482956" w:rsidP="003B35B0">
              <w:pPr>
                <w:pStyle w:val="TOC2"/>
                <w:ind w:left="0"/>
                <w:rPr>
                  <w:rFonts w:asciiTheme="minorHAnsi" w:eastAsiaTheme="minorEastAsia" w:hAnsiTheme="minorHAnsi"/>
                  <w:b/>
                  <w:bCs/>
                  <w:sz w:val="22"/>
                  <w:szCs w:val="22"/>
                </w:rPr>
              </w:pPr>
              <w:hyperlink w:anchor="_Toc98852193" w:history="1">
                <w:r w:rsidR="0088414A" w:rsidRPr="003B35B0">
                  <w:rPr>
                    <w:rStyle w:val="Hyperlink"/>
                    <w:b/>
                    <w:bCs/>
                  </w:rPr>
                  <w:t>Appendix 4 – Using public reports</w:t>
                </w:r>
                <w:r w:rsidR="0088414A" w:rsidRPr="003B35B0">
                  <w:rPr>
                    <w:b/>
                    <w:bCs/>
                    <w:webHidden/>
                  </w:rPr>
                  <w:tab/>
                </w:r>
                <w:r w:rsidR="0088414A" w:rsidRPr="003B35B0">
                  <w:rPr>
                    <w:b/>
                    <w:bCs/>
                    <w:webHidden/>
                  </w:rPr>
                  <w:fldChar w:fldCharType="begin"/>
                </w:r>
                <w:r w:rsidR="0088414A" w:rsidRPr="003B35B0">
                  <w:rPr>
                    <w:b/>
                    <w:bCs/>
                    <w:webHidden/>
                  </w:rPr>
                  <w:instrText xml:space="preserve"> PAGEREF _Toc98852193 \h </w:instrText>
                </w:r>
                <w:r w:rsidR="0088414A" w:rsidRPr="003B35B0">
                  <w:rPr>
                    <w:b/>
                    <w:bCs/>
                    <w:webHidden/>
                  </w:rPr>
                </w:r>
                <w:r w:rsidR="0088414A" w:rsidRPr="003B35B0">
                  <w:rPr>
                    <w:b/>
                    <w:bCs/>
                    <w:webHidden/>
                  </w:rPr>
                  <w:fldChar w:fldCharType="separate"/>
                </w:r>
                <w:r w:rsidR="001B6235">
                  <w:rPr>
                    <w:b/>
                    <w:bCs/>
                    <w:webHidden/>
                  </w:rPr>
                  <w:t>113</w:t>
                </w:r>
                <w:r w:rsidR="0088414A" w:rsidRPr="003B35B0">
                  <w:rPr>
                    <w:b/>
                    <w:bCs/>
                    <w:webHidden/>
                  </w:rPr>
                  <w:fldChar w:fldCharType="end"/>
                </w:r>
              </w:hyperlink>
            </w:p>
            <w:p w14:paraId="196693CA" w14:textId="656404B8" w:rsidR="0088414A" w:rsidRDefault="00482956" w:rsidP="003B35B0">
              <w:pPr>
                <w:pStyle w:val="TOC2"/>
                <w:ind w:left="0"/>
                <w:rPr>
                  <w:rFonts w:asciiTheme="minorHAnsi" w:eastAsiaTheme="minorEastAsia" w:hAnsiTheme="minorHAnsi"/>
                  <w:sz w:val="22"/>
                  <w:szCs w:val="22"/>
                </w:rPr>
              </w:pPr>
              <w:hyperlink w:anchor="_Toc98852194" w:history="1">
                <w:r w:rsidR="0088414A" w:rsidRPr="003B35B0">
                  <w:rPr>
                    <w:rStyle w:val="Hyperlink"/>
                    <w:b/>
                    <w:bCs/>
                  </w:rPr>
                  <w:t>Appendix 5 – Glossary of terms</w:t>
                </w:r>
                <w:r w:rsidR="0088414A" w:rsidRPr="003B35B0">
                  <w:rPr>
                    <w:b/>
                    <w:bCs/>
                    <w:webHidden/>
                  </w:rPr>
                  <w:tab/>
                </w:r>
                <w:r w:rsidR="0088414A" w:rsidRPr="003B35B0">
                  <w:rPr>
                    <w:b/>
                    <w:bCs/>
                    <w:webHidden/>
                  </w:rPr>
                  <w:fldChar w:fldCharType="begin"/>
                </w:r>
                <w:r w:rsidR="0088414A" w:rsidRPr="003B35B0">
                  <w:rPr>
                    <w:b/>
                    <w:bCs/>
                    <w:webHidden/>
                  </w:rPr>
                  <w:instrText xml:space="preserve"> PAGEREF _Toc98852194 \h </w:instrText>
                </w:r>
                <w:r w:rsidR="0088414A" w:rsidRPr="003B35B0">
                  <w:rPr>
                    <w:b/>
                    <w:bCs/>
                    <w:webHidden/>
                  </w:rPr>
                </w:r>
                <w:r w:rsidR="0088414A" w:rsidRPr="003B35B0">
                  <w:rPr>
                    <w:b/>
                    <w:bCs/>
                    <w:webHidden/>
                  </w:rPr>
                  <w:fldChar w:fldCharType="separate"/>
                </w:r>
                <w:r w:rsidR="001B6235">
                  <w:rPr>
                    <w:b/>
                    <w:bCs/>
                    <w:webHidden/>
                  </w:rPr>
                  <w:t>117</w:t>
                </w:r>
                <w:r w:rsidR="0088414A" w:rsidRPr="003B35B0">
                  <w:rPr>
                    <w:b/>
                    <w:bCs/>
                    <w:webHidden/>
                  </w:rPr>
                  <w:fldChar w:fldCharType="end"/>
                </w:r>
              </w:hyperlink>
            </w:p>
            <w:p w14:paraId="299B63A5" w14:textId="1B1C158D" w:rsidR="00AA6043" w:rsidRDefault="00B86025">
              <w:pPr>
                <w:pStyle w:val="TOC1"/>
              </w:pPr>
              <w:r>
                <w:fldChar w:fldCharType="end"/>
              </w:r>
            </w:p>
          </w:sdtContent>
        </w:sdt>
        <w:p w14:paraId="1F4594C2" w14:textId="77777777" w:rsidR="002758FD" w:rsidRDefault="002758FD">
          <w:pPr>
            <w:rPr>
              <w:rStyle w:val="Heading2Char"/>
              <w:b w:val="0"/>
              <w:bCs/>
            </w:rPr>
          </w:pPr>
        </w:p>
        <w:p w14:paraId="374468F5" w14:textId="567B59BE" w:rsidR="002758FD" w:rsidRDefault="002758FD" w:rsidP="003B35B0">
          <w:pPr>
            <w:rPr>
              <w:rStyle w:val="Heading2Char"/>
            </w:rPr>
          </w:pPr>
          <w:r>
            <w:rPr>
              <w:rStyle w:val="Heading2Char"/>
            </w:rPr>
            <w:br w:type="page"/>
          </w:r>
        </w:p>
        <w:p w14:paraId="5A02524B" w14:textId="2CB66739" w:rsidR="00AA6043" w:rsidRPr="00BE1C55" w:rsidRDefault="00AA6043" w:rsidP="003B35B0">
          <w:pPr>
            <w:pStyle w:val="Heading1"/>
            <w:rPr>
              <w:rStyle w:val="Heading2Char"/>
              <w:rFonts w:eastAsiaTheme="minorHAnsi" w:cstheme="minorBidi"/>
              <w:sz w:val="36"/>
              <w:szCs w:val="36"/>
            </w:rPr>
          </w:pPr>
          <w:bookmarkStart w:id="72" w:name="_Toc98852144"/>
          <w:r w:rsidRPr="00543FFA">
            <w:rPr>
              <w:rStyle w:val="Heading2Char"/>
              <w:rFonts w:eastAsiaTheme="minorHAnsi" w:cstheme="minorBidi"/>
              <w:b/>
              <w:sz w:val="36"/>
              <w:szCs w:val="36"/>
            </w:rPr>
            <w:lastRenderedPageBreak/>
            <w:t>Context</w:t>
          </w:r>
          <w:bookmarkEnd w:id="72"/>
        </w:p>
        <w:p w14:paraId="667BDB9E" w14:textId="56BB8904" w:rsidR="00AA6043" w:rsidRDefault="00AA6043">
          <w:pPr>
            <w:rPr>
              <w:rFonts w:eastAsia="Times New Roman"/>
            </w:rPr>
          </w:pPr>
          <w:r w:rsidRPr="008F0AE8">
            <w:rPr>
              <w:rFonts w:eastAsia="Times New Roman"/>
            </w:rPr>
            <w:t xml:space="preserve">The Renewables Obligation (RO) is a scheme </w:t>
          </w:r>
          <w:r>
            <w:rPr>
              <w:rFonts w:eastAsia="Times New Roman"/>
            </w:rPr>
            <w:t>that</w:t>
          </w:r>
          <w:r w:rsidRPr="008F0AE8">
            <w:rPr>
              <w:rFonts w:eastAsia="Times New Roman"/>
            </w:rPr>
            <w:t xml:space="preserve"> supports the deployment of large-scale renewable electricity generation in Great Britain (GB), and the deployment of large-scale, as well as smaller scale renewable electricity generation in Northern Ireland (NI).</w:t>
          </w:r>
          <w:r>
            <w:rPr>
              <w:rFonts w:eastAsia="Times New Roman"/>
            </w:rPr>
            <w:t xml:space="preserve"> </w:t>
          </w:r>
          <w:r w:rsidRPr="00E967AA">
            <w:rPr>
              <w:rFonts w:eastAsia="Times New Roman"/>
            </w:rPr>
            <w:t xml:space="preserve">The RO </w:t>
          </w:r>
          <w:r>
            <w:rPr>
              <w:rFonts w:eastAsia="Times New Roman"/>
            </w:rPr>
            <w:t>is designed</w:t>
          </w:r>
          <w:r w:rsidRPr="00E967AA">
            <w:rPr>
              <w:rFonts w:eastAsia="Times New Roman"/>
            </w:rPr>
            <w:t xml:space="preserve"> to provide long term</w:t>
          </w:r>
          <w:r>
            <w:rPr>
              <w:rStyle w:val="FootnoteReference"/>
              <w:rFonts w:eastAsia="Times New Roman"/>
            </w:rPr>
            <w:footnoteReference w:id="4"/>
          </w:r>
          <w:r w:rsidRPr="00E967AA">
            <w:rPr>
              <w:rFonts w:eastAsia="Times New Roman"/>
            </w:rPr>
            <w:t xml:space="preserve"> </w:t>
          </w:r>
          <w:r>
            <w:rPr>
              <w:rFonts w:eastAsia="Times New Roman"/>
            </w:rPr>
            <w:t>support</w:t>
          </w:r>
          <w:r w:rsidRPr="00E967AA">
            <w:rPr>
              <w:rFonts w:eastAsia="Times New Roman"/>
            </w:rPr>
            <w:t xml:space="preserve"> for renewable electricity </w:t>
          </w:r>
          <w:r>
            <w:rPr>
              <w:rFonts w:eastAsia="Times New Roman"/>
            </w:rPr>
            <w:t>generators in the form of</w:t>
          </w:r>
          <w:r w:rsidRPr="00E967AA">
            <w:rPr>
              <w:rFonts w:eastAsia="Times New Roman"/>
            </w:rPr>
            <w:t xml:space="preserve"> </w:t>
          </w:r>
          <w:r w:rsidRPr="000509D5">
            <w:rPr>
              <w:rFonts w:eastAsia="Times New Roman"/>
            </w:rPr>
            <w:t xml:space="preserve">Renewables Obligation Certificates </w:t>
          </w:r>
          <w:r>
            <w:rPr>
              <w:rFonts w:eastAsia="Times New Roman"/>
            </w:rPr>
            <w:t>(</w:t>
          </w:r>
          <w:r w:rsidRPr="00E967AA">
            <w:rPr>
              <w:rFonts w:eastAsia="Times New Roman"/>
            </w:rPr>
            <w:t>ROCs</w:t>
          </w:r>
          <w:r>
            <w:rPr>
              <w:rFonts w:eastAsia="Times New Roman"/>
            </w:rPr>
            <w:t>), and</w:t>
          </w:r>
          <w:r w:rsidRPr="008F0AE8">
            <w:rPr>
              <w:rFonts w:eastAsia="Times New Roman"/>
            </w:rPr>
            <w:t xml:space="preserve"> requires that </w:t>
          </w:r>
          <w:r>
            <w:rPr>
              <w:rFonts w:eastAsia="Times New Roman"/>
            </w:rPr>
            <w:t xml:space="preserve">in </w:t>
          </w:r>
          <w:r w:rsidRPr="008F0AE8">
            <w:rPr>
              <w:rFonts w:eastAsia="Times New Roman"/>
            </w:rPr>
            <w:t>each obligation period</w:t>
          </w:r>
          <w:r w:rsidR="00D12A2C">
            <w:rPr>
              <w:rFonts w:eastAsia="Times New Roman"/>
            </w:rPr>
            <w:t>,</w:t>
          </w:r>
          <w:r w:rsidRPr="008F0AE8">
            <w:rPr>
              <w:rFonts w:eastAsia="Times New Roman"/>
            </w:rPr>
            <w:t xml:space="preserve"> licensed electricity suppliers present </w:t>
          </w:r>
          <w:r w:rsidRPr="000509D5">
            <w:rPr>
              <w:rFonts w:eastAsia="Times New Roman"/>
            </w:rPr>
            <w:t xml:space="preserve">a specified number of </w:t>
          </w:r>
          <w:r w:rsidRPr="008F0AE8">
            <w:rPr>
              <w:rFonts w:eastAsia="Times New Roman"/>
            </w:rPr>
            <w:t xml:space="preserve">ROCs </w:t>
          </w:r>
          <w:r w:rsidRPr="000509D5">
            <w:rPr>
              <w:rFonts w:eastAsia="Times New Roman"/>
            </w:rPr>
            <w:t>in respect of each MWh of electricity supplied to customers. Those suppliers not presenting sufficient ROCs to fulfil their obligation are required to make a payment to cover the shortfall</w:t>
          </w:r>
          <w:r w:rsidR="00912BBE">
            <w:rPr>
              <w:rFonts w:eastAsia="Times New Roman"/>
            </w:rPr>
            <w:t>.</w:t>
          </w:r>
          <w:r>
            <w:rPr>
              <w:rStyle w:val="FootnoteReference"/>
              <w:rFonts w:eastAsia="Times New Roman"/>
            </w:rPr>
            <w:footnoteReference w:id="5"/>
          </w:r>
          <w:r>
            <w:rPr>
              <w:rFonts w:eastAsia="Times New Roman"/>
            </w:rPr>
            <w:t xml:space="preserve"> </w:t>
          </w:r>
        </w:p>
        <w:p w14:paraId="38A53782" w14:textId="77777777" w:rsidR="00AA6043" w:rsidRDefault="00AA6043">
          <w:pPr>
            <w:rPr>
              <w:color w:val="000000" w:themeColor="text1"/>
            </w:rPr>
          </w:pPr>
          <w:r w:rsidRPr="00F76A33">
            <w:rPr>
              <w:color w:val="000000" w:themeColor="text1"/>
            </w:rPr>
            <w:t>The scheme was introduced in England, Wales and Scotland in 2002 and in Northern Ireland in 2005</w:t>
          </w:r>
          <w:r>
            <w:rPr>
              <w:color w:val="000000" w:themeColor="text1"/>
            </w:rPr>
            <w:t xml:space="preserve">; and with some exceptions it </w:t>
          </w:r>
          <w:r w:rsidRPr="00E967AA">
            <w:rPr>
              <w:rFonts w:eastAsia="Times New Roman"/>
            </w:rPr>
            <w:t>closed to new generation capacity on 31 March 2017</w:t>
          </w:r>
          <w:r>
            <w:rPr>
              <w:rFonts w:eastAsia="Times New Roman"/>
            </w:rPr>
            <w:t>.</w:t>
          </w:r>
          <w:r>
            <w:rPr>
              <w:rStyle w:val="FootnoteReference"/>
            </w:rPr>
            <w:footnoteReference w:id="6"/>
          </w:r>
          <w:r w:rsidRPr="00F76A33">
            <w:rPr>
              <w:color w:val="000000" w:themeColor="text1"/>
            </w:rPr>
            <w:t xml:space="preserve"> </w:t>
          </w:r>
        </w:p>
        <w:p w14:paraId="354F3A6A" w14:textId="77777777" w:rsidR="00AA6043" w:rsidRPr="00F76A33" w:rsidRDefault="00AA6043">
          <w:pPr>
            <w:rPr>
              <w:color w:val="000000" w:themeColor="text1"/>
            </w:rPr>
          </w:pPr>
          <w:r w:rsidRPr="00F76A33">
            <w:rPr>
              <w:color w:val="000000" w:themeColor="text1"/>
            </w:rPr>
            <w:t xml:space="preserve">There are three separate obligations across the UK: The </w:t>
          </w:r>
          <w:r>
            <w:rPr>
              <w:color w:val="000000" w:themeColor="text1"/>
            </w:rPr>
            <w:t>Renewables Obligation England and Wales</w:t>
          </w:r>
          <w:r w:rsidRPr="00F76A33">
            <w:rPr>
              <w:color w:val="000000" w:themeColor="text1"/>
            </w:rPr>
            <w:t>, the Renewables Obligation Scotland (ROS) and the Northern Ireland Renewables Obligation (NIRO). The scheme is governed by three separate, but similar, pieces of legislation, one for each obligation. These are known as the RO Orders (</w:t>
          </w:r>
          <w:r>
            <w:rPr>
              <w:color w:val="000000" w:themeColor="text1"/>
            </w:rPr>
            <w:t>the Orders</w:t>
          </w:r>
          <w:r w:rsidRPr="00F76A33">
            <w:rPr>
              <w:color w:val="000000" w:themeColor="text1"/>
            </w:rPr>
            <w:t xml:space="preserve">). </w:t>
          </w:r>
        </w:p>
        <w:p w14:paraId="3B80B339" w14:textId="77777777" w:rsidR="00AA6043" w:rsidRPr="00F76A33" w:rsidRDefault="00AA6043">
          <w:pPr>
            <w:rPr>
              <w:color w:val="000000" w:themeColor="text1"/>
            </w:rPr>
          </w:pPr>
          <w:r w:rsidRPr="00F76A33">
            <w:rPr>
              <w:color w:val="000000" w:themeColor="text1"/>
            </w:rPr>
            <w:t xml:space="preserve">The Gas and Electricity Markets Authority (the Authority) is the statutory body responsible for administering the RO and ROS in Great Britain (GB). We also administer the NIRO on behalf of the </w:t>
          </w:r>
          <w:r w:rsidRPr="00AC73AF">
            <w:rPr>
              <w:color w:val="000000" w:themeColor="text1"/>
            </w:rPr>
            <w:t>Northern Ireland Authority for Utility Regulation (NIAUR)</w:t>
          </w:r>
          <w:r>
            <w:rPr>
              <w:color w:val="000000" w:themeColor="text1"/>
            </w:rPr>
            <w:t>;</w:t>
          </w:r>
          <w:r w:rsidRPr="00F76A33">
            <w:rPr>
              <w:color w:val="000000" w:themeColor="text1"/>
            </w:rPr>
            <w:t xml:space="preserve"> however</w:t>
          </w:r>
          <w:r>
            <w:rPr>
              <w:color w:val="000000" w:themeColor="text1"/>
            </w:rPr>
            <w:t>,</w:t>
          </w:r>
          <w:r w:rsidRPr="00F76A33">
            <w:rPr>
              <w:color w:val="000000" w:themeColor="text1"/>
            </w:rPr>
            <w:t xml:space="preserve"> </w:t>
          </w:r>
          <w:r>
            <w:rPr>
              <w:color w:val="000000" w:themeColor="text1"/>
            </w:rPr>
            <w:t>NIAUR</w:t>
          </w:r>
          <w:r w:rsidRPr="00F76A33">
            <w:rPr>
              <w:color w:val="000000" w:themeColor="text1"/>
            </w:rPr>
            <w:t xml:space="preserve"> retains the statutory responsibility for administering the NIRO. The Authority’s day-to-day functions are performed by Ofgem, the office of the Authority.</w:t>
          </w:r>
        </w:p>
        <w:p w14:paraId="53686CD2" w14:textId="77777777" w:rsidR="00AA6043" w:rsidRDefault="00AA6043">
          <w:pPr>
            <w:rPr>
              <w:rFonts w:eastAsia="Times New Roman"/>
            </w:rPr>
          </w:pPr>
          <w:r w:rsidRPr="00F76A33">
            <w:rPr>
              <w:color w:val="000000" w:themeColor="text1"/>
            </w:rPr>
            <w:t>The scheme obligation period runs annually from 1 April to 31 March.</w:t>
          </w:r>
          <w:r>
            <w:rPr>
              <w:color w:val="000000" w:themeColor="text1"/>
            </w:rPr>
            <w:t xml:space="preserve"> </w:t>
          </w:r>
          <w:r w:rsidRPr="00F76A33">
            <w:rPr>
              <w:color w:val="000000" w:themeColor="text1"/>
            </w:rPr>
            <w:t xml:space="preserve">The obligation level for suppliers is announced before the start of each obligation period by the Department for Business, Energy and Industrial Strategy (BEIS) on behalf of the Secretary of State. </w:t>
          </w:r>
          <w:r>
            <w:rPr>
              <w:rFonts w:eastAsia="Times New Roman"/>
            </w:rPr>
            <w:t xml:space="preserve">The obligation level is set, based on a forecast of renewable electricity generation plus a headroom of 10%. This is intended to ensure demand for ROCs outstrips supply, thereby ensuring the value of ROCs is maintained and the scheme administration costs can be met from the buyout-fund. </w:t>
          </w:r>
        </w:p>
        <w:p w14:paraId="68238955" w14:textId="7B615793" w:rsidR="00AA6043" w:rsidRPr="00A6093B" w:rsidRDefault="00AA6043">
          <w:pPr>
            <w:rPr>
              <w:rFonts w:eastAsia="Times New Roman" w:cs="Vrinda"/>
              <w:color w:val="000000" w:themeColor="text1"/>
            </w:rPr>
          </w:pPr>
          <w:r w:rsidRPr="00F76A33">
            <w:rPr>
              <w:color w:val="000000" w:themeColor="text1"/>
            </w:rPr>
            <w:lastRenderedPageBreak/>
            <w:t xml:space="preserve">During an obligation period, </w:t>
          </w:r>
          <w:r>
            <w:rPr>
              <w:color w:val="000000" w:themeColor="text1"/>
            </w:rPr>
            <w:t>w</w:t>
          </w:r>
          <w:r w:rsidRPr="00F76A33">
            <w:rPr>
              <w:color w:val="000000" w:themeColor="text1"/>
            </w:rPr>
            <w:t xml:space="preserve">e issue </w:t>
          </w:r>
          <w:r>
            <w:rPr>
              <w:color w:val="000000" w:themeColor="text1"/>
            </w:rPr>
            <w:t>eligible generating stations</w:t>
          </w:r>
          <w:r w:rsidRPr="00F76A33">
            <w:rPr>
              <w:color w:val="000000" w:themeColor="text1"/>
            </w:rPr>
            <w:t xml:space="preserve"> with ROCs for the renewable electricity they generate. ROCs are tradable</w:t>
          </w:r>
          <w:r>
            <w:rPr>
              <w:color w:val="000000" w:themeColor="text1"/>
            </w:rPr>
            <w:t xml:space="preserve">, </w:t>
          </w:r>
          <w:r w:rsidRPr="00F76A33">
            <w:rPr>
              <w:color w:val="000000" w:themeColor="text1"/>
            </w:rPr>
            <w:t>can be sold between parties</w:t>
          </w:r>
          <w:r>
            <w:rPr>
              <w:color w:val="000000" w:themeColor="text1"/>
            </w:rPr>
            <w:t xml:space="preserve"> and can be redeemed against any of the three separate obligations.</w:t>
          </w:r>
          <w:r w:rsidRPr="00F76A33">
            <w:rPr>
              <w:color w:val="000000" w:themeColor="text1"/>
            </w:rPr>
            <w:t xml:space="preserve"> </w:t>
          </w:r>
        </w:p>
        <w:p w14:paraId="365861F0" w14:textId="77777777" w:rsidR="00AA6043" w:rsidRDefault="00AA6043">
          <w:pPr>
            <w:rPr>
              <w:rStyle w:val="Heading2Char"/>
            </w:rPr>
          </w:pPr>
          <w:r w:rsidRPr="00F76A33">
            <w:rPr>
              <w:color w:val="000000" w:themeColor="text1"/>
            </w:rPr>
            <w:t xml:space="preserve">After the end of an obligation period, we confirm each supplier’s obligation </w:t>
          </w:r>
          <w:r>
            <w:t>based on the amount of electricity it has supplied to</w:t>
          </w:r>
          <w:r w:rsidRPr="00F76A33">
            <w:rPr>
              <w:color w:val="000000" w:themeColor="text1"/>
            </w:rPr>
            <w:t xml:space="preserve"> customers</w:t>
          </w:r>
          <w:r>
            <w:rPr>
              <w:color w:val="000000" w:themeColor="text1"/>
            </w:rPr>
            <w:t xml:space="preserve"> </w:t>
          </w:r>
          <w:r>
            <w:t>in the countries (England and Wales, Scotland and/or Northern Ireland) in which it holds licences.</w:t>
          </w:r>
          <w:r w:rsidRPr="00F76A33">
            <w:rPr>
              <w:color w:val="000000" w:themeColor="text1"/>
            </w:rPr>
            <w:t xml:space="preserve"> We set this obligation as a </w:t>
          </w:r>
          <w:r>
            <w:rPr>
              <w:color w:val="000000" w:themeColor="text1"/>
            </w:rPr>
            <w:t xml:space="preserve">specific </w:t>
          </w:r>
          <w:r w:rsidRPr="00F76A33">
            <w:rPr>
              <w:color w:val="000000" w:themeColor="text1"/>
            </w:rPr>
            <w:t>number of ROCs. Suppliers must meet their obligations by presenting ROCs to us, making a payment per ROC into a buy-out fund, or through a combination of these. We then withdraw our scheme administration costs from the buy-out fund and redistribute the remaining buy-out payments to suppliers, in proportion to the number of ROCs they presented.</w:t>
          </w:r>
          <w:bookmarkStart w:id="73" w:name="_Toc532460863"/>
          <w:bookmarkStart w:id="74" w:name="_Toc1042654"/>
          <w:bookmarkStart w:id="75" w:name="_Toc3276328"/>
          <w:bookmarkStart w:id="76" w:name="_Toc21962785"/>
          <w:bookmarkStart w:id="77" w:name="_Toc22743442"/>
          <w:bookmarkStart w:id="78" w:name="_Toc26958295"/>
          <w:r>
            <w:t xml:space="preserve">  </w:t>
          </w:r>
          <w:bookmarkEnd w:id="73"/>
          <w:bookmarkEnd w:id="74"/>
          <w:bookmarkEnd w:id="75"/>
          <w:bookmarkEnd w:id="76"/>
          <w:bookmarkEnd w:id="77"/>
          <w:bookmarkEnd w:id="78"/>
          <w:r w:rsidDel="00820220">
            <w:rPr>
              <w:rStyle w:val="FootnoteReference"/>
            </w:rPr>
            <w:t xml:space="preserve"> </w:t>
          </w:r>
        </w:p>
        <w:p w14:paraId="6CA2C08F" w14:textId="77777777" w:rsidR="00AA6043" w:rsidRDefault="00AA6043">
          <w:pPr>
            <w:rPr>
              <w:rStyle w:val="Heading2Char"/>
            </w:rPr>
          </w:pPr>
        </w:p>
        <w:p w14:paraId="66EE2B5C" w14:textId="261BFA56" w:rsidR="00AA6043" w:rsidRDefault="00AA6043" w:rsidP="003B35B0">
          <w:pPr>
            <w:rPr>
              <w:rStyle w:val="Heading2Char"/>
            </w:rPr>
          </w:pPr>
          <w:r>
            <w:rPr>
              <w:rStyle w:val="Heading2Char"/>
            </w:rPr>
            <w:br w:type="page"/>
          </w:r>
        </w:p>
        <w:p w14:paraId="5FE3532A" w14:textId="44D2D2CF" w:rsidR="002758FD" w:rsidRPr="00BE1C55" w:rsidRDefault="002758FD" w:rsidP="003B35B0">
          <w:pPr>
            <w:pStyle w:val="Heading1"/>
            <w:rPr>
              <w:rStyle w:val="Heading2Char"/>
              <w:rFonts w:eastAsiaTheme="minorHAnsi" w:cstheme="minorBidi"/>
              <w:sz w:val="36"/>
              <w:szCs w:val="36"/>
            </w:rPr>
          </w:pPr>
          <w:bookmarkStart w:id="79" w:name="_Toc98852145"/>
          <w:r w:rsidRPr="00543FFA">
            <w:rPr>
              <w:rStyle w:val="Heading2Char"/>
              <w:rFonts w:eastAsiaTheme="minorHAnsi" w:cstheme="minorBidi"/>
              <w:b/>
              <w:sz w:val="36"/>
              <w:szCs w:val="36"/>
            </w:rPr>
            <w:lastRenderedPageBreak/>
            <w:t>Responding to COVID-19</w:t>
          </w:r>
          <w:bookmarkEnd w:id="79"/>
        </w:p>
        <w:p w14:paraId="6D9E24AB" w14:textId="7435ECB9" w:rsidR="00B25657" w:rsidRPr="00384728" w:rsidRDefault="00B25657">
          <w:r w:rsidRPr="00384728">
            <w:t>The COVID-19 pandemic has posed significant challenges across the energy industry.</w:t>
          </w:r>
          <w:r>
            <w:t xml:space="preserve"> Generators experienced impacts </w:t>
          </w:r>
          <w:r w:rsidRPr="00384728">
            <w:t>such as site closures, disruptions to working patterns and delays to supply chains.</w:t>
          </w:r>
        </w:p>
        <w:p w14:paraId="35FEC211" w14:textId="365A10A5" w:rsidR="002758FD" w:rsidRDefault="002758FD">
          <w:r>
            <w:t xml:space="preserve">With the RO </w:t>
          </w:r>
          <w:r w:rsidR="00B25657">
            <w:t xml:space="preserve">scheme </w:t>
          </w:r>
          <w:r>
            <w:t xml:space="preserve">being closed </w:t>
          </w:r>
          <w:r w:rsidR="00B25657">
            <w:t>to all new generating capacity</w:t>
          </w:r>
          <w:r w:rsidR="00D45B72">
            <w:t>,</w:t>
          </w:r>
          <w:r w:rsidR="00B25657">
            <w:t xml:space="preserve"> </w:t>
          </w:r>
          <w:r>
            <w:t xml:space="preserve">no specific </w:t>
          </w:r>
          <w:r w:rsidR="00EA5AA8">
            <w:t>COVID-19</w:t>
          </w:r>
          <w:r>
            <w:t xml:space="preserve"> measures were required</w:t>
          </w:r>
          <w:r w:rsidR="00B25657">
            <w:t xml:space="preserve"> to </w:t>
          </w:r>
          <w:r w:rsidR="00881B2D">
            <w:t>support applicants</w:t>
          </w:r>
          <w:r>
            <w:t>.</w:t>
          </w:r>
          <w:r w:rsidR="00EA5AA8">
            <w:t xml:space="preserve"> </w:t>
          </w:r>
          <w:r w:rsidR="00641458">
            <w:t>However, we did make adjustments to our audit programme, and due to staff working from home, the way we handled enquires.</w:t>
          </w:r>
        </w:p>
        <w:p w14:paraId="2FE2617A" w14:textId="339C3E99" w:rsidR="0095272B" w:rsidRPr="0095272B" w:rsidRDefault="0095272B" w:rsidP="003B35B0">
          <w:pPr>
            <w:pStyle w:val="Heading4"/>
          </w:pPr>
          <w:bookmarkStart w:id="80" w:name="_Toc92465942"/>
          <w:r w:rsidRPr="0095272B">
            <w:t>Audit</w:t>
          </w:r>
          <w:r w:rsidR="0010198F">
            <w:t xml:space="preserve"> Programme</w:t>
          </w:r>
          <w:bookmarkEnd w:id="80"/>
        </w:p>
        <w:p w14:paraId="6D9034E1" w14:textId="798A0BCE" w:rsidR="0095272B" w:rsidRPr="008B545B" w:rsidRDefault="0095272B" w:rsidP="003B35B0">
          <w:r w:rsidRPr="008B545B">
            <w:t xml:space="preserve">Due </w:t>
          </w:r>
          <w:r>
            <w:t>to</w:t>
          </w:r>
          <w:r w:rsidRPr="008B545B">
            <w:t xml:space="preserve"> restrictions during the </w:t>
          </w:r>
          <w:r w:rsidR="00B25657">
            <w:t>COVID</w:t>
          </w:r>
          <w:r w:rsidRPr="008B545B">
            <w:t xml:space="preserve">-19 pandemic </w:t>
          </w:r>
          <w:r w:rsidR="00881B2D">
            <w:t>audits were</w:t>
          </w:r>
          <w:r w:rsidRPr="008B545B">
            <w:t xml:space="preserve"> conducted</w:t>
          </w:r>
          <w:r w:rsidR="002517CB">
            <w:t xml:space="preserve"> remotely</w:t>
          </w:r>
          <w:r w:rsidR="00881B2D">
            <w:t xml:space="preserve"> </w:t>
          </w:r>
          <w:r w:rsidR="00B25657" w:rsidRPr="008B545B">
            <w:t>where appropriate</w:t>
          </w:r>
          <w:r w:rsidRPr="008B545B">
            <w:t>. In cases w</w:t>
          </w:r>
          <w:r w:rsidR="00B25657">
            <w:t>h</w:t>
          </w:r>
          <w:r w:rsidRPr="008B545B">
            <w:t xml:space="preserve">ere we had </w:t>
          </w:r>
          <w:r w:rsidR="00B25657" w:rsidRPr="008B545B">
            <w:t>concerns</w:t>
          </w:r>
          <w:r w:rsidRPr="008B545B">
            <w:t xml:space="preserve"> relating to the onsite configuration of the generating station, we postpone</w:t>
          </w:r>
          <w:r w:rsidR="004C59E7">
            <w:t>d</w:t>
          </w:r>
          <w:r w:rsidRPr="008B545B">
            <w:t xml:space="preserve"> the audit until a site visit was possible. </w:t>
          </w:r>
        </w:p>
        <w:p w14:paraId="5D368283" w14:textId="4F13D9D9" w:rsidR="00B334D1" w:rsidRDefault="00641458" w:rsidP="003B35B0">
          <w:r>
            <w:t>For</w:t>
          </w:r>
          <w:r w:rsidR="00B25657">
            <w:t xml:space="preserve"> </w:t>
          </w:r>
          <w:r w:rsidR="00FC4B0F">
            <w:t>micro-NIRO</w:t>
          </w:r>
          <w:r w:rsidR="00B25657">
            <w:t xml:space="preserve"> installations</w:t>
          </w:r>
          <w:r>
            <w:t>, where</w:t>
          </w:r>
          <w:r w:rsidR="00B25657">
            <w:t xml:space="preserve"> a significant portion </w:t>
          </w:r>
          <w:r w:rsidR="00B334D1" w:rsidRPr="00A03E86">
            <w:t xml:space="preserve">are located within domestic </w:t>
          </w:r>
          <w:r w:rsidR="000250B5" w:rsidRPr="00A03E86">
            <w:t xml:space="preserve">properties, </w:t>
          </w:r>
          <w:r w:rsidR="000250B5" w:rsidRPr="00A03E86" w:rsidDel="00077305">
            <w:t>it</w:t>
          </w:r>
          <w:r w:rsidR="00B334D1" w:rsidRPr="00A03E86">
            <w:t xml:space="preserve"> was determined that on</w:t>
          </w:r>
          <w:r w:rsidR="00B334D1">
            <w:t>-</w:t>
          </w:r>
          <w:r w:rsidR="00B334D1" w:rsidRPr="00A03E86">
            <w:t>site audits would not be feasible</w:t>
          </w:r>
          <w:r w:rsidR="00EA5AA8">
            <w:t>.</w:t>
          </w:r>
          <w:r w:rsidR="00B334D1" w:rsidRPr="00A03E86">
            <w:t xml:space="preserve"> </w:t>
          </w:r>
          <w:r w:rsidR="00EA5AA8">
            <w:t>A</w:t>
          </w:r>
          <w:r w:rsidR="00B334D1" w:rsidRPr="00A03E86">
            <w:t>s such</w:t>
          </w:r>
          <w:r w:rsidR="00EA5AA8">
            <w:t>,</w:t>
          </w:r>
          <w:r w:rsidR="00B334D1" w:rsidRPr="00A03E86">
            <w:t xml:space="preserve"> </w:t>
          </w:r>
          <w:r w:rsidR="008F15E1" w:rsidRPr="00A03E86">
            <w:t xml:space="preserve">105 audits </w:t>
          </w:r>
          <w:r w:rsidR="00B334D1" w:rsidRPr="00A03E86">
            <w:t xml:space="preserve">were postponed </w:t>
          </w:r>
          <w:r w:rsidR="008F15E1">
            <w:t xml:space="preserve">and are </w:t>
          </w:r>
          <w:r>
            <w:t xml:space="preserve">scheduled </w:t>
          </w:r>
          <w:r w:rsidR="00B334D1" w:rsidRPr="00A03E86">
            <w:t>for</w:t>
          </w:r>
          <w:r w:rsidR="008F15E1">
            <w:t xml:space="preserve"> </w:t>
          </w:r>
          <w:r w:rsidR="00B334D1" w:rsidRPr="00A03E86">
            <w:t>202</w:t>
          </w:r>
          <w:r w:rsidR="007D43FF">
            <w:t>2</w:t>
          </w:r>
          <w:r w:rsidR="00B334D1" w:rsidRPr="00A03E86">
            <w:t>-2</w:t>
          </w:r>
          <w:r w:rsidR="007D43FF">
            <w:t>3</w:t>
          </w:r>
          <w:r w:rsidR="00B334D1" w:rsidRPr="00A03E86">
            <w:t xml:space="preserve">.   </w:t>
          </w:r>
        </w:p>
        <w:p w14:paraId="05521AA7" w14:textId="79917B27" w:rsidR="00762DF8" w:rsidRPr="0095272B" w:rsidRDefault="00762DF8" w:rsidP="003B35B0">
          <w:pPr>
            <w:pStyle w:val="Heading4"/>
          </w:pPr>
          <w:bookmarkStart w:id="81" w:name="_Toc92465943"/>
          <w:r>
            <w:t>Enquiries</w:t>
          </w:r>
          <w:bookmarkEnd w:id="81"/>
        </w:p>
        <w:p w14:paraId="0C746ADB" w14:textId="77777777" w:rsidR="00762DF8" w:rsidRPr="006840A9" w:rsidRDefault="00762DF8">
          <w:r w:rsidRPr="006840A9">
            <w:t xml:space="preserve">As part of our response to COVID-19 and the transition to our staff working from home, we reduced our phone line availability to two hours per day in March 2020. This increased to three hours in May, and then six hours in November. These changes led to an increase in email enquiries as a more accessible means of contact for participants. </w:t>
          </w:r>
        </w:p>
        <w:p w14:paraId="6C1B476E" w14:textId="77777777" w:rsidR="0095272B" w:rsidRPr="00340454" w:rsidRDefault="0095272B"/>
        <w:p w14:paraId="2CF33494" w14:textId="77777777" w:rsidR="002758FD" w:rsidRDefault="002758FD">
          <w:pPr>
            <w:rPr>
              <w:rStyle w:val="Heading2Char"/>
            </w:rPr>
          </w:pPr>
        </w:p>
        <w:p w14:paraId="050732A3" w14:textId="002E582F" w:rsidR="002758FD" w:rsidRDefault="002758FD" w:rsidP="003B35B0">
          <w:pPr>
            <w:rPr>
              <w:rStyle w:val="Heading1Char"/>
            </w:rPr>
          </w:pPr>
          <w:r>
            <w:rPr>
              <w:rStyle w:val="Heading1Char"/>
            </w:rPr>
            <w:br w:type="page"/>
          </w:r>
        </w:p>
        <w:p w14:paraId="086F26BA" w14:textId="75D84620" w:rsidR="0080177F" w:rsidRPr="005261E7" w:rsidRDefault="0080177F" w:rsidP="003B35B0">
          <w:pPr>
            <w:pStyle w:val="Heading1"/>
            <w:rPr>
              <w:rStyle w:val="Heading1Char"/>
            </w:rPr>
          </w:pPr>
          <w:bookmarkStart w:id="82" w:name="_Toc98852146"/>
          <w:r w:rsidRPr="005261E7">
            <w:rPr>
              <w:rStyle w:val="Heading1Char"/>
              <w:b/>
            </w:rPr>
            <w:lastRenderedPageBreak/>
            <w:t>1. Introduction</w:t>
          </w:r>
          <w:bookmarkEnd w:id="82"/>
        </w:p>
        <w:p w14:paraId="66E415BC" w14:textId="3AB68710" w:rsidR="00E84F9D" w:rsidRPr="004C470C" w:rsidRDefault="00E84F9D" w:rsidP="003B35B0">
          <w:pPr>
            <w:pStyle w:val="ListParagraph"/>
            <w:numPr>
              <w:ilvl w:val="0"/>
              <w:numId w:val="19"/>
            </w:numPr>
            <w:ind w:left="567" w:hanging="567"/>
            <w:rPr>
              <w:rFonts w:eastAsia="Times New Roman" w:cs="Vrinda"/>
              <w:color w:val="000000" w:themeColor="text1"/>
            </w:rPr>
          </w:pPr>
          <w:r w:rsidRPr="004C470C">
            <w:rPr>
              <w:color w:val="000000" w:themeColor="text1"/>
            </w:rPr>
            <w:t xml:space="preserve">The Orders require us to produce an annual report on the scheme by 1 April following the end of an obligation period. </w:t>
          </w:r>
          <w:r w:rsidRPr="004C470C">
            <w:rPr>
              <w:rFonts w:eastAsia="Times New Roman" w:cs="Vrinda"/>
              <w:color w:val="000000" w:themeColor="text1"/>
            </w:rPr>
            <w:t xml:space="preserve">This </w:t>
          </w:r>
          <w:r w:rsidRPr="003B35B0">
            <w:rPr>
              <w:rStyle w:val="CH1normalChar"/>
              <w:rFonts w:eastAsiaTheme="minorHAnsi"/>
            </w:rPr>
            <w:t>report</w:t>
          </w:r>
          <w:r w:rsidRPr="004C470C">
            <w:rPr>
              <w:rFonts w:eastAsia="Times New Roman" w:cs="Vrinda"/>
              <w:color w:val="000000" w:themeColor="text1"/>
            </w:rPr>
            <w:t xml:space="preserve"> fulfils this duty covering the 20</w:t>
          </w:r>
          <w:r w:rsidR="00EC3DAE" w:rsidRPr="004C470C">
            <w:rPr>
              <w:rFonts w:eastAsia="Times New Roman" w:cs="Vrinda"/>
              <w:color w:val="000000" w:themeColor="text1"/>
            </w:rPr>
            <w:t>20</w:t>
          </w:r>
          <w:r w:rsidRPr="004C470C">
            <w:rPr>
              <w:rFonts w:eastAsia="Times New Roman" w:cs="Vrinda"/>
              <w:color w:val="000000" w:themeColor="text1"/>
            </w:rPr>
            <w:t>-2</w:t>
          </w:r>
          <w:r w:rsidR="00EC3DAE" w:rsidRPr="004C470C">
            <w:rPr>
              <w:rFonts w:eastAsia="Times New Roman" w:cs="Vrinda"/>
              <w:color w:val="000000" w:themeColor="text1"/>
            </w:rPr>
            <w:t>1</w:t>
          </w:r>
          <w:r w:rsidRPr="004C470C">
            <w:rPr>
              <w:rFonts w:eastAsia="Times New Roman" w:cs="Vrinda"/>
              <w:color w:val="000000" w:themeColor="text1"/>
            </w:rPr>
            <w:t xml:space="preserve"> obligation period (1 April 20</w:t>
          </w:r>
          <w:r w:rsidR="00EC3DAE" w:rsidRPr="004C470C">
            <w:rPr>
              <w:rFonts w:eastAsia="Times New Roman" w:cs="Vrinda"/>
              <w:color w:val="000000" w:themeColor="text1"/>
            </w:rPr>
            <w:t>20</w:t>
          </w:r>
          <w:r w:rsidRPr="004C470C">
            <w:rPr>
              <w:rFonts w:eastAsia="Times New Roman" w:cs="Vrinda"/>
              <w:color w:val="000000" w:themeColor="text1"/>
            </w:rPr>
            <w:t xml:space="preserve"> to 31 March 202</w:t>
          </w:r>
          <w:r w:rsidR="00EC3DAE" w:rsidRPr="004C470C">
            <w:rPr>
              <w:rFonts w:eastAsia="Times New Roman" w:cs="Vrinda"/>
              <w:color w:val="000000" w:themeColor="text1"/>
            </w:rPr>
            <w:t>1</w:t>
          </w:r>
          <w:r w:rsidRPr="004C470C">
            <w:rPr>
              <w:rFonts w:eastAsia="Times New Roman" w:cs="Vrinda"/>
              <w:color w:val="000000" w:themeColor="text1"/>
            </w:rPr>
            <w:t>). The Orders</w:t>
          </w:r>
          <w:r w:rsidRPr="00F57F73">
            <w:rPr>
              <w:vertAlign w:val="superscript"/>
            </w:rPr>
            <w:footnoteReference w:id="7"/>
          </w:r>
          <w:r w:rsidRPr="004C470C">
            <w:rPr>
              <w:rFonts w:eastAsia="Times New Roman" w:cs="Vrinda"/>
              <w:color w:val="000000" w:themeColor="text1"/>
            </w:rPr>
            <w:t xml:space="preserve"> state the minimum information the report must include:</w:t>
          </w:r>
        </w:p>
        <w:p w14:paraId="5722AF87" w14:textId="298E4ECE" w:rsidR="00E84F9D" w:rsidRPr="00F57F73" w:rsidRDefault="007D4D05">
          <w:pPr>
            <w:numPr>
              <w:ilvl w:val="0"/>
              <w:numId w:val="20"/>
            </w:numPr>
            <w:spacing w:after="120"/>
            <w:ind w:left="993" w:hanging="284"/>
            <w:rPr>
              <w:rFonts w:eastAsia="Times New Roman" w:cs="Vrinda"/>
              <w:color w:val="000000" w:themeColor="text1"/>
            </w:rPr>
          </w:pPr>
          <w:r>
            <w:rPr>
              <w:rFonts w:eastAsia="Times New Roman" w:cs="Vrinda"/>
              <w:color w:val="000000" w:themeColor="text1"/>
            </w:rPr>
            <w:t>D</w:t>
          </w:r>
          <w:r w:rsidR="00E84F9D" w:rsidRPr="00F57F73">
            <w:rPr>
              <w:rFonts w:eastAsia="Times New Roman" w:cs="Vrinda"/>
              <w:color w:val="000000" w:themeColor="text1"/>
            </w:rPr>
            <w:t>etails of the compliance of each obligated electricity supplier, including the ROCs they presented, payments they made and our redistribution of these payments</w:t>
          </w:r>
          <w:r>
            <w:rPr>
              <w:rFonts w:eastAsia="Times New Roman" w:cs="Vrinda"/>
              <w:color w:val="000000" w:themeColor="text1"/>
            </w:rPr>
            <w:t>.</w:t>
          </w:r>
        </w:p>
        <w:p w14:paraId="68B4ACE6" w14:textId="54ECCB18" w:rsidR="00E84F9D" w:rsidRPr="00F57F73" w:rsidRDefault="007D4D05">
          <w:pPr>
            <w:numPr>
              <w:ilvl w:val="0"/>
              <w:numId w:val="20"/>
            </w:numPr>
            <w:spacing w:after="120"/>
            <w:ind w:left="993" w:hanging="284"/>
            <w:rPr>
              <w:rFonts w:eastAsia="Times New Roman" w:cs="Vrinda"/>
              <w:color w:val="000000" w:themeColor="text1"/>
            </w:rPr>
          </w:pPr>
          <w:r>
            <w:rPr>
              <w:rFonts w:eastAsia="Times New Roman" w:cs="Vrinda"/>
              <w:color w:val="000000" w:themeColor="text1"/>
            </w:rPr>
            <w:t>T</w:t>
          </w:r>
          <w:r w:rsidRPr="00F57F73">
            <w:rPr>
              <w:rFonts w:eastAsia="Times New Roman" w:cs="Vrinda"/>
              <w:color w:val="000000" w:themeColor="text1"/>
            </w:rPr>
            <w:t xml:space="preserve">he </w:t>
          </w:r>
          <w:r w:rsidR="00E84F9D" w:rsidRPr="00F57F73">
            <w:rPr>
              <w:rFonts w:eastAsia="Times New Roman" w:cs="Vrinda"/>
              <w:color w:val="000000" w:themeColor="text1"/>
            </w:rPr>
            <w:t>number of ROCs we issued, broken down by generation technology</w:t>
          </w:r>
          <w:r>
            <w:rPr>
              <w:rFonts w:eastAsia="Times New Roman" w:cs="Vrinda"/>
              <w:color w:val="000000" w:themeColor="text1"/>
            </w:rPr>
            <w:t>.</w:t>
          </w:r>
        </w:p>
        <w:p w14:paraId="7659F21B" w14:textId="1B56DF39" w:rsidR="00E84F9D" w:rsidRPr="00F57F73" w:rsidRDefault="007D4D05">
          <w:pPr>
            <w:numPr>
              <w:ilvl w:val="0"/>
              <w:numId w:val="20"/>
            </w:numPr>
            <w:spacing w:after="120"/>
            <w:ind w:left="993" w:hanging="284"/>
            <w:rPr>
              <w:rFonts w:eastAsia="Times New Roman" w:cs="Vrinda"/>
              <w:color w:val="000000" w:themeColor="text1"/>
            </w:rPr>
          </w:pPr>
          <w:r>
            <w:rPr>
              <w:rFonts w:eastAsia="Times New Roman" w:cs="Vrinda"/>
              <w:color w:val="000000" w:themeColor="text1"/>
            </w:rPr>
            <w:t>D</w:t>
          </w:r>
          <w:r w:rsidR="00E84F9D" w:rsidRPr="00F57F73">
            <w:rPr>
              <w:rFonts w:eastAsia="Times New Roman" w:cs="Vrinda"/>
              <w:color w:val="000000" w:themeColor="text1"/>
            </w:rPr>
            <w:t>etails of any mutualisation triggered (</w:t>
          </w:r>
          <w:r w:rsidR="00E84F9D">
            <w:rPr>
              <w:rFonts w:eastAsia="Times New Roman" w:cs="Vrinda"/>
              <w:color w:val="000000" w:themeColor="text1"/>
            </w:rPr>
            <w:t>not applicable</w:t>
          </w:r>
          <w:r w:rsidR="00E84F9D" w:rsidRPr="00F57F73">
            <w:rPr>
              <w:rFonts w:eastAsia="Times New Roman" w:cs="Vrinda"/>
              <w:color w:val="000000" w:themeColor="text1"/>
            </w:rPr>
            <w:t xml:space="preserve"> for the NIRO)</w:t>
          </w:r>
          <w:r>
            <w:rPr>
              <w:rFonts w:eastAsia="Times New Roman" w:cs="Vrinda"/>
              <w:color w:val="000000" w:themeColor="text1"/>
            </w:rPr>
            <w:t>.</w:t>
          </w:r>
          <w:r w:rsidR="00E84F9D" w:rsidRPr="00F57F73">
            <w:rPr>
              <w:rFonts w:eastAsia="Times New Roman" w:cs="Vrinda"/>
              <w:color w:val="000000" w:themeColor="text1"/>
            </w:rPr>
            <w:t xml:space="preserve"> </w:t>
          </w:r>
        </w:p>
        <w:p w14:paraId="73A9EDFE" w14:textId="6EBE4CA5" w:rsidR="00E84F9D" w:rsidRPr="00F76A33" w:rsidRDefault="007D4D05">
          <w:pPr>
            <w:numPr>
              <w:ilvl w:val="0"/>
              <w:numId w:val="20"/>
            </w:numPr>
            <w:spacing w:after="120"/>
            <w:ind w:left="993" w:hanging="284"/>
            <w:rPr>
              <w:rFonts w:eastAsia="Times New Roman" w:cs="Vrinda"/>
              <w:color w:val="FF0000"/>
            </w:rPr>
          </w:pPr>
          <w:r>
            <w:rPr>
              <w:rFonts w:eastAsia="Times New Roman" w:cs="Vrinda"/>
              <w:color w:val="000000" w:themeColor="text1"/>
            </w:rPr>
            <w:t>T</w:t>
          </w:r>
          <w:r w:rsidR="00E84F9D" w:rsidRPr="00F57F73">
            <w:rPr>
              <w:rFonts w:eastAsia="Times New Roman" w:cs="Vrinda"/>
              <w:color w:val="000000" w:themeColor="text1"/>
            </w:rPr>
            <w:t>he outcome of any investigations we conducted into suppliers’ and generators’ compliance with the Orders.</w:t>
          </w:r>
        </w:p>
        <w:p w14:paraId="24B5AA01" w14:textId="5018F1B5" w:rsidR="00E84F9D" w:rsidRPr="004C470C" w:rsidRDefault="00E84F9D" w:rsidP="003B35B0">
          <w:pPr>
            <w:pStyle w:val="CH1normal"/>
            <w:ind w:left="567" w:hanging="567"/>
          </w:pPr>
          <w:r w:rsidRPr="004C470C">
            <w:t>We can also publish ‘‘any other matter’’ that we consider relevant in the report. As such we have included information on the number and type of stations we have accredited, the amount of renewable generation for which ROCs were claimed, biomass sustainability, the value of the scheme, recent and upcoming changes in legislation and improvements we have made to the administration of the scheme.</w:t>
          </w:r>
        </w:p>
        <w:p w14:paraId="6847BBD5" w14:textId="77777777" w:rsidR="00E84F9D" w:rsidRPr="003B35B0" w:rsidRDefault="00E84F9D">
          <w:pPr>
            <w:pStyle w:val="Heading3"/>
          </w:pPr>
          <w:bookmarkStart w:id="83" w:name="_Toc508720943"/>
          <w:bookmarkStart w:id="84" w:name="_Toc26958299"/>
          <w:bookmarkStart w:id="85" w:name="_Toc44341249"/>
          <w:bookmarkStart w:id="86" w:name="_Toc64493530"/>
          <w:r w:rsidRPr="003B35B0">
            <w:t>Points to note</w:t>
          </w:r>
          <w:bookmarkEnd w:id="83"/>
          <w:bookmarkEnd w:id="84"/>
          <w:bookmarkEnd w:id="85"/>
          <w:bookmarkEnd w:id="86"/>
        </w:p>
        <w:p w14:paraId="2A436CC0" w14:textId="092D086A" w:rsidR="00576ECF" w:rsidRDefault="00E84F9D" w:rsidP="003B35B0">
          <w:pPr>
            <w:pStyle w:val="CH1normal"/>
            <w:ind w:left="567" w:hanging="567"/>
          </w:pPr>
          <w:r w:rsidRPr="004C470C">
            <w:t>Unless it is clear from the context, ‘RO’ refers to the three UK obligations – the RO England and Wales, the ROS and the NIRO – collectively. Similarly, ‘ROC’ usually refers collectively to England and Wales ROCs (ROCs), Scottish ROCs (SROCs) and Northern Ireland ROCs (NIROCs).</w:t>
          </w:r>
        </w:p>
        <w:p w14:paraId="63BAAEBB" w14:textId="78D044D5" w:rsidR="00036B8A" w:rsidRPr="004C470C" w:rsidRDefault="00E84F9D" w:rsidP="003B35B0">
          <w:pPr>
            <w:pStyle w:val="CH1normal"/>
            <w:ind w:left="567" w:hanging="567"/>
          </w:pPr>
          <w:r w:rsidRPr="004C470C">
            <w:t>Although there are three buy-out funds and three late payment funds for the RO (one for each obligation), where we refer to the ‘buy-out fund’ or ‘late-payment fund’ without specifying the obligation, this refers to all three collectively.</w:t>
          </w:r>
        </w:p>
        <w:p w14:paraId="12B71370" w14:textId="039CEF85" w:rsidR="00576ECF" w:rsidRDefault="00036B8A" w:rsidP="003B35B0">
          <w:pPr>
            <w:pStyle w:val="CH1normal"/>
            <w:ind w:left="567" w:hanging="567"/>
          </w:pPr>
          <w:r>
            <w:t>When referring to ‘we’ in the report this means ‘Ofgem’ or ‘the Authority’.</w:t>
          </w:r>
        </w:p>
        <w:p w14:paraId="472A7918" w14:textId="186FB208" w:rsidR="00576ECF" w:rsidRDefault="00E84F9D" w:rsidP="003B35B0">
          <w:pPr>
            <w:pStyle w:val="CH1normal"/>
            <w:ind w:left="567" w:hanging="567"/>
          </w:pPr>
          <w:r w:rsidRPr="004C470C">
            <w:t>The data included in this report was extracted from the Renewables and CHP Register (the Register) on 2</w:t>
          </w:r>
          <w:r w:rsidR="00C1685A" w:rsidRPr="004C470C">
            <w:t>8</w:t>
          </w:r>
          <w:r w:rsidRPr="004C470C">
            <w:t xml:space="preserve"> October 202</w:t>
          </w:r>
          <w:r w:rsidR="00EC3DAE" w:rsidRPr="004C470C">
            <w:t>1</w:t>
          </w:r>
          <w:r w:rsidRPr="004C470C">
            <w:t>.</w:t>
          </w:r>
          <w:r w:rsidR="00881321">
            <w:rPr>
              <w:rStyle w:val="FootnoteReference"/>
            </w:rPr>
            <w:footnoteReference w:id="8"/>
          </w:r>
          <w:r w:rsidRPr="004C470C">
            <w:t xml:space="preserve"> This date allowed production of the report to commence once the late payment deadline of 31 October had passed and activities in </w:t>
          </w:r>
          <w:r w:rsidRPr="004C470C">
            <w:lastRenderedPageBreak/>
            <w:t>relation to the 20</w:t>
          </w:r>
          <w:r w:rsidR="00EC3DAE" w:rsidRPr="004C470C">
            <w:t>20</w:t>
          </w:r>
          <w:r w:rsidRPr="004C470C">
            <w:t>-2</w:t>
          </w:r>
          <w:r w:rsidR="00EC3DAE" w:rsidRPr="004C470C">
            <w:t>1</w:t>
          </w:r>
          <w:r w:rsidRPr="004C470C">
            <w:t xml:space="preserve"> RO compliance period were predominantly complete. The data stored in the Register is live data and subject to change. For example, a station’s accreditation details might be amended, or the number of ROCs issued/revoked might change. As such, data downloaded from the Register at a later date may vary from those used in this report, although minimal change would be expected given the time that has elapsed since the end of the RO year.</w:t>
          </w:r>
        </w:p>
        <w:p w14:paraId="716C2BEC" w14:textId="573B4660" w:rsidR="00576ECF" w:rsidRDefault="00E84F9D" w:rsidP="003B35B0">
          <w:pPr>
            <w:pStyle w:val="CH1normal"/>
            <w:ind w:left="567" w:hanging="567"/>
          </w:pPr>
          <w:r w:rsidRPr="004C470C">
            <w:t xml:space="preserve">The data used to produce the charts </w:t>
          </w:r>
          <w:r w:rsidR="00881321">
            <w:t xml:space="preserve">and tables presented </w:t>
          </w:r>
          <w:r w:rsidRPr="004C470C">
            <w:t>has been published alongside this report</w:t>
          </w:r>
          <w:r w:rsidR="00032947">
            <w:t xml:space="preserve"> on our website</w:t>
          </w:r>
          <w:r w:rsidRPr="004C470C">
            <w:t>.</w:t>
          </w:r>
        </w:p>
        <w:p w14:paraId="43CF97F8" w14:textId="3DA11BF8" w:rsidR="00E84F9D" w:rsidRPr="004C470C" w:rsidRDefault="00E84F9D" w:rsidP="003B35B0">
          <w:pPr>
            <w:pStyle w:val="CH1normal"/>
            <w:ind w:left="567" w:hanging="567"/>
          </w:pPr>
          <w:r w:rsidRPr="004C470C">
            <w:t xml:space="preserve">If you have any questions about the content of this report, please let us know by emailing </w:t>
          </w:r>
          <w:hyperlink r:id="rId23" w:history="1">
            <w:r w:rsidR="00FE641F" w:rsidRPr="004842DF">
              <w:rPr>
                <w:rStyle w:val="Hyperlink"/>
              </w:rPr>
              <w:t>SchemesReportingFeedback@ofgem.gov.uk</w:t>
            </w:r>
          </w:hyperlink>
          <w:r w:rsidRPr="004C470C">
            <w:t xml:space="preserve">.  </w:t>
          </w:r>
          <w:r w:rsidR="00F85F6E" w:rsidRPr="004C470C">
            <w:t xml:space="preserve"> </w:t>
          </w:r>
        </w:p>
        <w:p w14:paraId="259517BC" w14:textId="3CBA7F7D" w:rsidR="006C77D1" w:rsidRPr="00C901AE" w:rsidRDefault="00E84F9D" w:rsidP="00C901AE">
          <w:pPr>
            <w:spacing w:line="276" w:lineRule="auto"/>
            <w:rPr>
              <w:rFonts w:eastAsia="Times New Roman" w:cs="Vrinda"/>
              <w:color w:val="000000" w:themeColor="text1"/>
            </w:rPr>
          </w:pPr>
          <w:r>
            <w:rPr>
              <w:rFonts w:eastAsia="Times New Roman" w:cs="Vrinda"/>
              <w:color w:val="000000" w:themeColor="text1"/>
            </w:rPr>
            <w:br w:type="page"/>
          </w:r>
        </w:p>
      </w:sdtContent>
    </w:sdt>
    <w:p w14:paraId="15B828CF" w14:textId="675E27CD" w:rsidR="00A00795" w:rsidRDefault="00AA6043">
      <w:pPr>
        <w:rPr>
          <w:rStyle w:val="Heading1Char"/>
        </w:rPr>
      </w:pPr>
      <w:bookmarkStart w:id="87" w:name="_Toc89442072"/>
      <w:bookmarkStart w:id="88" w:name="_Toc89892426"/>
      <w:bookmarkStart w:id="89" w:name="_Toc98852147"/>
      <w:r>
        <w:rPr>
          <w:rStyle w:val="Heading1Char"/>
        </w:rPr>
        <w:lastRenderedPageBreak/>
        <w:t>2.</w:t>
      </w:r>
      <w:bookmarkEnd w:id="87"/>
      <w:bookmarkEnd w:id="88"/>
      <w:r w:rsidR="00777B60">
        <w:rPr>
          <w:rStyle w:val="Heading1Char"/>
        </w:rPr>
        <w:t xml:space="preserve"> </w:t>
      </w:r>
      <w:r w:rsidR="00A00795">
        <w:rPr>
          <w:rStyle w:val="Heading1Char"/>
        </w:rPr>
        <w:t>ROCs issued and renewable generation</w:t>
      </w:r>
      <w:bookmarkEnd w:id="89"/>
    </w:p>
    <w:p w14:paraId="25CB8350" w14:textId="77777777" w:rsidR="006D4DE2" w:rsidRPr="00BE1C55" w:rsidRDefault="006D4DE2" w:rsidP="003B35B0">
      <w:pPr>
        <w:pStyle w:val="Chaptersummaryheading"/>
      </w:pPr>
      <w:bookmarkStart w:id="90" w:name="_Hlk92719938"/>
      <w:r w:rsidRPr="00BE1C55">
        <w:t>Chapter summary</w:t>
      </w:r>
    </w:p>
    <w:p w14:paraId="1A32F247" w14:textId="7A14BFFA" w:rsidR="001127BF" w:rsidRDefault="001127BF" w:rsidP="00C44A07">
      <w:pPr>
        <w:rPr>
          <w:rFonts w:cs="Verdana"/>
          <w:b/>
          <w:color w:val="000000"/>
          <w:lang w:eastAsia="en-US"/>
        </w:rPr>
      </w:pPr>
      <w:r w:rsidRPr="001127BF">
        <w:rPr>
          <w:rFonts w:cs="Verdana"/>
          <w:b/>
          <w:color w:val="000000"/>
          <w:lang w:eastAsia="en-US"/>
        </w:rPr>
        <w:t xml:space="preserve">In 2020-21, we issued 109.3 million ROCs to renewable generating stations. This ROC issue represents 80.3 </w:t>
      </w:r>
      <w:proofErr w:type="spellStart"/>
      <w:r w:rsidRPr="001127BF">
        <w:rPr>
          <w:rFonts w:cs="Verdana"/>
          <w:b/>
          <w:color w:val="000000"/>
          <w:lang w:eastAsia="en-US"/>
        </w:rPr>
        <w:t>TWh</w:t>
      </w:r>
      <w:proofErr w:type="spellEnd"/>
      <w:r w:rsidRPr="001127BF">
        <w:rPr>
          <w:rFonts w:cs="Verdana"/>
          <w:b/>
          <w:color w:val="000000"/>
          <w:lang w:eastAsia="en-US"/>
        </w:rPr>
        <w:t xml:space="preserve"> of renewable electricity generation. This generation is a decrease of 5.4% from last year but mirrors a reduction in total UK electricity supply between 2019-20 and 2020-21, which fell by 5.8%. Consequently electricity generation under the RO rose to the equivalent of 31.2% of total electricity supplied in the UK during 2020-21. All technology types saw a decrease in ROC issue compared to 2019-20. The largest drop in ROCs issued was a 10.4% decrease to onshore wind installations. ROCs issued to Solar PV installations experienced the smallest drop, a decrease of 0.3%. </w:t>
      </w:r>
    </w:p>
    <w:p w14:paraId="581B76B7" w14:textId="26D5BCF2" w:rsidR="00C44A07" w:rsidRDefault="00C44A07" w:rsidP="003B35B0">
      <w:pPr>
        <w:pStyle w:val="Heading2"/>
      </w:pPr>
      <w:bookmarkStart w:id="91" w:name="_Toc64493532"/>
      <w:bookmarkStart w:id="92" w:name="_Toc98852148"/>
      <w:bookmarkEnd w:id="90"/>
      <w:r>
        <w:t>ROCs issued and renewable generation in 20</w:t>
      </w:r>
      <w:r w:rsidR="00304AC4">
        <w:t>20</w:t>
      </w:r>
      <w:r>
        <w:t>-2</w:t>
      </w:r>
      <w:r w:rsidR="00304AC4">
        <w:t>1</w:t>
      </w:r>
      <w:r w:rsidRPr="00070305">
        <w:rPr>
          <w:rStyle w:val="FootnoteReference"/>
          <w:bCs/>
        </w:rPr>
        <w:footnoteReference w:id="9"/>
      </w:r>
      <w:bookmarkEnd w:id="91"/>
      <w:bookmarkEnd w:id="92"/>
    </w:p>
    <w:p w14:paraId="5BF41DEB" w14:textId="7751CF46" w:rsidR="00C44A07" w:rsidRPr="008F4010" w:rsidRDefault="00C44A07" w:rsidP="003B35B0">
      <w:pPr>
        <w:pStyle w:val="ListParagraph"/>
        <w:numPr>
          <w:ilvl w:val="0"/>
          <w:numId w:val="4"/>
        </w:numPr>
        <w:spacing w:after="240"/>
        <w:ind w:left="567" w:hanging="567"/>
      </w:pPr>
      <w:bookmarkStart w:id="93" w:name="_Hlk88827751"/>
      <w:r w:rsidRPr="0076464C">
        <w:rPr>
          <w:color w:val="000000" w:themeColor="text1"/>
        </w:rPr>
        <w:t xml:space="preserve">The </w:t>
      </w:r>
      <w:r w:rsidR="008F4010" w:rsidRPr="0076464C">
        <w:rPr>
          <w:color w:val="000000" w:themeColor="text1"/>
        </w:rPr>
        <w:t>2020-21</w:t>
      </w:r>
      <w:r w:rsidRPr="0076464C">
        <w:rPr>
          <w:color w:val="000000" w:themeColor="text1"/>
        </w:rPr>
        <w:t xml:space="preserve"> year saw a</w:t>
      </w:r>
      <w:r w:rsidR="008F4010" w:rsidRPr="0076464C">
        <w:rPr>
          <w:color w:val="000000" w:themeColor="text1"/>
        </w:rPr>
        <w:t xml:space="preserve"> decrease </w:t>
      </w:r>
      <w:r w:rsidRPr="0076464C">
        <w:rPr>
          <w:color w:val="000000" w:themeColor="text1"/>
        </w:rPr>
        <w:t>in the amount of renewable electricity generated</w:t>
      </w:r>
      <w:r w:rsidR="001127BF">
        <w:rPr>
          <w:color w:val="000000" w:themeColor="text1"/>
        </w:rPr>
        <w:t>, which is in line with a fall in total UK electricity supply over the same period. This</w:t>
      </w:r>
      <w:r w:rsidRPr="0076464C">
        <w:rPr>
          <w:color w:val="000000" w:themeColor="text1"/>
        </w:rPr>
        <w:t xml:space="preserve"> result</w:t>
      </w:r>
      <w:r w:rsidR="001127BF">
        <w:rPr>
          <w:color w:val="000000" w:themeColor="text1"/>
        </w:rPr>
        <w:t>ed</w:t>
      </w:r>
      <w:r w:rsidRPr="0076464C">
        <w:rPr>
          <w:color w:val="000000" w:themeColor="text1"/>
        </w:rPr>
        <w:t xml:space="preserve"> </w:t>
      </w:r>
      <w:r w:rsidRPr="003B35B0">
        <w:rPr>
          <w:rStyle w:val="CH2normalChar"/>
        </w:rPr>
        <w:t xml:space="preserve">in </w:t>
      </w:r>
      <w:r w:rsidR="008F4010" w:rsidRPr="003B35B0">
        <w:rPr>
          <w:rStyle w:val="CH2normalChar"/>
        </w:rPr>
        <w:t>a decrease</w:t>
      </w:r>
      <w:r w:rsidRPr="003B35B0">
        <w:rPr>
          <w:rStyle w:val="CH2normalChar"/>
        </w:rPr>
        <w:t xml:space="preserve"> in the number of certificates issued</w:t>
      </w:r>
      <w:r w:rsidR="001127BF">
        <w:rPr>
          <w:rStyle w:val="CH2normalChar"/>
        </w:rPr>
        <w:t xml:space="preserve">, which fell by </w:t>
      </w:r>
      <w:r w:rsidR="008F4010" w:rsidRPr="003B35B0">
        <w:rPr>
          <w:rStyle w:val="CH2normalChar"/>
        </w:rPr>
        <w:t>4.8</w:t>
      </w:r>
      <w:r w:rsidRPr="003B35B0">
        <w:rPr>
          <w:rStyle w:val="CH2normalChar"/>
        </w:rPr>
        <w:t xml:space="preserve">% </w:t>
      </w:r>
      <w:r w:rsidR="001127BF">
        <w:rPr>
          <w:rStyle w:val="CH2normalChar"/>
        </w:rPr>
        <w:t xml:space="preserve">compared to </w:t>
      </w:r>
      <w:r w:rsidR="008F4010" w:rsidRPr="003B35B0">
        <w:rPr>
          <w:rStyle w:val="CH2normalChar"/>
        </w:rPr>
        <w:t>2019-20</w:t>
      </w:r>
      <w:r w:rsidRPr="003B35B0">
        <w:rPr>
          <w:rStyle w:val="CH2normalChar"/>
        </w:rPr>
        <w:t>. Renewable generation on the RO was equivalent to 31</w:t>
      </w:r>
      <w:r w:rsidR="008F4010" w:rsidRPr="003B35B0">
        <w:rPr>
          <w:rStyle w:val="CH2normalChar"/>
        </w:rPr>
        <w:t>.2</w:t>
      </w:r>
      <w:r w:rsidRPr="003B35B0">
        <w:rPr>
          <w:rStyle w:val="CH2normalChar"/>
        </w:rPr>
        <w:t>% of the electricity supplied in the UK. This rises to 4</w:t>
      </w:r>
      <w:r w:rsidR="008F4010" w:rsidRPr="003B35B0">
        <w:rPr>
          <w:rStyle w:val="CH2normalChar"/>
        </w:rPr>
        <w:t>3</w:t>
      </w:r>
      <w:r w:rsidRPr="003B35B0">
        <w:rPr>
          <w:rStyle w:val="CH2normalChar"/>
        </w:rPr>
        <w:t>.</w:t>
      </w:r>
      <w:r w:rsidR="008F4010" w:rsidRPr="003B35B0">
        <w:rPr>
          <w:rStyle w:val="CH2normalChar"/>
        </w:rPr>
        <w:t>6</w:t>
      </w:r>
      <w:r w:rsidRPr="003B35B0">
        <w:rPr>
          <w:rStyle w:val="CH2normalChar"/>
        </w:rPr>
        <w:t>% when</w:t>
      </w:r>
      <w:r w:rsidRPr="0076464C">
        <w:t xml:space="preserve"> including generation from the </w:t>
      </w:r>
      <w:r w:rsidR="005E1443">
        <w:t>Feed-in Tariff (</w:t>
      </w:r>
      <w:r w:rsidRPr="0076464C">
        <w:t>FIT</w:t>
      </w:r>
      <w:r w:rsidR="005E1443">
        <w:t>)</w:t>
      </w:r>
      <w:r w:rsidR="00BA2E46">
        <w:rPr>
          <w:rStyle w:val="FootnoteReference"/>
        </w:rPr>
        <w:footnoteReference w:id="10"/>
      </w:r>
      <w:r w:rsidRPr="0076464C">
        <w:t xml:space="preserve"> and </w:t>
      </w:r>
      <w:r w:rsidR="005E1443">
        <w:t>Contracts for difference (</w:t>
      </w:r>
      <w:proofErr w:type="spellStart"/>
      <w:r w:rsidRPr="0076464C">
        <w:t>CfD</w:t>
      </w:r>
      <w:proofErr w:type="spellEnd"/>
      <w:r w:rsidR="005E1443">
        <w:t>)</w:t>
      </w:r>
      <w:r w:rsidR="005E1443">
        <w:rPr>
          <w:rStyle w:val="FootnoteReference"/>
        </w:rPr>
        <w:footnoteReference w:id="11"/>
      </w:r>
      <w:r w:rsidRPr="0076464C">
        <w:t xml:space="preserve"> schemes, an </w:t>
      </w:r>
      <w:r w:rsidRPr="0076464C">
        <w:rPr>
          <w:color w:val="000000" w:themeColor="text1"/>
        </w:rPr>
        <w:t xml:space="preserve">increase of </w:t>
      </w:r>
      <w:r w:rsidR="008F4010" w:rsidRPr="0076464C">
        <w:rPr>
          <w:color w:val="000000" w:themeColor="text1"/>
        </w:rPr>
        <w:t>2</w:t>
      </w:r>
      <w:r w:rsidRPr="0076464C">
        <w:rPr>
          <w:color w:val="000000" w:themeColor="text1"/>
        </w:rPr>
        <w:t>.3%</w:t>
      </w:r>
      <w:r w:rsidRPr="0076464C">
        <w:rPr>
          <w:color w:val="FF0000"/>
        </w:rPr>
        <w:t xml:space="preserve"> </w:t>
      </w:r>
      <w:r w:rsidR="00BD68E0" w:rsidRPr="003B35B0">
        <w:rPr>
          <w:color w:val="000000" w:themeColor="text1"/>
        </w:rPr>
        <w:t xml:space="preserve">percentage points </w:t>
      </w:r>
      <w:r w:rsidRPr="0076464C">
        <w:t>compared to the 201</w:t>
      </w:r>
      <w:r w:rsidR="008F4010" w:rsidRPr="0076464C">
        <w:t>9</w:t>
      </w:r>
      <w:r w:rsidRPr="0076464C">
        <w:t>-</w:t>
      </w:r>
      <w:r w:rsidR="008F4010" w:rsidRPr="0076464C">
        <w:t>20</w:t>
      </w:r>
      <w:r w:rsidRPr="0076464C">
        <w:t xml:space="preserve"> year. The exact figures for 20</w:t>
      </w:r>
      <w:r w:rsidR="008F4010" w:rsidRPr="0076464C">
        <w:t>20</w:t>
      </w:r>
      <w:r w:rsidRPr="0076464C">
        <w:t>-2</w:t>
      </w:r>
      <w:r w:rsidR="008F4010" w:rsidRPr="0076464C">
        <w:t>1</w:t>
      </w:r>
      <w:r w:rsidRPr="0076464C">
        <w:t xml:space="preserve"> and the percentage change from previous years are shown in </w:t>
      </w:r>
      <w:r w:rsidRPr="0076464C">
        <w:rPr>
          <w:b/>
          <w:bCs/>
        </w:rPr>
        <w:t>Table 2.1</w:t>
      </w:r>
      <w:r w:rsidRPr="0076464C">
        <w:t>.</w:t>
      </w:r>
    </w:p>
    <w:bookmarkEnd w:id="93"/>
    <w:p w14:paraId="5D8DBB16" w14:textId="77777777" w:rsidR="00BD68E0" w:rsidRDefault="00BD68E0">
      <w:pPr>
        <w:spacing w:line="276" w:lineRule="auto"/>
        <w:rPr>
          <w:b/>
          <w:bCs/>
        </w:rPr>
      </w:pPr>
      <w:r>
        <w:rPr>
          <w:b/>
          <w:bCs/>
        </w:rPr>
        <w:br w:type="page"/>
      </w:r>
    </w:p>
    <w:p w14:paraId="0D02502A" w14:textId="0C076AF3" w:rsidR="006A54B1" w:rsidRDefault="00A00795" w:rsidP="007E1963">
      <w:pPr>
        <w:rPr>
          <w:b/>
          <w:bCs/>
        </w:rPr>
      </w:pPr>
      <w:r w:rsidRPr="005F57F6">
        <w:rPr>
          <w:b/>
          <w:bCs/>
        </w:rPr>
        <w:lastRenderedPageBreak/>
        <w:t>Table 2.1 Comparison of ROCs issued from 2018-</w:t>
      </w:r>
      <w:r w:rsidR="00EB3E3B">
        <w:rPr>
          <w:b/>
          <w:bCs/>
        </w:rPr>
        <w:t>1</w:t>
      </w:r>
      <w:r w:rsidRPr="005F57F6">
        <w:rPr>
          <w:b/>
          <w:bCs/>
        </w:rPr>
        <w:t>9 to 2020-21</w:t>
      </w:r>
    </w:p>
    <w:tbl>
      <w:tblPr>
        <w:tblW w:w="9673" w:type="dxa"/>
        <w:tblInd w:w="108" w:type="dxa"/>
        <w:tblLayout w:type="fixed"/>
        <w:tblLook w:val="04A0" w:firstRow="1" w:lastRow="0" w:firstColumn="1" w:lastColumn="0" w:noHBand="0" w:noVBand="1"/>
      </w:tblPr>
      <w:tblGrid>
        <w:gridCol w:w="5279"/>
        <w:gridCol w:w="1559"/>
        <w:gridCol w:w="1418"/>
        <w:gridCol w:w="992"/>
        <w:gridCol w:w="425"/>
      </w:tblGrid>
      <w:tr w:rsidR="00D8616D" w:rsidRPr="00644CC1" w14:paraId="2EDD1B33" w14:textId="77777777" w:rsidTr="003B35B0">
        <w:trPr>
          <w:trHeight w:val="300"/>
        </w:trPr>
        <w:tc>
          <w:tcPr>
            <w:tcW w:w="5279" w:type="dxa"/>
            <w:tcBorders>
              <w:top w:val="nil"/>
              <w:left w:val="nil"/>
              <w:bottom w:val="single" w:sz="4" w:space="0" w:color="7F7F7F" w:themeColor="text1" w:themeTint="80"/>
              <w:right w:val="single" w:sz="4" w:space="0" w:color="7F7F7F" w:themeColor="text1" w:themeTint="80"/>
            </w:tcBorders>
            <w:shd w:val="clear" w:color="000000" w:fill="FFFFFF"/>
            <w:noWrap/>
            <w:vAlign w:val="bottom"/>
            <w:hideMark/>
          </w:tcPr>
          <w:p w14:paraId="56924678" w14:textId="77777777" w:rsidR="00D8616D" w:rsidRPr="003B0127" w:rsidRDefault="00D8616D" w:rsidP="009D32B4">
            <w:pPr>
              <w:spacing w:after="0"/>
              <w:rPr>
                <w:rFonts w:eastAsia="Times New Roman" w:cs="Times New Roman"/>
                <w:color w:val="000000"/>
                <w:sz w:val="16"/>
                <w:szCs w:val="18"/>
              </w:rPr>
            </w:pPr>
            <w:r w:rsidRPr="003B0127">
              <w:rPr>
                <w:rFonts w:eastAsia="Times New Roman" w:cs="Times New Roman"/>
                <w:color w:val="000000"/>
                <w:sz w:val="16"/>
                <w:szCs w:val="18"/>
              </w:rPr>
              <w:t> </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44A6417C" w14:textId="557F7B50" w:rsidR="00D8616D" w:rsidRPr="003B0127" w:rsidRDefault="00D8616D" w:rsidP="003B35B0">
            <w:pPr>
              <w:spacing w:after="0" w:line="240" w:lineRule="exact"/>
              <w:jc w:val="right"/>
              <w:rPr>
                <w:rFonts w:eastAsia="Times New Roman" w:cs="Times New Roman"/>
                <w:bCs/>
                <w:color w:val="FFFFFF"/>
                <w:sz w:val="16"/>
                <w:szCs w:val="18"/>
              </w:rPr>
            </w:pPr>
            <w:r>
              <w:rPr>
                <w:rFonts w:eastAsia="Times New Roman" w:cs="Times New Roman"/>
                <w:bCs/>
                <w:color w:val="FFFFFF"/>
                <w:sz w:val="16"/>
                <w:szCs w:val="18"/>
              </w:rPr>
              <w:t>2020-21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392B0E5C" w14:textId="77777777" w:rsidR="00D8616D" w:rsidRPr="003B0127" w:rsidRDefault="00D8616D" w:rsidP="003B35B0">
            <w:pPr>
              <w:spacing w:after="0" w:line="240" w:lineRule="exact"/>
              <w:jc w:val="right"/>
              <w:rPr>
                <w:rFonts w:eastAsia="Times New Roman" w:cs="Times New Roman"/>
                <w:bCs/>
                <w:color w:val="FFFFFF"/>
                <w:sz w:val="16"/>
                <w:szCs w:val="18"/>
              </w:rPr>
            </w:pPr>
            <w:r>
              <w:rPr>
                <w:rFonts w:eastAsia="Times New Roman" w:cs="Times New Roman"/>
                <w:bCs/>
                <w:color w:val="FFFFFF"/>
                <w:sz w:val="16"/>
                <w:szCs w:val="18"/>
              </w:rPr>
              <w:t>Change fr</w:t>
            </w:r>
            <w:r w:rsidRPr="003B0127">
              <w:rPr>
                <w:rFonts w:eastAsia="Times New Roman" w:cs="Times New Roman"/>
                <w:bCs/>
                <w:color w:val="FFFFFF"/>
                <w:sz w:val="16"/>
                <w:szCs w:val="18"/>
              </w:rPr>
              <w:t>om</w:t>
            </w:r>
          </w:p>
          <w:p w14:paraId="43D2B0DE" w14:textId="6A9697B4" w:rsidR="00D8616D" w:rsidRPr="003B0127" w:rsidRDefault="00D8616D" w:rsidP="003B35B0">
            <w:pPr>
              <w:spacing w:after="0" w:line="240" w:lineRule="exact"/>
              <w:jc w:val="right"/>
              <w:rPr>
                <w:rFonts w:eastAsia="Times New Roman" w:cs="Times New Roman"/>
                <w:bCs/>
                <w:color w:val="FFFFFF"/>
                <w:sz w:val="16"/>
                <w:szCs w:val="18"/>
              </w:rPr>
            </w:pPr>
            <w:r>
              <w:rPr>
                <w:rFonts w:eastAsia="Times New Roman" w:cs="Times New Roman"/>
                <w:bCs/>
                <w:color w:val="FFFFFF"/>
                <w:sz w:val="16"/>
                <w:szCs w:val="18"/>
              </w:rPr>
              <w:t>2019-20</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tcPr>
          <w:p w14:paraId="04D81F80" w14:textId="77777777" w:rsidR="00D8616D" w:rsidRDefault="00D8616D" w:rsidP="003B35B0">
            <w:pPr>
              <w:spacing w:after="0" w:line="240" w:lineRule="exact"/>
              <w:jc w:val="right"/>
            </w:pPr>
            <w:r>
              <w:rPr>
                <w:rFonts w:eastAsia="Times New Roman" w:cs="Times New Roman"/>
                <w:bCs/>
                <w:color w:val="FFFFFF"/>
                <w:sz w:val="16"/>
                <w:szCs w:val="18"/>
              </w:rPr>
              <w:t xml:space="preserve">Change from </w:t>
            </w:r>
          </w:p>
          <w:p w14:paraId="723D25B9" w14:textId="40F8D8C8" w:rsidR="00D8616D" w:rsidRPr="003B0127" w:rsidRDefault="00D8616D" w:rsidP="003B35B0">
            <w:pPr>
              <w:spacing w:after="0" w:line="240" w:lineRule="exact"/>
              <w:jc w:val="right"/>
              <w:rPr>
                <w:rFonts w:eastAsia="Times New Roman" w:cs="Times New Roman"/>
                <w:bCs/>
                <w:color w:val="FFFFFF"/>
                <w:sz w:val="16"/>
                <w:szCs w:val="18"/>
              </w:rPr>
            </w:pPr>
            <w:r>
              <w:rPr>
                <w:rFonts w:eastAsia="Times New Roman" w:cs="Times New Roman"/>
                <w:bCs/>
                <w:color w:val="FFFFFF"/>
                <w:sz w:val="16"/>
                <w:szCs w:val="18"/>
              </w:rPr>
              <w:t>2018-19</w:t>
            </w:r>
          </w:p>
        </w:tc>
      </w:tr>
      <w:tr w:rsidR="00D8616D" w:rsidRPr="00644CC1" w14:paraId="1B1519FD"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73694A11" w14:textId="77777777" w:rsidR="00D8616D" w:rsidRPr="003B0127" w:rsidRDefault="00D8616D" w:rsidP="00D8616D">
            <w:pPr>
              <w:spacing w:after="0"/>
              <w:rPr>
                <w:rFonts w:eastAsia="Times New Roman" w:cs="Times New Roman"/>
                <w:bCs/>
                <w:color w:val="FFFFFF"/>
                <w:sz w:val="16"/>
                <w:szCs w:val="18"/>
              </w:rPr>
            </w:pPr>
            <w:r w:rsidRPr="003B0127">
              <w:rPr>
                <w:rFonts w:cs="Calibri"/>
                <w:bCs/>
                <w:color w:val="FFFFFF"/>
                <w:sz w:val="16"/>
                <w:szCs w:val="18"/>
              </w:rPr>
              <w:t>Total number of ROCs issued</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294B6683" w14:textId="447EC891" w:rsidR="00D8616D" w:rsidRPr="00D8616D" w:rsidRDefault="00D8616D" w:rsidP="00D8616D">
            <w:pPr>
              <w:spacing w:after="0"/>
              <w:jc w:val="right"/>
              <w:rPr>
                <w:rFonts w:eastAsia="Times New Roman" w:cs="Times New Roman"/>
                <w:color w:val="FF0000"/>
                <w:sz w:val="16"/>
                <w:szCs w:val="16"/>
              </w:rPr>
            </w:pPr>
            <w:r w:rsidRPr="00D8616D">
              <w:rPr>
                <w:sz w:val="16"/>
                <w:szCs w:val="16"/>
              </w:rPr>
              <w:t xml:space="preserve">109,252,882 </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4CA87EA4" w14:textId="2F68C1D2"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-4.8%</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0F2541" w14:textId="19AA3DFA" w:rsidR="00D8616D" w:rsidRPr="00D8616D" w:rsidRDefault="00D8616D" w:rsidP="00D8616D">
            <w:pPr>
              <w:spacing w:after="0"/>
              <w:jc w:val="right"/>
              <w:rPr>
                <w:rFonts w:cs="Calibri"/>
                <w:color w:val="000000" w:themeColor="text1"/>
                <w:sz w:val="16"/>
                <w:szCs w:val="16"/>
              </w:rPr>
            </w:pPr>
            <w:r w:rsidRPr="00D8616D">
              <w:rPr>
                <w:sz w:val="16"/>
                <w:szCs w:val="16"/>
              </w:rPr>
              <w:t>+3.1%</w:t>
            </w:r>
          </w:p>
        </w:tc>
      </w:tr>
      <w:tr w:rsidR="00D8616D" w:rsidRPr="00644CC1" w14:paraId="48FED7BE"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1392BDA1" w14:textId="77777777" w:rsidR="00D8616D" w:rsidRPr="003B0127" w:rsidRDefault="00D8616D" w:rsidP="00D8616D">
            <w:pPr>
              <w:spacing w:after="0"/>
              <w:rPr>
                <w:rFonts w:eastAsia="Times New Roman" w:cs="Times New Roman"/>
                <w:bCs/>
                <w:color w:val="FFFFFF"/>
                <w:sz w:val="16"/>
                <w:szCs w:val="18"/>
              </w:rPr>
            </w:pPr>
            <w:r w:rsidRPr="003B0127">
              <w:rPr>
                <w:rFonts w:cs="Calibri"/>
                <w:bCs/>
                <w:color w:val="FFFFFF"/>
                <w:sz w:val="16"/>
                <w:szCs w:val="18"/>
              </w:rPr>
              <w:t>Associated renewable generation (MWh)</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7F817E3C" w14:textId="4AF4F19A"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 xml:space="preserve">80,348,926 </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25D4BF35" w14:textId="4EBD9EFF"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-5.4%</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DB80E05" w14:textId="4587217D" w:rsidR="00D8616D" w:rsidRPr="00D8616D" w:rsidRDefault="00D8616D" w:rsidP="00D8616D">
            <w:pPr>
              <w:spacing w:after="0"/>
              <w:jc w:val="right"/>
              <w:rPr>
                <w:rFonts w:cs="Calibri"/>
                <w:color w:val="000000" w:themeColor="text1"/>
                <w:sz w:val="16"/>
                <w:szCs w:val="16"/>
              </w:rPr>
            </w:pPr>
            <w:r w:rsidRPr="00D8616D">
              <w:rPr>
                <w:sz w:val="16"/>
                <w:szCs w:val="16"/>
              </w:rPr>
              <w:t>+1.6%</w:t>
            </w:r>
          </w:p>
        </w:tc>
      </w:tr>
      <w:tr w:rsidR="00D8616D" w:rsidRPr="00644CC1" w14:paraId="3DDB28DF"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73A76CA9" w14:textId="77777777" w:rsidR="00D8616D" w:rsidRPr="003B0127" w:rsidRDefault="00D8616D" w:rsidP="00D8616D">
            <w:pPr>
              <w:spacing w:after="0"/>
              <w:rPr>
                <w:rFonts w:eastAsia="Times New Roman" w:cs="Times New Roman"/>
                <w:bCs/>
                <w:color w:val="FFFFFF"/>
                <w:sz w:val="16"/>
                <w:szCs w:val="18"/>
              </w:rPr>
            </w:pPr>
            <w:r w:rsidRPr="003B0127">
              <w:rPr>
                <w:rFonts w:cs="Calibri"/>
                <w:bCs/>
                <w:color w:val="FFFFFF"/>
                <w:sz w:val="16"/>
                <w:szCs w:val="18"/>
              </w:rPr>
              <w:t>Total UK electricity supply (MWh)</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79008B06" w14:textId="0D559D53"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257,305,53</w:t>
            </w:r>
            <w:r w:rsidR="009F330D">
              <w:rPr>
                <w:sz w:val="16"/>
                <w:szCs w:val="16"/>
              </w:rPr>
              <w:t>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24E25A4B" w14:textId="45137569"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-6.0%</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AAEC57E" w14:textId="1A06B471" w:rsidR="00D8616D" w:rsidRPr="00D8616D" w:rsidRDefault="00D8616D" w:rsidP="00D8616D">
            <w:pPr>
              <w:spacing w:after="0"/>
              <w:jc w:val="right"/>
              <w:rPr>
                <w:rFonts w:cs="Calibri"/>
                <w:color w:val="000000" w:themeColor="text1"/>
                <w:sz w:val="16"/>
                <w:szCs w:val="16"/>
              </w:rPr>
            </w:pPr>
            <w:r w:rsidRPr="00D8616D">
              <w:rPr>
                <w:sz w:val="16"/>
                <w:szCs w:val="16"/>
              </w:rPr>
              <w:t>-7.2%</w:t>
            </w:r>
          </w:p>
        </w:tc>
      </w:tr>
      <w:tr w:rsidR="00D8616D" w:rsidRPr="00644CC1" w14:paraId="36D083FB"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1BBBD266" w14:textId="77777777" w:rsidR="00D8616D" w:rsidRPr="003B0127" w:rsidRDefault="00D8616D" w:rsidP="00D8616D">
            <w:pPr>
              <w:spacing w:after="0"/>
              <w:rPr>
                <w:rFonts w:eastAsia="Times New Roman" w:cs="Times New Roman"/>
                <w:bCs/>
                <w:color w:val="FFFFFF"/>
                <w:sz w:val="16"/>
                <w:szCs w:val="18"/>
              </w:rPr>
            </w:pPr>
            <w:r w:rsidRPr="003B0127">
              <w:rPr>
                <w:rFonts w:cs="Calibri"/>
                <w:bCs/>
                <w:color w:val="FFFFFF"/>
                <w:sz w:val="16"/>
                <w:szCs w:val="18"/>
              </w:rPr>
              <w:t>RO renewable generation as a proportion of electricity supply*</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0F834F4D" w14:textId="44FC59B2"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31.2%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3B85F1F3" w14:textId="3BAA90CB"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+0.2pp</w:t>
            </w:r>
            <w:r w:rsidR="00151F39">
              <w:rPr>
                <w:sz w:val="16"/>
                <w:szCs w:val="16"/>
              </w:rPr>
              <w:t>**</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9FBADD" w14:textId="4262CC13" w:rsidR="00D8616D" w:rsidRPr="00D8616D" w:rsidRDefault="00D8616D" w:rsidP="00D8616D">
            <w:pPr>
              <w:spacing w:after="0"/>
              <w:jc w:val="right"/>
              <w:rPr>
                <w:rFonts w:cs="Calibri"/>
                <w:color w:val="000000" w:themeColor="text1"/>
                <w:sz w:val="16"/>
                <w:szCs w:val="16"/>
              </w:rPr>
            </w:pPr>
            <w:r w:rsidRPr="00D8616D">
              <w:rPr>
                <w:sz w:val="16"/>
                <w:szCs w:val="16"/>
              </w:rPr>
              <w:t>+2.7pp**</w:t>
            </w:r>
          </w:p>
        </w:tc>
      </w:tr>
      <w:tr w:rsidR="00D8616D" w:rsidRPr="00644CC1" w14:paraId="01205032"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hideMark/>
          </w:tcPr>
          <w:p w14:paraId="786409E6" w14:textId="77777777" w:rsidR="00D8616D" w:rsidRPr="003B0127" w:rsidRDefault="00D8616D" w:rsidP="00D8616D">
            <w:pPr>
              <w:spacing w:after="0"/>
              <w:rPr>
                <w:rFonts w:eastAsia="Times New Roman" w:cs="Times New Roman"/>
                <w:bCs/>
                <w:color w:val="FFFFFF"/>
                <w:sz w:val="16"/>
                <w:szCs w:val="18"/>
              </w:rPr>
            </w:pPr>
            <w:r w:rsidRPr="003B0127">
              <w:rPr>
                <w:rFonts w:cs="Calibri"/>
                <w:bCs/>
                <w:color w:val="FFFFFF"/>
                <w:sz w:val="16"/>
                <w:szCs w:val="18"/>
              </w:rPr>
              <w:t>Renewable generation including FIT</w:t>
            </w:r>
            <w:r>
              <w:rPr>
                <w:rFonts w:cs="Calibri"/>
                <w:bCs/>
                <w:color w:val="FFFFFF"/>
                <w:sz w:val="16"/>
                <w:szCs w:val="18"/>
              </w:rPr>
              <w:t xml:space="preserve"> &amp; </w:t>
            </w:r>
            <w:proofErr w:type="spellStart"/>
            <w:r>
              <w:rPr>
                <w:rFonts w:cs="Calibri"/>
                <w:bCs/>
                <w:color w:val="FFFFFF"/>
                <w:sz w:val="16"/>
                <w:szCs w:val="18"/>
              </w:rPr>
              <w:t>CfD</w:t>
            </w:r>
            <w:proofErr w:type="spellEnd"/>
            <w:r w:rsidRPr="003B0127">
              <w:rPr>
                <w:rFonts w:cs="Calibri"/>
                <w:bCs/>
                <w:color w:val="FFFFFF"/>
                <w:sz w:val="16"/>
                <w:szCs w:val="18"/>
              </w:rPr>
              <w:t xml:space="preserve"> (MWh)</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30DCB4F7" w14:textId="27F63453"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 xml:space="preserve">112,147,911 </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1E173DAD" w14:textId="24756040"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-0.6%</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A5D66F" w14:textId="2B87B940" w:rsidR="00D8616D" w:rsidRPr="00D8616D" w:rsidRDefault="00D8616D" w:rsidP="00D8616D">
            <w:pPr>
              <w:spacing w:after="0"/>
              <w:jc w:val="right"/>
              <w:rPr>
                <w:rFonts w:cs="Calibri"/>
                <w:i/>
                <w:color w:val="000000" w:themeColor="text1"/>
                <w:sz w:val="16"/>
                <w:szCs w:val="16"/>
              </w:rPr>
            </w:pPr>
            <w:r w:rsidRPr="00D8616D">
              <w:rPr>
                <w:sz w:val="16"/>
                <w:szCs w:val="16"/>
              </w:rPr>
              <w:t>+12.5%</w:t>
            </w:r>
          </w:p>
        </w:tc>
      </w:tr>
      <w:tr w:rsidR="00D8616D" w:rsidRPr="00F25C69" w14:paraId="599B9D05" w14:textId="77777777" w:rsidTr="003B35B0">
        <w:trPr>
          <w:trHeight w:val="300"/>
        </w:trPr>
        <w:tc>
          <w:tcPr>
            <w:tcW w:w="52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2363AF"/>
            <w:noWrap/>
            <w:vAlign w:val="center"/>
          </w:tcPr>
          <w:p w14:paraId="4FB148FB" w14:textId="2D8807B5" w:rsidR="00D8616D" w:rsidRPr="003B0127" w:rsidRDefault="00D8616D" w:rsidP="003B35B0">
            <w:pPr>
              <w:spacing w:after="0" w:line="240" w:lineRule="exact"/>
              <w:rPr>
                <w:rFonts w:eastAsia="Times New Roman" w:cs="Times New Roman"/>
                <w:bCs/>
                <w:color w:val="FFFFFF"/>
                <w:sz w:val="16"/>
                <w:szCs w:val="18"/>
              </w:rPr>
            </w:pPr>
            <w:r w:rsidRPr="003B0127">
              <w:rPr>
                <w:rFonts w:cs="Calibri"/>
                <w:bCs/>
                <w:color w:val="FFFFFF"/>
                <w:sz w:val="16"/>
                <w:szCs w:val="18"/>
              </w:rPr>
              <w:t xml:space="preserve">Renewable generation </w:t>
            </w:r>
            <w:r w:rsidR="00D45B72">
              <w:rPr>
                <w:rFonts w:cs="Calibri"/>
                <w:bCs/>
                <w:color w:val="FFFFFF"/>
                <w:sz w:val="16"/>
                <w:szCs w:val="18"/>
              </w:rPr>
              <w:t>(</w:t>
            </w:r>
            <w:r w:rsidR="00D45B72" w:rsidRPr="003B0127">
              <w:rPr>
                <w:rFonts w:cs="Calibri"/>
                <w:bCs/>
                <w:color w:val="FFFFFF"/>
                <w:sz w:val="16"/>
                <w:szCs w:val="18"/>
              </w:rPr>
              <w:t>including FIT</w:t>
            </w:r>
            <w:r w:rsidR="00D45B72">
              <w:rPr>
                <w:rFonts w:cs="Calibri"/>
                <w:bCs/>
                <w:color w:val="FFFFFF"/>
                <w:sz w:val="16"/>
                <w:szCs w:val="18"/>
              </w:rPr>
              <w:t xml:space="preserve"> &amp; </w:t>
            </w:r>
            <w:proofErr w:type="spellStart"/>
            <w:r w:rsidR="00D45B72">
              <w:rPr>
                <w:rFonts w:cs="Calibri"/>
                <w:bCs/>
                <w:color w:val="FFFFFF"/>
                <w:sz w:val="16"/>
                <w:szCs w:val="18"/>
              </w:rPr>
              <w:t>CfD</w:t>
            </w:r>
            <w:proofErr w:type="spellEnd"/>
            <w:r w:rsidR="00D45B72">
              <w:rPr>
                <w:rFonts w:cs="Calibri"/>
                <w:bCs/>
                <w:color w:val="FFFFFF"/>
                <w:sz w:val="16"/>
                <w:szCs w:val="18"/>
              </w:rPr>
              <w:t xml:space="preserve">) </w:t>
            </w:r>
            <w:r w:rsidRPr="003B0127">
              <w:rPr>
                <w:rFonts w:cs="Calibri"/>
                <w:bCs/>
                <w:color w:val="FFFFFF"/>
                <w:sz w:val="16"/>
                <w:szCs w:val="18"/>
              </w:rPr>
              <w:t>as a proportion of electricity supply*</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5F49B593" w14:textId="2BAA59FE"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43.6%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14:paraId="29C7BF64" w14:textId="28813326" w:rsidR="00D8616D" w:rsidRPr="00D8616D" w:rsidRDefault="00D8616D" w:rsidP="00D8616D">
            <w:pPr>
              <w:spacing w:after="0"/>
              <w:jc w:val="right"/>
              <w:rPr>
                <w:rFonts w:eastAsia="Times New Roman" w:cs="Times New Roman"/>
                <w:color w:val="000000" w:themeColor="text1"/>
                <w:sz w:val="16"/>
                <w:szCs w:val="16"/>
              </w:rPr>
            </w:pPr>
            <w:r w:rsidRPr="00D8616D">
              <w:rPr>
                <w:sz w:val="16"/>
                <w:szCs w:val="16"/>
              </w:rPr>
              <w:t>+2.</w:t>
            </w:r>
            <w:r w:rsidR="009F330D">
              <w:rPr>
                <w:sz w:val="16"/>
                <w:szCs w:val="16"/>
              </w:rPr>
              <w:t>3</w:t>
            </w:r>
            <w:r w:rsidRPr="00D8616D">
              <w:rPr>
                <w:sz w:val="16"/>
                <w:szCs w:val="16"/>
              </w:rPr>
              <w:t>pp</w:t>
            </w:r>
            <w:r w:rsidR="00151F39">
              <w:rPr>
                <w:sz w:val="16"/>
                <w:szCs w:val="16"/>
              </w:rPr>
              <w:t>**</w: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0623E3" w14:textId="239D21E3" w:rsidR="00D8616D" w:rsidRPr="00D8616D" w:rsidRDefault="00D8616D" w:rsidP="00D8616D">
            <w:pPr>
              <w:spacing w:after="0"/>
              <w:jc w:val="right"/>
              <w:rPr>
                <w:rFonts w:cs="Calibri"/>
                <w:color w:val="000000" w:themeColor="text1"/>
                <w:sz w:val="16"/>
                <w:szCs w:val="16"/>
              </w:rPr>
            </w:pPr>
            <w:r w:rsidRPr="00D8616D">
              <w:rPr>
                <w:sz w:val="16"/>
                <w:szCs w:val="16"/>
              </w:rPr>
              <w:t>+7.7pp</w:t>
            </w:r>
            <w:r>
              <w:rPr>
                <w:sz w:val="16"/>
                <w:szCs w:val="16"/>
              </w:rPr>
              <w:t>**</w:t>
            </w:r>
          </w:p>
        </w:tc>
      </w:tr>
      <w:tr w:rsidR="00D8616D" w:rsidRPr="00644CC1" w14:paraId="0A672ECB" w14:textId="77777777" w:rsidTr="009D32B4">
        <w:trPr>
          <w:gridAfter w:val="1"/>
          <w:wAfter w:w="425" w:type="dxa"/>
          <w:trHeight w:val="113"/>
        </w:trPr>
        <w:tc>
          <w:tcPr>
            <w:tcW w:w="9248" w:type="dxa"/>
            <w:gridSpan w:val="4"/>
            <w:tcBorders>
              <w:top w:val="single" w:sz="4" w:space="0" w:color="auto"/>
            </w:tcBorders>
            <w:shd w:val="clear" w:color="auto" w:fill="auto"/>
            <w:noWrap/>
            <w:vAlign w:val="center"/>
          </w:tcPr>
          <w:p w14:paraId="41E3B5D6" w14:textId="77777777" w:rsidR="00D8616D" w:rsidRPr="003B0127" w:rsidRDefault="00D8616D" w:rsidP="000C7086">
            <w:pPr>
              <w:spacing w:after="120" w:line="240" w:lineRule="exact"/>
              <w:rPr>
                <w:sz w:val="16"/>
              </w:rPr>
            </w:pPr>
            <w:r w:rsidRPr="003B0127">
              <w:rPr>
                <w:sz w:val="16"/>
              </w:rPr>
              <w:t xml:space="preserve">* </w:t>
            </w:r>
            <w:r w:rsidRPr="00654F61">
              <w:rPr>
                <w:sz w:val="16"/>
              </w:rPr>
              <w:t>These figures include generation not exported to the grid</w:t>
            </w:r>
            <w:r>
              <w:rPr>
                <w:sz w:val="16"/>
              </w:rPr>
              <w:t xml:space="preserve">. This generation </w:t>
            </w:r>
            <w:r w:rsidRPr="00654F61">
              <w:rPr>
                <w:sz w:val="16"/>
              </w:rPr>
              <w:t>is not captured within the total electricity supply figure; therefore these figures are only representative</w:t>
            </w:r>
            <w:r>
              <w:rPr>
                <w:sz w:val="16"/>
              </w:rPr>
              <w:t>.</w:t>
            </w:r>
          </w:p>
          <w:p w14:paraId="57C3B798" w14:textId="77777777" w:rsidR="00D8616D" w:rsidRPr="008E43CB" w:rsidRDefault="00D8616D" w:rsidP="000C7086">
            <w:pPr>
              <w:rPr>
                <w:sz w:val="12"/>
              </w:rPr>
            </w:pPr>
            <w:r w:rsidRPr="00C832DC">
              <w:rPr>
                <w:sz w:val="16"/>
              </w:rPr>
              <w:t>** pp – Percentage points</w:t>
            </w:r>
          </w:p>
        </w:tc>
      </w:tr>
    </w:tbl>
    <w:p w14:paraId="4231EEDA" w14:textId="77D6D663" w:rsidR="00C44A07" w:rsidRPr="0076464C" w:rsidRDefault="00C44A07" w:rsidP="000C7086">
      <w:pPr>
        <w:pStyle w:val="CH2normal"/>
        <w:ind w:left="567" w:hanging="567"/>
      </w:pPr>
      <w:r w:rsidRPr="0076464C">
        <w:t xml:space="preserve">The UK obligation for </w:t>
      </w:r>
      <w:r w:rsidR="00304AC4" w:rsidRPr="0076464C">
        <w:t>2020-21</w:t>
      </w:r>
      <w:r w:rsidRPr="0076464C">
        <w:t xml:space="preserve"> was </w:t>
      </w:r>
      <w:r w:rsidR="00304AC4" w:rsidRPr="0076464C">
        <w:t>119.1</w:t>
      </w:r>
      <w:r w:rsidRPr="0076464C">
        <w:t xml:space="preserve"> </w:t>
      </w:r>
      <w:r w:rsidR="00EB76AF">
        <w:t>million</w:t>
      </w:r>
      <w:r w:rsidRPr="0076464C">
        <w:t xml:space="preserve"> ROCs. As shown in </w:t>
      </w:r>
      <w:r w:rsidRPr="0076464C">
        <w:rPr>
          <w:b/>
        </w:rPr>
        <w:t xml:space="preserve">Figure 2.1 </w:t>
      </w:r>
      <w:r w:rsidRPr="0076464C">
        <w:t xml:space="preserve">there was a shortfall of approximately </w:t>
      </w:r>
      <w:r w:rsidR="00304AC4" w:rsidRPr="0076464C">
        <w:t>9.8</w:t>
      </w:r>
      <w:r w:rsidR="00EB76AF">
        <w:t xml:space="preserve"> million</w:t>
      </w:r>
      <w:r w:rsidR="00304AC4" w:rsidRPr="0076464C">
        <w:t xml:space="preserve"> </w:t>
      </w:r>
      <w:r w:rsidRPr="0076464C">
        <w:t xml:space="preserve">ROCs issued for the year. This compares to a </w:t>
      </w:r>
      <w:r w:rsidR="00304AC4" w:rsidRPr="0076464C">
        <w:t>15.5</w:t>
      </w:r>
      <w:r w:rsidRPr="0076464C">
        <w:t xml:space="preserve"> </w:t>
      </w:r>
      <w:r w:rsidR="00EB76AF">
        <w:t>million</w:t>
      </w:r>
      <w:r w:rsidRPr="0076464C">
        <w:t xml:space="preserve"> shortfall for the previous obligation year. As a proportion, the shortfall was </w:t>
      </w:r>
      <w:r w:rsidR="00442ADD">
        <w:t>8.3</w:t>
      </w:r>
      <w:r w:rsidRPr="0076464C">
        <w:t>% of the obligation for 20</w:t>
      </w:r>
      <w:r w:rsidR="00304AC4" w:rsidRPr="0076464C">
        <w:t>20</w:t>
      </w:r>
      <w:r w:rsidRPr="0076464C">
        <w:t>-2</w:t>
      </w:r>
      <w:r w:rsidR="00304AC4" w:rsidRPr="0076464C">
        <w:t>1</w:t>
      </w:r>
      <w:r w:rsidRPr="0076464C">
        <w:t xml:space="preserve">, compared with </w:t>
      </w:r>
      <w:r w:rsidR="00304AC4" w:rsidRPr="0076464C">
        <w:t>11.9</w:t>
      </w:r>
      <w:r w:rsidRPr="0076464C">
        <w:t>% for 20</w:t>
      </w:r>
      <w:r w:rsidR="00304AC4" w:rsidRPr="0076464C">
        <w:t>19</w:t>
      </w:r>
      <w:r w:rsidRPr="0076464C">
        <w:t>-</w:t>
      </w:r>
      <w:r w:rsidR="00304AC4" w:rsidRPr="0076464C">
        <w:t>20</w:t>
      </w:r>
      <w:r w:rsidRPr="0076464C">
        <w:t>.</w:t>
      </w:r>
      <w:r w:rsidR="00B2022C">
        <w:t xml:space="preserve"> </w:t>
      </w:r>
    </w:p>
    <w:p w14:paraId="4E1A1D12" w14:textId="07EB8257" w:rsidR="00371756" w:rsidRDefault="00371756" w:rsidP="00371756">
      <w:pPr>
        <w:numPr>
          <w:ilvl w:val="1"/>
          <w:numId w:val="0"/>
        </w:numPr>
        <w:spacing w:after="240"/>
        <w:rPr>
          <w:b/>
        </w:rPr>
      </w:pPr>
      <w:r w:rsidRPr="005F57F6">
        <w:rPr>
          <w:b/>
        </w:rPr>
        <w:t xml:space="preserve">Figure 2.1: ROCs issued, obligation </w:t>
      </w:r>
      <w:r w:rsidR="00442ADD">
        <w:rPr>
          <w:b/>
        </w:rPr>
        <w:t>(ROCs)</w:t>
      </w:r>
      <w:r w:rsidRPr="005F57F6">
        <w:rPr>
          <w:b/>
        </w:rPr>
        <w:t xml:space="preserve"> and renewable generation since 2007-08</w:t>
      </w:r>
    </w:p>
    <w:p w14:paraId="7893831E" w14:textId="70F3E625" w:rsidR="00371756" w:rsidRDefault="00127688" w:rsidP="007E1963">
      <w:r>
        <w:rPr>
          <w:noProof/>
        </w:rPr>
        <w:drawing>
          <wp:inline distT="0" distB="0" distL="0" distR="0" wp14:anchorId="77527D31" wp14:editId="5AC99BBD">
            <wp:extent cx="6120130" cy="3768725"/>
            <wp:effectExtent l="0" t="0" r="0" b="3175"/>
            <wp:docPr id="1" name="Chart 1" descr="This is a chart shows the total ROCs issued each year since 2007-08, as well as the obligation level and renewable generation by year. &#10;&#10;The data used to produce this chart is published alongside this report on our website.">
              <a:extLst xmlns:a="http://schemas.openxmlformats.org/drawingml/2006/main">
                <a:ext uri="{FF2B5EF4-FFF2-40B4-BE49-F238E27FC236}">
                  <a16:creationId xmlns:a16="http://schemas.microsoft.com/office/drawing/2014/main" id="{BB4A92B6-EB25-486F-ADB7-78252C6EC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BFD964" w14:textId="5E20ED8A" w:rsidR="00127688" w:rsidRDefault="00127688" w:rsidP="000C7086">
      <w:pPr>
        <w:pStyle w:val="CH2normal"/>
        <w:ind w:left="567" w:hanging="567"/>
      </w:pPr>
      <w:r w:rsidRPr="000C7086">
        <w:rPr>
          <w:b/>
          <w:bCs/>
        </w:rPr>
        <w:t>Figure 2.2</w:t>
      </w:r>
      <w:r>
        <w:t xml:space="preserve"> below shows the number of ROCs issued </w:t>
      </w:r>
      <w:r w:rsidR="004C47CF">
        <w:t>by</w:t>
      </w:r>
      <w:r>
        <w:t xml:space="preserve"> country</w:t>
      </w:r>
      <w:r w:rsidR="003A704E">
        <w:t>,</w:t>
      </w:r>
      <w:r>
        <w:t xml:space="preserve"> </w:t>
      </w:r>
      <w:r w:rsidR="003A704E">
        <w:t xml:space="preserve">annually </w:t>
      </w:r>
      <w:r>
        <w:t xml:space="preserve">from 2007-08 to 2020-21. </w:t>
      </w:r>
    </w:p>
    <w:p w14:paraId="63EC4C76" w14:textId="77777777" w:rsidR="003A704E" w:rsidRDefault="003A704E">
      <w:pPr>
        <w:spacing w:line="276" w:lineRule="auto"/>
        <w:rPr>
          <w:b/>
          <w:bCs/>
          <w:color w:val="000000" w:themeColor="text1"/>
        </w:rPr>
      </w:pPr>
      <w:r>
        <w:rPr>
          <w:b/>
          <w:bCs/>
        </w:rPr>
        <w:br w:type="page"/>
      </w:r>
    </w:p>
    <w:p w14:paraId="63EC3501" w14:textId="1CA43E07" w:rsidR="00127688" w:rsidRDefault="00127688">
      <w:pPr>
        <w:pStyle w:val="CH2normal"/>
        <w:numPr>
          <w:ilvl w:val="0"/>
          <w:numId w:val="0"/>
        </w:numPr>
        <w:rPr>
          <w:b/>
          <w:bCs/>
        </w:rPr>
      </w:pPr>
      <w:r w:rsidRPr="000C7086">
        <w:rPr>
          <w:b/>
        </w:rPr>
        <w:lastRenderedPageBreak/>
        <w:t>Figure 2.2</w:t>
      </w:r>
      <w:r w:rsidR="00564EFF">
        <w:rPr>
          <w:b/>
          <w:bCs/>
        </w:rPr>
        <w:t xml:space="preserve"> (a-d)</w:t>
      </w:r>
      <w:r w:rsidRPr="003B35B0">
        <w:rPr>
          <w:b/>
          <w:bCs/>
        </w:rPr>
        <w:t>: ROCs issued by country</w:t>
      </w:r>
      <w:r>
        <w:rPr>
          <w:b/>
          <w:bCs/>
        </w:rPr>
        <w:t>, 2007-08 to 2020-21</w:t>
      </w:r>
      <w:r w:rsidR="003B36B6">
        <w:rPr>
          <w:b/>
          <w:bCs/>
        </w:rPr>
        <w:t xml:space="preserve"> </w:t>
      </w:r>
    </w:p>
    <w:tbl>
      <w:tblPr>
        <w:tblStyle w:val="TableGrid"/>
        <w:tblW w:w="1063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191"/>
      </w:tblGrid>
      <w:tr w:rsidR="003B36B6" w14:paraId="6C005266" w14:textId="77777777" w:rsidTr="003B35B0">
        <w:trPr>
          <w:trHeight w:val="4880"/>
        </w:trPr>
        <w:tc>
          <w:tcPr>
            <w:tcW w:w="5442" w:type="dxa"/>
          </w:tcPr>
          <w:p w14:paraId="4E1BBE86" w14:textId="76085F55" w:rsidR="003B36B6" w:rsidRPr="003B35B0" w:rsidRDefault="003B36B6" w:rsidP="003B35B0">
            <w:pPr>
              <w:pStyle w:val="CH2normal"/>
              <w:numPr>
                <w:ilvl w:val="0"/>
                <w:numId w:val="0"/>
              </w:numPr>
              <w:ind w:left="-250"/>
              <w:jc w:val="center"/>
            </w:pPr>
            <w:r w:rsidRPr="00985230">
              <w:rPr>
                <w:b/>
                <w:bCs/>
              </w:rPr>
              <w:t>a) England</w:t>
            </w:r>
            <w:r>
              <w:rPr>
                <w:noProof/>
              </w:rPr>
              <w:drawing>
                <wp:inline distT="0" distB="0" distL="0" distR="0" wp14:anchorId="413C609C" wp14:editId="20443B13">
                  <wp:extent cx="3318510" cy="2460773"/>
                  <wp:effectExtent l="0" t="0" r="0" b="0"/>
                  <wp:docPr id="216" name="Chart 216" descr="This is a chart shows the ROCs issued in England each year since 2007-08.&#10;&#10;The data used to produce this chart is published alongside this report on our website.">
                    <a:extLst xmlns:a="http://schemas.openxmlformats.org/drawingml/2006/main">
                      <a:ext uri="{FF2B5EF4-FFF2-40B4-BE49-F238E27FC236}">
                        <a16:creationId xmlns:a16="http://schemas.microsoft.com/office/drawing/2014/main" id="{7B42C5E2-8367-4FD4-B274-4CDB488A8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91" w:type="dxa"/>
          </w:tcPr>
          <w:p w14:paraId="1968FEB6" w14:textId="760A0AFE" w:rsidR="003B36B6" w:rsidRPr="003B35B0" w:rsidRDefault="003B36B6" w:rsidP="003B35B0">
            <w:pPr>
              <w:pStyle w:val="CH2normal"/>
              <w:numPr>
                <w:ilvl w:val="0"/>
                <w:numId w:val="0"/>
              </w:numPr>
              <w:ind w:left="-250"/>
              <w:jc w:val="center"/>
            </w:pPr>
            <w:r w:rsidRPr="003B35B0">
              <w:rPr>
                <w:b/>
                <w:bCs/>
              </w:rPr>
              <w:t>b) Scotland</w:t>
            </w:r>
            <w:r>
              <w:rPr>
                <w:noProof/>
              </w:rPr>
              <w:drawing>
                <wp:inline distT="0" distB="0" distL="0" distR="0" wp14:anchorId="25E2418F" wp14:editId="65078E22">
                  <wp:extent cx="3178691" cy="2451735"/>
                  <wp:effectExtent l="0" t="0" r="3175" b="5715"/>
                  <wp:docPr id="218" name="Chart 218" descr="This is a chart shows the ROCs issued in Scotland each year since 2007-08.&#10;&#10;The data used to produce this chart is published alongside this report on our website.">
                    <a:extLst xmlns:a="http://schemas.openxmlformats.org/drawingml/2006/main">
                      <a:ext uri="{FF2B5EF4-FFF2-40B4-BE49-F238E27FC236}">
                        <a16:creationId xmlns:a16="http://schemas.microsoft.com/office/drawing/2014/main" id="{7D395BF9-BDC7-48F1-A854-AE7F9AA55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3B36B6" w14:paraId="69FABC55" w14:textId="77777777" w:rsidTr="003B35B0">
        <w:trPr>
          <w:trHeight w:val="4864"/>
        </w:trPr>
        <w:tc>
          <w:tcPr>
            <w:tcW w:w="5442" w:type="dxa"/>
          </w:tcPr>
          <w:p w14:paraId="6365FB6E" w14:textId="077F7ABD" w:rsidR="003B36B6" w:rsidRPr="003B35B0" w:rsidRDefault="003B36B6" w:rsidP="003B35B0">
            <w:pPr>
              <w:pStyle w:val="CH2normal"/>
              <w:numPr>
                <w:ilvl w:val="0"/>
                <w:numId w:val="0"/>
              </w:numPr>
              <w:ind w:left="-250"/>
              <w:jc w:val="center"/>
            </w:pPr>
            <w:r w:rsidRPr="003B35B0">
              <w:rPr>
                <w:b/>
                <w:bCs/>
              </w:rPr>
              <w:t>c) Wales</w:t>
            </w:r>
            <w:r>
              <w:rPr>
                <w:noProof/>
              </w:rPr>
              <w:drawing>
                <wp:inline distT="0" distB="0" distL="0" distR="0" wp14:anchorId="06475C94" wp14:editId="6487A4F0">
                  <wp:extent cx="3286125" cy="2503273"/>
                  <wp:effectExtent l="0" t="0" r="0" b="0"/>
                  <wp:docPr id="219" name="Chart 219" descr="This is a chart shows the ROCs issued in Wales each year since 2007-08.&#10;&#10;The data used to produce this chart is published alongside this report on our website.">
                    <a:extLst xmlns:a="http://schemas.openxmlformats.org/drawingml/2006/main">
                      <a:ext uri="{FF2B5EF4-FFF2-40B4-BE49-F238E27FC236}">
                        <a16:creationId xmlns:a16="http://schemas.microsoft.com/office/drawing/2014/main" id="{B78E95F8-9A80-45E0-9F63-02192AA61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191" w:type="dxa"/>
          </w:tcPr>
          <w:p w14:paraId="5A6B85D9" w14:textId="7B3E345D" w:rsidR="003B36B6" w:rsidRPr="003B35B0" w:rsidRDefault="003B36B6" w:rsidP="003B35B0">
            <w:pPr>
              <w:pStyle w:val="CH2normal"/>
              <w:numPr>
                <w:ilvl w:val="0"/>
                <w:numId w:val="0"/>
              </w:numPr>
              <w:ind w:left="-250"/>
              <w:jc w:val="center"/>
            </w:pPr>
            <w:r w:rsidRPr="003B35B0">
              <w:rPr>
                <w:b/>
                <w:bCs/>
              </w:rPr>
              <w:t>d) Norther</w:t>
            </w:r>
            <w:r w:rsidR="003A704E" w:rsidRPr="003B35B0">
              <w:rPr>
                <w:b/>
                <w:bCs/>
              </w:rPr>
              <w:t>n</w:t>
            </w:r>
            <w:r w:rsidRPr="003B35B0">
              <w:rPr>
                <w:b/>
                <w:bCs/>
              </w:rPr>
              <w:t xml:space="preserve"> Ireland</w:t>
            </w:r>
            <w:r>
              <w:rPr>
                <w:noProof/>
              </w:rPr>
              <w:drawing>
                <wp:inline distT="0" distB="0" distL="0" distR="0" wp14:anchorId="4547DB9F" wp14:editId="5F1D58E8">
                  <wp:extent cx="3159022" cy="2438400"/>
                  <wp:effectExtent l="0" t="0" r="3810" b="0"/>
                  <wp:docPr id="220" name="Chart 220" descr="This is a chart shows the ROCs issued in Northern Ireland each year since 2007-08.&#10;&#10;The data used to produce this chart is published alongside this report on our website.">
                    <a:extLst xmlns:a="http://schemas.openxmlformats.org/drawingml/2006/main">
                      <a:ext uri="{FF2B5EF4-FFF2-40B4-BE49-F238E27FC236}">
                        <a16:creationId xmlns:a16="http://schemas.microsoft.com/office/drawing/2014/main" id="{033F4A0B-0296-43F8-825D-DDE5785FF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76C5B2EC" w14:textId="7F332462" w:rsidR="00036F46" w:rsidRPr="00036F46" w:rsidRDefault="00036F46" w:rsidP="003B35B0">
      <w:pPr>
        <w:pStyle w:val="CH2normal"/>
        <w:ind w:left="567" w:hanging="567"/>
        <w:rPr>
          <w:rFonts w:ascii="Times New Roman" w:hAnsi="Times New Roman" w:cs="Times New Roman"/>
          <w:sz w:val="24"/>
          <w:szCs w:val="24"/>
        </w:rPr>
      </w:pPr>
      <w:r w:rsidRPr="0076464C">
        <w:t>Since the introduction of banding in 2009</w:t>
      </w:r>
      <w:r>
        <w:t>,</w:t>
      </w:r>
      <w:r w:rsidRPr="0076464C">
        <w:t xml:space="preserve"> different ROC rates</w:t>
      </w:r>
      <w:r>
        <w:t xml:space="preserve"> per </w:t>
      </w:r>
      <w:r w:rsidRPr="0076464C">
        <w:t>MWh of generation have been available for differe</w:t>
      </w:r>
      <w:r>
        <w:t>n</w:t>
      </w:r>
      <w:r w:rsidRPr="0076464C">
        <w:t>t technology types</w:t>
      </w:r>
      <w:r>
        <w:t xml:space="preserve"> and in some cases stations of different capacities</w:t>
      </w:r>
      <w:r w:rsidRPr="0076464C">
        <w:t xml:space="preserve">. Most of the </w:t>
      </w:r>
      <w:r>
        <w:t>installations</w:t>
      </w:r>
      <w:r w:rsidRPr="0076464C">
        <w:t xml:space="preserve"> accredited at higher ROC rates </w:t>
      </w:r>
      <w:r>
        <w:t>are</w:t>
      </w:r>
      <w:r w:rsidRPr="0076464C">
        <w:t xml:space="preserve"> in Northern Ireland</w:t>
      </w:r>
      <w:r w:rsidR="004D374E">
        <w:t>;</w:t>
      </w:r>
      <w:r>
        <w:t xml:space="preserve"> although this is largely due to microgeneration which is not a factor elsewhere in the UK due to the presence of the FIT scheme</w:t>
      </w:r>
      <w:r w:rsidR="008B39B8">
        <w:t>.</w:t>
      </w:r>
      <w:r>
        <w:rPr>
          <w:rStyle w:val="FootnoteReference"/>
        </w:rPr>
        <w:footnoteReference w:id="12"/>
      </w:r>
      <w:r w:rsidRPr="0076464C">
        <w:t xml:space="preserve"> England also had</w:t>
      </w:r>
      <w:r>
        <w:t xml:space="preserve"> ROCs issued per MWh </w:t>
      </w:r>
      <w:r w:rsidRPr="0076464C">
        <w:t xml:space="preserve">above the UK average, while in Scotland and Wales most capacity is associated with </w:t>
      </w:r>
      <w:r w:rsidRPr="0076464C">
        <w:lastRenderedPageBreak/>
        <w:t xml:space="preserve">technologies that receive lower ROC rates. </w:t>
      </w:r>
      <w:r w:rsidRPr="00036F46">
        <w:rPr>
          <w:b/>
          <w:bCs/>
        </w:rPr>
        <w:t>F</w:t>
      </w:r>
      <w:r w:rsidRPr="00036F46">
        <w:rPr>
          <w:b/>
        </w:rPr>
        <w:t>igure 2.</w:t>
      </w:r>
      <w:r w:rsidR="00A86E19">
        <w:rPr>
          <w:b/>
        </w:rPr>
        <w:t>3</w:t>
      </w:r>
      <w:r w:rsidRPr="00036F46">
        <w:rPr>
          <w:b/>
        </w:rPr>
        <w:t xml:space="preserve"> </w:t>
      </w:r>
      <w:r w:rsidRPr="0076464C">
        <w:t>shows</w:t>
      </w:r>
      <w:r w:rsidRPr="00036F46">
        <w:rPr>
          <w:b/>
        </w:rPr>
        <w:t xml:space="preserve"> </w:t>
      </w:r>
      <w:r w:rsidRPr="0076464C">
        <w:t>the comparative volumes of generation and ROC issue in the different parts of the UK.</w:t>
      </w:r>
      <w:r w:rsidRPr="00A27498">
        <w:t xml:space="preserve"> </w:t>
      </w:r>
    </w:p>
    <w:p w14:paraId="3B4F2DD1" w14:textId="7EC05BB2" w:rsidR="00371756" w:rsidRDefault="00371756" w:rsidP="00371756">
      <w:pPr>
        <w:numPr>
          <w:ilvl w:val="1"/>
          <w:numId w:val="0"/>
        </w:numPr>
        <w:spacing w:before="240" w:after="240"/>
        <w:rPr>
          <w:b/>
        </w:rPr>
      </w:pPr>
      <w:r w:rsidRPr="00CC458A">
        <w:rPr>
          <w:b/>
        </w:rPr>
        <w:t xml:space="preserve">Figure </w:t>
      </w:r>
      <w:r>
        <w:rPr>
          <w:b/>
        </w:rPr>
        <w:t>2.</w:t>
      </w:r>
      <w:r w:rsidR="00A86E19">
        <w:rPr>
          <w:b/>
        </w:rPr>
        <w:t>3</w:t>
      </w:r>
      <w:r>
        <w:rPr>
          <w:b/>
        </w:rPr>
        <w:t>:</w:t>
      </w:r>
      <w:r w:rsidRPr="00CC458A">
        <w:rPr>
          <w:b/>
        </w:rPr>
        <w:t xml:space="preserve"> ROCs issued and renewable generation by country for </w:t>
      </w:r>
      <w:r>
        <w:rPr>
          <w:b/>
        </w:rPr>
        <w:t>2020-21</w:t>
      </w:r>
    </w:p>
    <w:p w14:paraId="1274CDC9" w14:textId="3DEAD0C5" w:rsidR="00371756" w:rsidRDefault="00A86E19" w:rsidP="007E1963">
      <w:r w:rsidRPr="003B35B0">
        <w:rPr>
          <w:noProof/>
          <w:shd w:val="clear" w:color="auto" w:fill="FFFFFF" w:themeFill="background1"/>
        </w:rPr>
        <w:drawing>
          <wp:inline distT="0" distB="0" distL="0" distR="0" wp14:anchorId="0DA88A11" wp14:editId="43AAD164">
            <wp:extent cx="6120130" cy="2531110"/>
            <wp:effectExtent l="0" t="0" r="0" b="2540"/>
            <wp:docPr id="221" name="Chart 221" descr="This chart shows the ROCs issued and renewable generation under the RO in each country and in the UK overall in 2020-21.&#10;&#10;The data used to produce this chart is published alongside this report on our website.">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675E46" w14:textId="0CD66F35" w:rsidR="00C44A07" w:rsidRPr="00AB49AD" w:rsidRDefault="00C44A07" w:rsidP="003B35B0">
      <w:pPr>
        <w:pStyle w:val="Heading2"/>
      </w:pPr>
      <w:bookmarkStart w:id="94" w:name="_Toc98852149"/>
      <w:r w:rsidRPr="00AB49AD">
        <w:t>Technologies</w:t>
      </w:r>
      <w:bookmarkEnd w:id="94"/>
    </w:p>
    <w:p w14:paraId="14A158C0" w14:textId="17CD0650" w:rsidR="00A27498" w:rsidRPr="003B35B0" w:rsidRDefault="00A27498" w:rsidP="003B35B0">
      <w:pPr>
        <w:pStyle w:val="ListParagraph"/>
        <w:numPr>
          <w:ilvl w:val="0"/>
          <w:numId w:val="4"/>
        </w:numPr>
        <w:spacing w:after="0"/>
        <w:ind w:left="567" w:hanging="567"/>
        <w:rPr>
          <w:rStyle w:val="CH2normalChar"/>
        </w:rPr>
      </w:pPr>
      <w:r w:rsidRPr="00C3023D">
        <w:rPr>
          <w:b/>
          <w:bCs/>
        </w:rPr>
        <w:t>Figure 2.</w:t>
      </w:r>
      <w:r w:rsidR="00CB27D7">
        <w:rPr>
          <w:b/>
          <w:bCs/>
        </w:rPr>
        <w:t>4</w:t>
      </w:r>
      <w:r w:rsidRPr="00C44A07">
        <w:t xml:space="preserve"> shows </w:t>
      </w:r>
      <w:r w:rsidRPr="003B35B0">
        <w:rPr>
          <w:rStyle w:val="CH2normalChar"/>
        </w:rPr>
        <w:t xml:space="preserve">the number of ROCs issued to different technologies </w:t>
      </w:r>
      <w:r w:rsidR="001B0075">
        <w:rPr>
          <w:rStyle w:val="CH2normalChar"/>
        </w:rPr>
        <w:t>each</w:t>
      </w:r>
      <w:r w:rsidR="001B0075" w:rsidRPr="003B35B0">
        <w:rPr>
          <w:rStyle w:val="CH2normalChar"/>
        </w:rPr>
        <w:t xml:space="preserve"> </w:t>
      </w:r>
      <w:r w:rsidRPr="003B35B0">
        <w:rPr>
          <w:rStyle w:val="CH2normalChar"/>
        </w:rPr>
        <w:t>obligation period since April 2007.</w:t>
      </w:r>
      <w:r w:rsidR="001B0075">
        <w:rPr>
          <w:rStyle w:val="CH2normalChar"/>
        </w:rPr>
        <w:t xml:space="preserve"> The total number of ROCs issued each obligation period can be seen in </w:t>
      </w:r>
      <w:r w:rsidR="001B0075" w:rsidRPr="003B35B0">
        <w:rPr>
          <w:rStyle w:val="CH2normalChar"/>
          <w:b/>
          <w:bCs/>
        </w:rPr>
        <w:t>Figure 2.1</w:t>
      </w:r>
      <w:r w:rsidR="001B0075">
        <w:rPr>
          <w:rStyle w:val="CH2normalChar"/>
        </w:rPr>
        <w:t>.</w:t>
      </w:r>
      <w:r w:rsidRPr="003B35B0">
        <w:rPr>
          <w:rStyle w:val="CH2normalChar"/>
        </w:rPr>
        <w:t xml:space="preserve"> Compared to 2019-20, all technology types saw a decrease; the largest </w:t>
      </w:r>
      <w:r w:rsidR="00C81D25">
        <w:rPr>
          <w:rStyle w:val="CH2normalChar"/>
        </w:rPr>
        <w:t xml:space="preserve">percentage </w:t>
      </w:r>
      <w:r w:rsidRPr="003B35B0">
        <w:rPr>
          <w:rStyle w:val="CH2normalChar"/>
        </w:rPr>
        <w:t xml:space="preserve">drop in ROCs issued was </w:t>
      </w:r>
      <w:r w:rsidR="001B0075">
        <w:rPr>
          <w:rStyle w:val="CH2normalChar"/>
        </w:rPr>
        <w:t>a</w:t>
      </w:r>
      <w:r w:rsidR="001B0075" w:rsidRPr="003B35B0">
        <w:rPr>
          <w:rStyle w:val="CH2normalChar"/>
        </w:rPr>
        <w:t xml:space="preserve"> </w:t>
      </w:r>
      <w:r w:rsidRPr="003B35B0">
        <w:rPr>
          <w:rStyle w:val="CH2normalChar"/>
        </w:rPr>
        <w:t>10.4% decrease to onshore wind installations. ROCs issued to Solar PV installations experienced the smallest drop, a decrease of 0.3%.</w:t>
      </w:r>
      <w:r w:rsidR="00AC0046">
        <w:rPr>
          <w:rStyle w:val="CH2normalChar"/>
        </w:rPr>
        <w:br/>
      </w:r>
    </w:p>
    <w:p w14:paraId="0104BE7A" w14:textId="116A4F52" w:rsidR="008B39B8" w:rsidRDefault="000F22AA">
      <w:pPr>
        <w:spacing w:line="276" w:lineRule="auto"/>
        <w:rPr>
          <w:b/>
        </w:rPr>
      </w:pPr>
      <w:r w:rsidRPr="003C480D">
        <w:rPr>
          <w:b/>
        </w:rPr>
        <w:t>Figure 2.</w:t>
      </w:r>
      <w:r w:rsidR="00CB27D7">
        <w:rPr>
          <w:b/>
        </w:rPr>
        <w:t>4</w:t>
      </w:r>
      <w:r w:rsidR="00CD2B48">
        <w:rPr>
          <w:b/>
        </w:rPr>
        <w:t xml:space="preserve"> (a-g)</w:t>
      </w:r>
      <w:r w:rsidRPr="003C480D">
        <w:rPr>
          <w:b/>
        </w:rPr>
        <w:t>: Issue of ROCs by generation technology since 2007-08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B39B8" w14:paraId="21A86980" w14:textId="77777777" w:rsidTr="003B35B0">
        <w:trPr>
          <w:trHeight w:val="604"/>
        </w:trPr>
        <w:tc>
          <w:tcPr>
            <w:tcW w:w="9628" w:type="dxa"/>
          </w:tcPr>
          <w:p w14:paraId="0607CCF0" w14:textId="77777777" w:rsidR="008B39B8" w:rsidRPr="003B35B0" w:rsidRDefault="008B39B8" w:rsidP="008B39B8">
            <w:pPr>
              <w:spacing w:line="276" w:lineRule="auto"/>
              <w:jc w:val="center"/>
              <w:rPr>
                <w:b/>
              </w:rPr>
            </w:pPr>
            <w:r w:rsidRPr="003B35B0">
              <w:rPr>
                <w:b/>
              </w:rPr>
              <w:t>a) Offshore wind</w:t>
            </w:r>
          </w:p>
          <w:p w14:paraId="3D6D3574" w14:textId="2922BA98" w:rsidR="008B39B8" w:rsidRPr="003B35B0" w:rsidRDefault="008B39B8" w:rsidP="003B35B0">
            <w:pPr>
              <w:spacing w:line="276" w:lineRule="auto"/>
              <w:jc w:val="center"/>
              <w:rPr>
                <w:bCs/>
              </w:rPr>
            </w:pPr>
            <w:r>
              <w:rPr>
                <w:noProof/>
              </w:rPr>
              <w:drawing>
                <wp:inline distT="0" distB="0" distL="0" distR="0" wp14:anchorId="345D1756" wp14:editId="0415155B">
                  <wp:extent cx="5943600" cy="1733550"/>
                  <wp:effectExtent l="0" t="0" r="0" b="0"/>
                  <wp:docPr id="197" name="Chart 197" descr="A column chart showing the number of ROCs issued to offshore wind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AA8EC95B-0AF7-404E-87C8-8B0CB0B59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B39B8" w14:paraId="4E257160" w14:textId="77777777" w:rsidTr="003B35B0">
        <w:trPr>
          <w:trHeight w:val="642"/>
        </w:trPr>
        <w:tc>
          <w:tcPr>
            <w:tcW w:w="9628" w:type="dxa"/>
          </w:tcPr>
          <w:p w14:paraId="26CB391D" w14:textId="77777777" w:rsidR="001646FE" w:rsidRDefault="001646FE" w:rsidP="008B39B8">
            <w:pPr>
              <w:spacing w:line="276" w:lineRule="auto"/>
              <w:jc w:val="center"/>
              <w:rPr>
                <w:bCs/>
              </w:rPr>
            </w:pPr>
          </w:p>
          <w:p w14:paraId="004C0381" w14:textId="77777777" w:rsidR="001646FE" w:rsidRDefault="001646FE" w:rsidP="008B39B8">
            <w:pPr>
              <w:spacing w:line="276" w:lineRule="auto"/>
              <w:jc w:val="center"/>
              <w:rPr>
                <w:bCs/>
              </w:rPr>
            </w:pPr>
          </w:p>
          <w:p w14:paraId="4CF7A81B" w14:textId="77777777" w:rsidR="001646FE" w:rsidRDefault="001646FE" w:rsidP="008B39B8">
            <w:pPr>
              <w:spacing w:line="276" w:lineRule="auto"/>
              <w:jc w:val="center"/>
              <w:rPr>
                <w:bCs/>
              </w:rPr>
            </w:pPr>
          </w:p>
          <w:p w14:paraId="12C9E810" w14:textId="30CF871C" w:rsidR="001646FE" w:rsidRDefault="001646FE" w:rsidP="008B39B8">
            <w:pPr>
              <w:spacing w:line="276" w:lineRule="auto"/>
              <w:jc w:val="center"/>
              <w:rPr>
                <w:bCs/>
              </w:rPr>
            </w:pPr>
          </w:p>
          <w:p w14:paraId="247F00FC" w14:textId="77777777" w:rsidR="001646FE" w:rsidRDefault="001646FE" w:rsidP="008B39B8">
            <w:pPr>
              <w:spacing w:line="276" w:lineRule="auto"/>
              <w:jc w:val="center"/>
              <w:rPr>
                <w:bCs/>
              </w:rPr>
            </w:pPr>
          </w:p>
          <w:p w14:paraId="16022698" w14:textId="77777777" w:rsidR="001646FE" w:rsidRDefault="001646FE" w:rsidP="008B39B8">
            <w:pPr>
              <w:spacing w:line="276" w:lineRule="auto"/>
              <w:jc w:val="center"/>
              <w:rPr>
                <w:bCs/>
              </w:rPr>
            </w:pPr>
          </w:p>
          <w:p w14:paraId="6087EDF5" w14:textId="77777777" w:rsidR="008B39B8" w:rsidRPr="003B35B0" w:rsidRDefault="008B39B8" w:rsidP="008B39B8">
            <w:pPr>
              <w:spacing w:line="276" w:lineRule="auto"/>
              <w:jc w:val="center"/>
              <w:rPr>
                <w:b/>
              </w:rPr>
            </w:pPr>
            <w:r w:rsidRPr="003B35B0">
              <w:rPr>
                <w:b/>
              </w:rPr>
              <w:t>b) Onshore wind</w:t>
            </w:r>
          </w:p>
          <w:p w14:paraId="54E41C7B" w14:textId="358EA019" w:rsidR="008B39B8" w:rsidRPr="003B35B0" w:rsidRDefault="008B39B8" w:rsidP="003B35B0">
            <w:pPr>
              <w:spacing w:line="276" w:lineRule="auto"/>
              <w:jc w:val="center"/>
              <w:rPr>
                <w:bCs/>
              </w:rPr>
            </w:pPr>
            <w:r>
              <w:rPr>
                <w:noProof/>
              </w:rPr>
              <w:drawing>
                <wp:inline distT="0" distB="0" distL="0" distR="0" wp14:anchorId="3BA0A00C" wp14:editId="1F73EE1D">
                  <wp:extent cx="5943600" cy="1706915"/>
                  <wp:effectExtent l="0" t="0" r="0" b="7620"/>
                  <wp:docPr id="227" name="Chart 227" descr="A column chart showing the number of ROCs issued to onshore wind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EB6EB334-5F0D-4891-946A-B956F2AE4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B39B8" w14:paraId="4EB098AD" w14:textId="77777777" w:rsidTr="003B35B0">
        <w:trPr>
          <w:trHeight w:val="604"/>
        </w:trPr>
        <w:tc>
          <w:tcPr>
            <w:tcW w:w="9628" w:type="dxa"/>
          </w:tcPr>
          <w:p w14:paraId="66FA395F" w14:textId="77777777" w:rsidR="001646FE" w:rsidRDefault="001646FE" w:rsidP="008B39B8">
            <w:pPr>
              <w:spacing w:line="276" w:lineRule="auto"/>
              <w:jc w:val="center"/>
              <w:rPr>
                <w:bCs/>
              </w:rPr>
            </w:pPr>
          </w:p>
          <w:p w14:paraId="688FC3C4" w14:textId="77777777" w:rsidR="008B39B8" w:rsidRPr="003B35B0" w:rsidRDefault="008B39B8" w:rsidP="008B39B8">
            <w:pPr>
              <w:spacing w:line="276" w:lineRule="auto"/>
              <w:jc w:val="center"/>
              <w:rPr>
                <w:b/>
              </w:rPr>
            </w:pPr>
            <w:r w:rsidRPr="003B35B0">
              <w:rPr>
                <w:b/>
              </w:rPr>
              <w:t>c) Fuelled</w:t>
            </w:r>
          </w:p>
          <w:p w14:paraId="0D7B4FC9" w14:textId="349404E2" w:rsidR="008B39B8" w:rsidRPr="003B35B0" w:rsidRDefault="008B39B8" w:rsidP="003B35B0">
            <w:pPr>
              <w:spacing w:line="276" w:lineRule="auto"/>
              <w:jc w:val="center"/>
              <w:rPr>
                <w:bCs/>
              </w:rPr>
            </w:pPr>
            <w:r>
              <w:rPr>
                <w:noProof/>
              </w:rPr>
              <w:drawing>
                <wp:inline distT="0" distB="0" distL="0" distR="0" wp14:anchorId="2D8C2340" wp14:editId="08EAB03A">
                  <wp:extent cx="5943600" cy="1838325"/>
                  <wp:effectExtent l="0" t="0" r="0" b="0"/>
                  <wp:docPr id="222" name="Chart 222" descr="A column chart showing the number of ROCs issued to fuelled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F03A4B4C-CAB7-4F0D-92D6-801DE8F4C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B39B8" w14:paraId="4C270499" w14:textId="77777777" w:rsidTr="003B35B0">
        <w:trPr>
          <w:trHeight w:val="604"/>
        </w:trPr>
        <w:tc>
          <w:tcPr>
            <w:tcW w:w="9628" w:type="dxa"/>
          </w:tcPr>
          <w:p w14:paraId="1B80F6AA" w14:textId="77777777" w:rsidR="001646FE" w:rsidRDefault="001646FE" w:rsidP="008B39B8">
            <w:pPr>
              <w:spacing w:line="276" w:lineRule="auto"/>
              <w:jc w:val="center"/>
              <w:rPr>
                <w:bCs/>
              </w:rPr>
            </w:pPr>
          </w:p>
          <w:p w14:paraId="6F39F248" w14:textId="77777777" w:rsidR="008B39B8" w:rsidRPr="003B35B0" w:rsidRDefault="008B39B8" w:rsidP="008B39B8">
            <w:pPr>
              <w:spacing w:line="276" w:lineRule="auto"/>
              <w:jc w:val="center"/>
              <w:rPr>
                <w:b/>
              </w:rPr>
            </w:pPr>
            <w:r w:rsidRPr="003B35B0">
              <w:rPr>
                <w:b/>
              </w:rPr>
              <w:t>d) Solar PV</w:t>
            </w:r>
          </w:p>
          <w:p w14:paraId="67DE09B3" w14:textId="664E482C" w:rsidR="008B39B8" w:rsidRPr="003B35B0" w:rsidRDefault="008B39B8" w:rsidP="003B35B0">
            <w:pPr>
              <w:spacing w:line="276" w:lineRule="auto"/>
              <w:jc w:val="center"/>
              <w:rPr>
                <w:bCs/>
              </w:rPr>
            </w:pPr>
            <w:r>
              <w:rPr>
                <w:noProof/>
              </w:rPr>
              <w:drawing>
                <wp:inline distT="0" distB="0" distL="0" distR="0" wp14:anchorId="6433AEA7" wp14:editId="67D7E2BD">
                  <wp:extent cx="5943600" cy="1676400"/>
                  <wp:effectExtent l="0" t="0" r="0" b="0"/>
                  <wp:docPr id="229" name="Chart 229" descr="A column chart showing the number of ROCs issued to solar PV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09B9E850-8F62-4653-99FC-9D0DB507E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B39B8" w14:paraId="5C5EC2D8" w14:textId="77777777" w:rsidTr="003B35B0">
        <w:trPr>
          <w:trHeight w:val="604"/>
        </w:trPr>
        <w:tc>
          <w:tcPr>
            <w:tcW w:w="9628" w:type="dxa"/>
          </w:tcPr>
          <w:p w14:paraId="7DA90A20" w14:textId="77777777" w:rsidR="001646FE" w:rsidRDefault="001646FE" w:rsidP="008B39B8">
            <w:pPr>
              <w:spacing w:line="276" w:lineRule="auto"/>
              <w:jc w:val="center"/>
              <w:rPr>
                <w:bCs/>
              </w:rPr>
            </w:pPr>
          </w:p>
          <w:p w14:paraId="37D7561D" w14:textId="3D83A04A" w:rsidR="008B39B8" w:rsidRPr="003B35B0" w:rsidRDefault="001646FE" w:rsidP="008B39B8">
            <w:pPr>
              <w:spacing w:line="276" w:lineRule="auto"/>
              <w:jc w:val="center"/>
              <w:rPr>
                <w:b/>
              </w:rPr>
            </w:pPr>
            <w:r w:rsidRPr="003B35B0">
              <w:rPr>
                <w:b/>
              </w:rPr>
              <w:t>e) Landfill gas</w:t>
            </w:r>
          </w:p>
          <w:p w14:paraId="0FE842FE" w14:textId="3C5F25A3" w:rsidR="001646FE" w:rsidRPr="003B35B0" w:rsidRDefault="001646FE" w:rsidP="003B35B0">
            <w:pPr>
              <w:spacing w:line="276" w:lineRule="auto"/>
              <w:jc w:val="center"/>
              <w:rPr>
                <w:bCs/>
              </w:rPr>
            </w:pPr>
            <w:r>
              <w:rPr>
                <w:noProof/>
              </w:rPr>
              <w:drawing>
                <wp:inline distT="0" distB="0" distL="0" distR="0" wp14:anchorId="2933A3AD" wp14:editId="186752BD">
                  <wp:extent cx="5943600" cy="1704975"/>
                  <wp:effectExtent l="0" t="0" r="0" b="0"/>
                  <wp:docPr id="225" name="Chart 225" descr="A column chart showing the number of ROCs issued to landfill gas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9FCF9F4B-6657-4DF9-8D46-D1688CE30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B39B8" w14:paraId="6B426930" w14:textId="77777777" w:rsidTr="003B35B0">
        <w:trPr>
          <w:trHeight w:val="642"/>
        </w:trPr>
        <w:tc>
          <w:tcPr>
            <w:tcW w:w="9628" w:type="dxa"/>
          </w:tcPr>
          <w:p w14:paraId="7FBDDCE5" w14:textId="77777777" w:rsidR="001646FE" w:rsidRDefault="001646FE" w:rsidP="008B39B8">
            <w:pPr>
              <w:spacing w:line="276" w:lineRule="auto"/>
              <w:jc w:val="center"/>
              <w:rPr>
                <w:bCs/>
              </w:rPr>
            </w:pPr>
          </w:p>
          <w:p w14:paraId="1DF83032" w14:textId="77777777" w:rsidR="001646FE" w:rsidRDefault="001646FE" w:rsidP="008B39B8">
            <w:pPr>
              <w:spacing w:line="276" w:lineRule="auto"/>
              <w:jc w:val="center"/>
              <w:rPr>
                <w:bCs/>
              </w:rPr>
            </w:pPr>
          </w:p>
          <w:p w14:paraId="05B56F3E" w14:textId="77777777" w:rsidR="001646FE" w:rsidRDefault="001646FE" w:rsidP="008B39B8">
            <w:pPr>
              <w:spacing w:line="276" w:lineRule="auto"/>
              <w:jc w:val="center"/>
              <w:rPr>
                <w:bCs/>
              </w:rPr>
            </w:pPr>
          </w:p>
          <w:p w14:paraId="0BA56E3E" w14:textId="555DACA7" w:rsidR="008B39B8" w:rsidRPr="003B35B0" w:rsidRDefault="001646FE" w:rsidP="008B39B8">
            <w:pPr>
              <w:spacing w:line="276" w:lineRule="auto"/>
              <w:jc w:val="center"/>
              <w:rPr>
                <w:b/>
              </w:rPr>
            </w:pPr>
            <w:r w:rsidRPr="003B35B0">
              <w:rPr>
                <w:b/>
              </w:rPr>
              <w:t>f) Hydro</w:t>
            </w:r>
          </w:p>
          <w:p w14:paraId="3A65B7A1" w14:textId="170D65DC" w:rsidR="001646FE" w:rsidRPr="003B35B0" w:rsidRDefault="001646FE" w:rsidP="003B35B0">
            <w:pPr>
              <w:spacing w:line="276" w:lineRule="auto"/>
              <w:jc w:val="center"/>
              <w:rPr>
                <w:bCs/>
              </w:rPr>
            </w:pPr>
            <w:r>
              <w:rPr>
                <w:noProof/>
              </w:rPr>
              <w:drawing>
                <wp:inline distT="0" distB="0" distL="0" distR="0" wp14:anchorId="780964B6" wp14:editId="3A885F6B">
                  <wp:extent cx="5954233" cy="1628775"/>
                  <wp:effectExtent l="0" t="0" r="8890" b="0"/>
                  <wp:docPr id="224" name="Chart 224" descr="A column chart showing the number of ROCs issued to hydro stations each year from 2007-08 to 2020-21. &#10;&#10;The data used to produce this chart is published alongside this report on our website.">
                    <a:extLst xmlns:a="http://schemas.openxmlformats.org/drawingml/2006/main">
                      <a:ext uri="{FF2B5EF4-FFF2-40B4-BE49-F238E27FC236}">
                        <a16:creationId xmlns:a16="http://schemas.microsoft.com/office/drawing/2014/main" id="{43591C5A-34AB-4DB1-9D1C-1A391B064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8B39B8" w14:paraId="02BEAD8B" w14:textId="77777777" w:rsidTr="003B35B0">
        <w:trPr>
          <w:trHeight w:val="604"/>
        </w:trPr>
        <w:tc>
          <w:tcPr>
            <w:tcW w:w="9628" w:type="dxa"/>
          </w:tcPr>
          <w:p w14:paraId="7647919B" w14:textId="77777777" w:rsidR="001646FE" w:rsidRDefault="001646FE" w:rsidP="008B39B8">
            <w:pPr>
              <w:spacing w:line="276" w:lineRule="auto"/>
              <w:jc w:val="center"/>
              <w:rPr>
                <w:bCs/>
              </w:rPr>
            </w:pPr>
          </w:p>
          <w:p w14:paraId="0686EDD3" w14:textId="1C795892" w:rsidR="008B39B8" w:rsidRPr="003B35B0" w:rsidRDefault="001646FE" w:rsidP="008B39B8">
            <w:pPr>
              <w:spacing w:line="276" w:lineRule="auto"/>
              <w:jc w:val="center"/>
              <w:rPr>
                <w:b/>
              </w:rPr>
            </w:pPr>
            <w:r w:rsidRPr="003B35B0">
              <w:rPr>
                <w:b/>
              </w:rPr>
              <w:t>g) Sewage gas</w:t>
            </w:r>
          </w:p>
          <w:p w14:paraId="6DCA3E23" w14:textId="4878A068" w:rsidR="001646FE" w:rsidRPr="003B35B0" w:rsidRDefault="001646FE" w:rsidP="003B35B0">
            <w:pPr>
              <w:spacing w:line="276" w:lineRule="auto"/>
              <w:jc w:val="center"/>
              <w:rPr>
                <w:bCs/>
              </w:rPr>
            </w:pPr>
            <w:r>
              <w:rPr>
                <w:noProof/>
              </w:rPr>
              <w:drawing>
                <wp:inline distT="0" distB="0" distL="0" distR="0" wp14:anchorId="56AE94E7" wp14:editId="60717EA0">
                  <wp:extent cx="5943600" cy="1724025"/>
                  <wp:effectExtent l="0" t="0" r="0" b="0"/>
                  <wp:docPr id="228" name="Chart 228" descr="A column chart showing the number of ROCs issued to sewage gas stations each year from 2007-08 to 2020-21. &#10;&#10;The data used to produce this chart is published alongside this report on our website. ">
                    <a:extLst xmlns:a="http://schemas.openxmlformats.org/drawingml/2006/main">
                      <a:ext uri="{FF2B5EF4-FFF2-40B4-BE49-F238E27FC236}">
                        <a16:creationId xmlns:a16="http://schemas.microsoft.com/office/drawing/2014/main" id="{D81416B4-FECF-4231-A189-226CD1FA6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640FE5EA" w14:textId="45C85833" w:rsidR="000F22AA" w:rsidRDefault="000F22AA">
      <w:pPr>
        <w:spacing w:line="276" w:lineRule="auto"/>
        <w:rPr>
          <w:b/>
        </w:rPr>
      </w:pPr>
    </w:p>
    <w:p w14:paraId="09CA663C" w14:textId="74920C06" w:rsidR="00C44A07" w:rsidRPr="0076464C" w:rsidRDefault="00C44A07" w:rsidP="003B35B0">
      <w:pPr>
        <w:pStyle w:val="CH2normal"/>
        <w:ind w:left="567" w:hanging="567"/>
      </w:pPr>
      <w:r w:rsidRPr="0076464C">
        <w:rPr>
          <w:b/>
        </w:rPr>
        <w:t>Table 2.2</w:t>
      </w:r>
      <w:r w:rsidRPr="0076464C">
        <w:t xml:space="preserve"> gives a more detailed breakdown of ROC issue by technology and country for 20</w:t>
      </w:r>
      <w:r w:rsidR="008E4965" w:rsidRPr="0076464C">
        <w:t>20</w:t>
      </w:r>
      <w:r w:rsidRPr="0076464C">
        <w:t>-2</w:t>
      </w:r>
      <w:r w:rsidR="008E4965" w:rsidRPr="0076464C">
        <w:t>1</w:t>
      </w:r>
      <w:r w:rsidRPr="0076464C">
        <w:t xml:space="preserve">. In terms of ROCs issued, England issued the highest number for offshore wind, fuelled, solar PV and landfill gas. Whereas in Scotland, ROC issue to onshore wind, tidal and hydro stations was higher than elsewhere in the UK. These figures </w:t>
      </w:r>
      <w:r w:rsidR="00A05A92" w:rsidRPr="0076464C">
        <w:t>reflect</w:t>
      </w:r>
      <w:r w:rsidRPr="0076464C">
        <w:t xml:space="preserve"> the capacity of each technology installed in each country.</w:t>
      </w:r>
    </w:p>
    <w:p w14:paraId="370B3B7F" w14:textId="4664F53A" w:rsidR="00A61EF7" w:rsidRPr="00CC458A" w:rsidRDefault="00A61EF7" w:rsidP="00A61EF7">
      <w:pPr>
        <w:numPr>
          <w:ilvl w:val="1"/>
          <w:numId w:val="0"/>
        </w:numPr>
        <w:spacing w:before="240" w:after="240"/>
        <w:rPr>
          <w:b/>
        </w:rPr>
      </w:pPr>
      <w:r w:rsidRPr="0076464C">
        <w:rPr>
          <w:b/>
        </w:rPr>
        <w:t>Table 2.2: ROCs issued in 2020-21 by technology and country</w:t>
      </w:r>
    </w:p>
    <w:tbl>
      <w:tblPr>
        <w:tblStyle w:val="GridTable4"/>
        <w:tblW w:w="9781"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5E0" w:firstRow="1" w:lastRow="1" w:firstColumn="1" w:lastColumn="1" w:noHBand="0" w:noVBand="1"/>
        <w:tblCaption w:val="Table A1.1: ROCs issued during 2018/19 by country and technology"/>
      </w:tblPr>
      <w:tblGrid>
        <w:gridCol w:w="1577"/>
        <w:gridCol w:w="1701"/>
        <w:gridCol w:w="1701"/>
        <w:gridCol w:w="1701"/>
        <w:gridCol w:w="1701"/>
        <w:gridCol w:w="1400"/>
      </w:tblGrid>
      <w:tr w:rsidR="00A61EF7" w:rsidRPr="001A184F" w14:paraId="687D304A" w14:textId="77777777" w:rsidTr="009D32B4">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2363AF"/>
            <w:noWrap/>
            <w:vAlign w:val="center"/>
            <w:hideMark/>
          </w:tcPr>
          <w:p w14:paraId="31D06370" w14:textId="77777777" w:rsidR="00A61EF7" w:rsidRPr="0077752B" w:rsidRDefault="00A61EF7" w:rsidP="009D32B4">
            <w:pPr>
              <w:rPr>
                <w:b w:val="0"/>
                <w:sz w:val="16"/>
                <w:szCs w:val="16"/>
              </w:rPr>
            </w:pPr>
            <w:r w:rsidRPr="0077752B">
              <w:rPr>
                <w:b w:val="0"/>
                <w:bCs w:val="0"/>
                <w:sz w:val="16"/>
                <w:szCs w:val="16"/>
              </w:rPr>
              <w:t>Technology</w:t>
            </w:r>
          </w:p>
        </w:tc>
        <w:tc>
          <w:tcPr>
            <w:tcW w:w="1701" w:type="dxa"/>
            <w:tcBorders>
              <w:top w:val="none" w:sz="0" w:space="0" w:color="auto"/>
              <w:left w:val="none" w:sz="0" w:space="0" w:color="auto"/>
              <w:bottom w:val="none" w:sz="0" w:space="0" w:color="auto"/>
              <w:right w:val="none" w:sz="0" w:space="0" w:color="auto"/>
            </w:tcBorders>
            <w:shd w:val="clear" w:color="auto" w:fill="2363AF"/>
            <w:noWrap/>
            <w:vAlign w:val="center"/>
            <w:hideMark/>
          </w:tcPr>
          <w:p w14:paraId="22837EDB" w14:textId="77777777" w:rsidR="00A61EF7" w:rsidRPr="0077752B" w:rsidRDefault="00A61EF7" w:rsidP="009D32B4">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77752B">
              <w:rPr>
                <w:b w:val="0"/>
                <w:sz w:val="16"/>
                <w:szCs w:val="16"/>
              </w:rPr>
              <w:t>England</w:t>
            </w:r>
          </w:p>
        </w:tc>
        <w:tc>
          <w:tcPr>
            <w:tcW w:w="1701" w:type="dxa"/>
            <w:tcBorders>
              <w:top w:val="none" w:sz="0" w:space="0" w:color="auto"/>
              <w:left w:val="none" w:sz="0" w:space="0" w:color="auto"/>
              <w:bottom w:val="none" w:sz="0" w:space="0" w:color="auto"/>
              <w:right w:val="none" w:sz="0" w:space="0" w:color="auto"/>
            </w:tcBorders>
            <w:shd w:val="clear" w:color="auto" w:fill="2363AF"/>
            <w:noWrap/>
            <w:vAlign w:val="center"/>
            <w:hideMark/>
          </w:tcPr>
          <w:p w14:paraId="29A64FC2" w14:textId="77777777" w:rsidR="00A61EF7" w:rsidRPr="0077752B" w:rsidRDefault="00A61EF7" w:rsidP="009D32B4">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77752B">
              <w:rPr>
                <w:b w:val="0"/>
                <w:sz w:val="16"/>
                <w:szCs w:val="16"/>
              </w:rPr>
              <w:t>Scotland</w:t>
            </w:r>
          </w:p>
        </w:tc>
        <w:tc>
          <w:tcPr>
            <w:tcW w:w="1701" w:type="dxa"/>
            <w:tcBorders>
              <w:top w:val="none" w:sz="0" w:space="0" w:color="auto"/>
              <w:left w:val="none" w:sz="0" w:space="0" w:color="auto"/>
              <w:bottom w:val="none" w:sz="0" w:space="0" w:color="auto"/>
              <w:right w:val="none" w:sz="0" w:space="0" w:color="auto"/>
            </w:tcBorders>
            <w:shd w:val="clear" w:color="auto" w:fill="2363AF"/>
            <w:noWrap/>
            <w:vAlign w:val="center"/>
            <w:hideMark/>
          </w:tcPr>
          <w:p w14:paraId="6C4E81CB" w14:textId="77777777" w:rsidR="00A61EF7" w:rsidRPr="0077752B" w:rsidRDefault="00A61EF7" w:rsidP="009D32B4">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77752B">
              <w:rPr>
                <w:b w:val="0"/>
                <w:sz w:val="16"/>
                <w:szCs w:val="16"/>
              </w:rPr>
              <w:t>Wales</w:t>
            </w:r>
          </w:p>
        </w:tc>
        <w:tc>
          <w:tcPr>
            <w:tcW w:w="1701" w:type="dxa"/>
            <w:tcBorders>
              <w:top w:val="none" w:sz="0" w:space="0" w:color="auto"/>
              <w:left w:val="none" w:sz="0" w:space="0" w:color="auto"/>
              <w:bottom w:val="none" w:sz="0" w:space="0" w:color="auto"/>
              <w:right w:val="none" w:sz="0" w:space="0" w:color="auto"/>
            </w:tcBorders>
            <w:shd w:val="clear" w:color="auto" w:fill="2363AF"/>
            <w:noWrap/>
            <w:vAlign w:val="center"/>
            <w:hideMark/>
          </w:tcPr>
          <w:p w14:paraId="1AD62B0E" w14:textId="77777777" w:rsidR="00A61EF7" w:rsidRPr="0077752B" w:rsidRDefault="00A61EF7" w:rsidP="009D32B4">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77752B">
              <w:rPr>
                <w:b w:val="0"/>
                <w:sz w:val="16"/>
                <w:szCs w:val="16"/>
              </w:rPr>
              <w:t>Northern Ireland</w:t>
            </w:r>
          </w:p>
        </w:tc>
        <w:tc>
          <w:tcPr>
            <w:cnfStyle w:val="000100000000" w:firstRow="0" w:lastRow="0" w:firstColumn="0" w:lastColumn="1" w:oddVBand="0" w:evenVBand="0" w:oddHBand="0" w:evenHBand="0" w:firstRowFirstColumn="0" w:firstRowLastColumn="0" w:lastRowFirstColumn="0" w:lastRowLastColumn="0"/>
            <w:tcW w:w="1400" w:type="dxa"/>
            <w:tcBorders>
              <w:top w:val="none" w:sz="0" w:space="0" w:color="auto"/>
              <w:left w:val="none" w:sz="0" w:space="0" w:color="auto"/>
              <w:bottom w:val="none" w:sz="0" w:space="0" w:color="auto"/>
              <w:right w:val="none" w:sz="0" w:space="0" w:color="auto"/>
            </w:tcBorders>
            <w:shd w:val="clear" w:color="auto" w:fill="2363AF"/>
            <w:vAlign w:val="center"/>
          </w:tcPr>
          <w:p w14:paraId="253E778D" w14:textId="77777777" w:rsidR="00A61EF7" w:rsidRPr="0077752B" w:rsidRDefault="00A61EF7" w:rsidP="009D32B4">
            <w:pPr>
              <w:contextualSpacing/>
              <w:jc w:val="right"/>
              <w:rPr>
                <w:b w:val="0"/>
                <w:bCs w:val="0"/>
                <w:sz w:val="16"/>
                <w:szCs w:val="16"/>
              </w:rPr>
            </w:pPr>
            <w:r w:rsidRPr="0077752B">
              <w:rPr>
                <w:b w:val="0"/>
                <w:bCs w:val="0"/>
                <w:sz w:val="16"/>
                <w:szCs w:val="16"/>
              </w:rPr>
              <w:t>Total</w:t>
            </w:r>
          </w:p>
        </w:tc>
      </w:tr>
      <w:tr w:rsidR="00A61EF7" w:rsidRPr="001A184F" w14:paraId="142D89A4"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25B27F72" w14:textId="1532356C"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Offshore wind</w:t>
            </w:r>
          </w:p>
        </w:tc>
        <w:tc>
          <w:tcPr>
            <w:tcW w:w="0" w:type="dxa"/>
            <w:shd w:val="clear" w:color="auto" w:fill="auto"/>
            <w:noWrap/>
            <w:vAlign w:val="center"/>
            <w:hideMark/>
          </w:tcPr>
          <w:p w14:paraId="4BCFF5DB" w14:textId="0070DB44"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37,814,333 </w:t>
            </w:r>
          </w:p>
        </w:tc>
        <w:tc>
          <w:tcPr>
            <w:tcW w:w="0" w:type="dxa"/>
            <w:shd w:val="clear" w:color="auto" w:fill="auto"/>
            <w:noWrap/>
            <w:vAlign w:val="center"/>
            <w:hideMark/>
          </w:tcPr>
          <w:p w14:paraId="0417AA4E" w14:textId="66316CC6"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2,264,066 </w:t>
            </w:r>
          </w:p>
        </w:tc>
        <w:tc>
          <w:tcPr>
            <w:tcW w:w="0" w:type="dxa"/>
            <w:shd w:val="clear" w:color="auto" w:fill="auto"/>
            <w:noWrap/>
            <w:vAlign w:val="center"/>
            <w:hideMark/>
          </w:tcPr>
          <w:p w14:paraId="1AED1A5A" w14:textId="174D318D"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4,004,940 </w:t>
            </w:r>
          </w:p>
        </w:tc>
        <w:tc>
          <w:tcPr>
            <w:tcW w:w="0" w:type="dxa"/>
            <w:shd w:val="clear" w:color="auto" w:fill="auto"/>
            <w:noWrap/>
            <w:vAlign w:val="center"/>
            <w:hideMark/>
          </w:tcPr>
          <w:p w14:paraId="1518A206" w14:textId="261A67C7"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0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6D0C83EA" w14:textId="5D906D97"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44,083,339 </w:t>
            </w:r>
          </w:p>
        </w:tc>
      </w:tr>
      <w:tr w:rsidR="00A61EF7" w:rsidRPr="001A184F" w14:paraId="33B0CB5D" w14:textId="77777777" w:rsidTr="003B35B0">
        <w:trPr>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32062621" w14:textId="24EB8680"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Onshore wind</w:t>
            </w:r>
          </w:p>
        </w:tc>
        <w:tc>
          <w:tcPr>
            <w:tcW w:w="0" w:type="dxa"/>
            <w:shd w:val="clear" w:color="auto" w:fill="auto"/>
            <w:noWrap/>
            <w:vAlign w:val="center"/>
            <w:hideMark/>
          </w:tcPr>
          <w:p w14:paraId="30F199C1" w14:textId="0F84DC41"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5,959,215 </w:t>
            </w:r>
          </w:p>
        </w:tc>
        <w:tc>
          <w:tcPr>
            <w:tcW w:w="0" w:type="dxa"/>
            <w:shd w:val="clear" w:color="auto" w:fill="auto"/>
            <w:noWrap/>
            <w:vAlign w:val="center"/>
            <w:hideMark/>
          </w:tcPr>
          <w:p w14:paraId="3FA44BD1" w14:textId="33606E82"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15,122,851 </w:t>
            </w:r>
          </w:p>
        </w:tc>
        <w:tc>
          <w:tcPr>
            <w:tcW w:w="0" w:type="dxa"/>
            <w:shd w:val="clear" w:color="auto" w:fill="auto"/>
            <w:noWrap/>
            <w:vAlign w:val="center"/>
            <w:hideMark/>
          </w:tcPr>
          <w:p w14:paraId="1CFD6E70" w14:textId="5A47B4A4"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2,445,110 </w:t>
            </w:r>
          </w:p>
        </w:tc>
        <w:tc>
          <w:tcPr>
            <w:tcW w:w="0" w:type="dxa"/>
            <w:shd w:val="clear" w:color="auto" w:fill="auto"/>
            <w:noWrap/>
            <w:vAlign w:val="center"/>
            <w:hideMark/>
          </w:tcPr>
          <w:p w14:paraId="41828C8A" w14:textId="286955A0"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3,739,103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48565968" w14:textId="559BD8F5"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27,266,279 </w:t>
            </w:r>
          </w:p>
        </w:tc>
      </w:tr>
      <w:tr w:rsidR="00A61EF7" w:rsidRPr="001A184F" w14:paraId="54B8CB02"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20768DCC" w14:textId="468E0AB1"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Fuelled</w:t>
            </w:r>
          </w:p>
        </w:tc>
        <w:tc>
          <w:tcPr>
            <w:tcW w:w="0" w:type="dxa"/>
            <w:shd w:val="clear" w:color="auto" w:fill="auto"/>
            <w:noWrap/>
            <w:vAlign w:val="center"/>
            <w:hideMark/>
          </w:tcPr>
          <w:p w14:paraId="7F2A8ADF" w14:textId="0879BCE9"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16,844,037 </w:t>
            </w:r>
          </w:p>
        </w:tc>
        <w:tc>
          <w:tcPr>
            <w:tcW w:w="0" w:type="dxa"/>
            <w:shd w:val="clear" w:color="auto" w:fill="auto"/>
            <w:noWrap/>
            <w:vAlign w:val="center"/>
            <w:hideMark/>
          </w:tcPr>
          <w:p w14:paraId="1E1E7CF5" w14:textId="58B0F33E"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2,397,402 </w:t>
            </w:r>
          </w:p>
        </w:tc>
        <w:tc>
          <w:tcPr>
            <w:tcW w:w="0" w:type="dxa"/>
            <w:shd w:val="clear" w:color="auto" w:fill="auto"/>
            <w:noWrap/>
            <w:vAlign w:val="center"/>
            <w:hideMark/>
          </w:tcPr>
          <w:p w14:paraId="12AC84DE" w14:textId="5054CF20"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664,049 </w:t>
            </w:r>
          </w:p>
        </w:tc>
        <w:tc>
          <w:tcPr>
            <w:tcW w:w="0" w:type="dxa"/>
            <w:shd w:val="clear" w:color="auto" w:fill="auto"/>
            <w:noWrap/>
            <w:vAlign w:val="center"/>
            <w:hideMark/>
          </w:tcPr>
          <w:p w14:paraId="7F720585" w14:textId="32D8F797"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1,575,414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544ACD74" w14:textId="1B04AB91"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21,480,902 </w:t>
            </w:r>
          </w:p>
        </w:tc>
      </w:tr>
      <w:tr w:rsidR="00A61EF7" w:rsidRPr="001A184F" w14:paraId="31711264" w14:textId="77777777" w:rsidTr="003B35B0">
        <w:trPr>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5050ECD5" w14:textId="54FF32BB"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Solar PV</w:t>
            </w:r>
          </w:p>
        </w:tc>
        <w:tc>
          <w:tcPr>
            <w:tcW w:w="0" w:type="dxa"/>
            <w:shd w:val="clear" w:color="auto" w:fill="auto"/>
            <w:noWrap/>
            <w:vAlign w:val="center"/>
            <w:hideMark/>
          </w:tcPr>
          <w:p w14:paraId="4B9A90CD" w14:textId="7C8E00CA"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8,737,422 </w:t>
            </w:r>
          </w:p>
        </w:tc>
        <w:tc>
          <w:tcPr>
            <w:tcW w:w="0" w:type="dxa"/>
            <w:shd w:val="clear" w:color="auto" w:fill="auto"/>
            <w:noWrap/>
            <w:vAlign w:val="center"/>
            <w:hideMark/>
          </w:tcPr>
          <w:p w14:paraId="03B1F81F" w14:textId="04A07F63"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55,047 </w:t>
            </w:r>
          </w:p>
        </w:tc>
        <w:tc>
          <w:tcPr>
            <w:tcW w:w="0" w:type="dxa"/>
            <w:shd w:val="clear" w:color="auto" w:fill="auto"/>
            <w:noWrap/>
            <w:vAlign w:val="center"/>
            <w:hideMark/>
          </w:tcPr>
          <w:p w14:paraId="5D886319" w14:textId="68895BC2"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770,567 </w:t>
            </w:r>
          </w:p>
        </w:tc>
        <w:tc>
          <w:tcPr>
            <w:tcW w:w="0" w:type="dxa"/>
            <w:shd w:val="clear" w:color="auto" w:fill="auto"/>
            <w:noWrap/>
            <w:vAlign w:val="center"/>
            <w:hideMark/>
          </w:tcPr>
          <w:p w14:paraId="544EABDE" w14:textId="17CFB125"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562,654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6924522A" w14:textId="4094DC13"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10,125,690 </w:t>
            </w:r>
          </w:p>
        </w:tc>
      </w:tr>
      <w:tr w:rsidR="00A61EF7" w:rsidRPr="001A184F" w14:paraId="6953A83C"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59DB46D7" w14:textId="00821422"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 xml:space="preserve">Landfill gas </w:t>
            </w:r>
          </w:p>
        </w:tc>
        <w:tc>
          <w:tcPr>
            <w:tcW w:w="0" w:type="dxa"/>
            <w:shd w:val="clear" w:color="auto" w:fill="auto"/>
            <w:noWrap/>
            <w:vAlign w:val="center"/>
            <w:hideMark/>
          </w:tcPr>
          <w:p w14:paraId="4C398F01" w14:textId="7217EDC0"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2,496,508 </w:t>
            </w:r>
          </w:p>
        </w:tc>
        <w:tc>
          <w:tcPr>
            <w:tcW w:w="0" w:type="dxa"/>
            <w:shd w:val="clear" w:color="auto" w:fill="auto"/>
            <w:noWrap/>
            <w:vAlign w:val="center"/>
            <w:hideMark/>
          </w:tcPr>
          <w:p w14:paraId="572FFE97" w14:textId="3EDB12CD"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308,950 </w:t>
            </w:r>
          </w:p>
        </w:tc>
        <w:tc>
          <w:tcPr>
            <w:tcW w:w="0" w:type="dxa"/>
            <w:shd w:val="clear" w:color="auto" w:fill="auto"/>
            <w:noWrap/>
            <w:vAlign w:val="center"/>
            <w:hideMark/>
          </w:tcPr>
          <w:p w14:paraId="6746CFE7" w14:textId="73857605"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76,716 </w:t>
            </w:r>
          </w:p>
        </w:tc>
        <w:tc>
          <w:tcPr>
            <w:tcW w:w="0" w:type="dxa"/>
            <w:shd w:val="clear" w:color="auto" w:fill="auto"/>
            <w:noWrap/>
            <w:vAlign w:val="center"/>
            <w:hideMark/>
          </w:tcPr>
          <w:p w14:paraId="22A2C416" w14:textId="3D7A0E53"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50,322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59493A6F" w14:textId="07D37FE8"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2,932,496 </w:t>
            </w:r>
          </w:p>
        </w:tc>
      </w:tr>
      <w:tr w:rsidR="00A61EF7" w:rsidRPr="001A184F" w14:paraId="1EF8DE2B" w14:textId="77777777" w:rsidTr="003B35B0">
        <w:trPr>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496A05ED" w14:textId="10BBC379"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Hydro</w:t>
            </w:r>
          </w:p>
        </w:tc>
        <w:tc>
          <w:tcPr>
            <w:tcW w:w="0" w:type="dxa"/>
            <w:shd w:val="clear" w:color="auto" w:fill="auto"/>
            <w:noWrap/>
            <w:vAlign w:val="center"/>
            <w:hideMark/>
          </w:tcPr>
          <w:p w14:paraId="03721FCE" w14:textId="489F8C81"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64,826 </w:t>
            </w:r>
          </w:p>
        </w:tc>
        <w:tc>
          <w:tcPr>
            <w:tcW w:w="0" w:type="dxa"/>
            <w:shd w:val="clear" w:color="auto" w:fill="auto"/>
            <w:noWrap/>
            <w:vAlign w:val="center"/>
            <w:hideMark/>
          </w:tcPr>
          <w:p w14:paraId="4C3AD8FC" w14:textId="00CEC73F"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2,345,323 </w:t>
            </w:r>
          </w:p>
        </w:tc>
        <w:tc>
          <w:tcPr>
            <w:tcW w:w="0" w:type="dxa"/>
            <w:shd w:val="clear" w:color="auto" w:fill="auto"/>
            <w:noWrap/>
            <w:vAlign w:val="center"/>
            <w:hideMark/>
          </w:tcPr>
          <w:p w14:paraId="08A30967" w14:textId="00A62A3F"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147,121 </w:t>
            </w:r>
          </w:p>
        </w:tc>
        <w:tc>
          <w:tcPr>
            <w:tcW w:w="0" w:type="dxa"/>
            <w:shd w:val="clear" w:color="auto" w:fill="auto"/>
            <w:noWrap/>
            <w:vAlign w:val="center"/>
            <w:hideMark/>
          </w:tcPr>
          <w:p w14:paraId="71AC5D53" w14:textId="3FD30C96"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53,314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7C854018" w14:textId="14313BFC"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2,610,584 </w:t>
            </w:r>
          </w:p>
        </w:tc>
      </w:tr>
      <w:tr w:rsidR="00A61EF7" w:rsidRPr="001A184F" w14:paraId="75F525D0"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4C6FDE6E" w14:textId="336598CA"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Sewage gas</w:t>
            </w:r>
          </w:p>
        </w:tc>
        <w:tc>
          <w:tcPr>
            <w:tcW w:w="0" w:type="dxa"/>
            <w:shd w:val="clear" w:color="auto" w:fill="auto"/>
            <w:noWrap/>
            <w:vAlign w:val="center"/>
            <w:hideMark/>
          </w:tcPr>
          <w:p w14:paraId="7AB4EE62" w14:textId="25220E33"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641,666 </w:t>
            </w:r>
          </w:p>
        </w:tc>
        <w:tc>
          <w:tcPr>
            <w:tcW w:w="0" w:type="dxa"/>
            <w:shd w:val="clear" w:color="auto" w:fill="auto"/>
            <w:noWrap/>
            <w:vAlign w:val="center"/>
            <w:hideMark/>
          </w:tcPr>
          <w:p w14:paraId="0A2A304C" w14:textId="36A7B61C"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31,560 </w:t>
            </w:r>
          </w:p>
        </w:tc>
        <w:tc>
          <w:tcPr>
            <w:tcW w:w="0" w:type="dxa"/>
            <w:shd w:val="clear" w:color="auto" w:fill="auto"/>
            <w:noWrap/>
            <w:vAlign w:val="center"/>
            <w:hideMark/>
          </w:tcPr>
          <w:p w14:paraId="0F8B8F7B" w14:textId="7DBC1F21"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31,711 </w:t>
            </w:r>
          </w:p>
        </w:tc>
        <w:tc>
          <w:tcPr>
            <w:tcW w:w="0" w:type="dxa"/>
            <w:shd w:val="clear" w:color="auto" w:fill="auto"/>
            <w:noWrap/>
            <w:vAlign w:val="center"/>
            <w:hideMark/>
          </w:tcPr>
          <w:p w14:paraId="780C1A2D" w14:textId="506BD8D1" w:rsidR="00A61EF7" w:rsidRPr="003B35B0" w:rsidRDefault="00A61EF7" w:rsidP="00C923F5">
            <w:pPr>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B35B0">
              <w:rPr>
                <w:color w:val="000000" w:themeColor="text1"/>
                <w:sz w:val="16"/>
                <w:szCs w:val="16"/>
              </w:rPr>
              <w:t xml:space="preserve">0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03552EE8" w14:textId="35D27943"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704,937 </w:t>
            </w:r>
          </w:p>
        </w:tc>
      </w:tr>
      <w:tr w:rsidR="00A61EF7" w:rsidRPr="001A184F" w14:paraId="29B6B1BB" w14:textId="77777777" w:rsidTr="003B35B0">
        <w:trPr>
          <w:trHeight w:val="238"/>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hideMark/>
          </w:tcPr>
          <w:p w14:paraId="58B88ADC" w14:textId="4531671D" w:rsidR="00A61EF7" w:rsidRPr="000371B8" w:rsidRDefault="00A61EF7" w:rsidP="00C923F5">
            <w:pPr>
              <w:rPr>
                <w:b w:val="0"/>
                <w:bCs w:val="0"/>
                <w:color w:val="000000" w:themeColor="text1"/>
                <w:sz w:val="16"/>
                <w:szCs w:val="16"/>
              </w:rPr>
            </w:pPr>
            <w:r w:rsidRPr="000371B8">
              <w:rPr>
                <w:b w:val="0"/>
                <w:bCs w:val="0"/>
                <w:color w:val="000000" w:themeColor="text1"/>
                <w:sz w:val="16"/>
                <w:szCs w:val="16"/>
              </w:rPr>
              <w:t>Tidal power</w:t>
            </w:r>
          </w:p>
        </w:tc>
        <w:tc>
          <w:tcPr>
            <w:tcW w:w="0" w:type="dxa"/>
            <w:shd w:val="clear" w:color="auto" w:fill="auto"/>
            <w:noWrap/>
            <w:vAlign w:val="center"/>
            <w:hideMark/>
          </w:tcPr>
          <w:p w14:paraId="3AB3F2DD" w14:textId="3A075773"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0   </w:t>
            </w:r>
          </w:p>
        </w:tc>
        <w:tc>
          <w:tcPr>
            <w:tcW w:w="0" w:type="dxa"/>
            <w:shd w:val="clear" w:color="auto" w:fill="auto"/>
            <w:noWrap/>
            <w:vAlign w:val="center"/>
            <w:hideMark/>
          </w:tcPr>
          <w:p w14:paraId="2478D311" w14:textId="7C6F6C80"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 48,655 </w:t>
            </w:r>
          </w:p>
        </w:tc>
        <w:tc>
          <w:tcPr>
            <w:tcW w:w="0" w:type="dxa"/>
            <w:shd w:val="clear" w:color="auto" w:fill="auto"/>
            <w:noWrap/>
            <w:vAlign w:val="center"/>
            <w:hideMark/>
          </w:tcPr>
          <w:p w14:paraId="4A45F14B" w14:textId="1CC2B65E"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0   </w:t>
            </w:r>
          </w:p>
        </w:tc>
        <w:tc>
          <w:tcPr>
            <w:tcW w:w="0" w:type="dxa"/>
            <w:shd w:val="clear" w:color="auto" w:fill="auto"/>
            <w:noWrap/>
            <w:vAlign w:val="center"/>
            <w:hideMark/>
          </w:tcPr>
          <w:p w14:paraId="784693F9" w14:textId="09ADCA0F" w:rsidR="00A61EF7" w:rsidRPr="003B35B0" w:rsidRDefault="00A61EF7" w:rsidP="00C923F5">
            <w:pPr>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B35B0">
              <w:rPr>
                <w:color w:val="000000" w:themeColor="text1"/>
                <w:sz w:val="16"/>
                <w:szCs w:val="16"/>
              </w:rPr>
              <w:t xml:space="preserve">0   </w:t>
            </w:r>
          </w:p>
        </w:tc>
        <w:tc>
          <w:tcPr>
            <w:cnfStyle w:val="000100000000" w:firstRow="0" w:lastRow="0" w:firstColumn="0" w:lastColumn="1" w:oddVBand="0" w:evenVBand="0" w:oddHBand="0" w:evenHBand="0" w:firstRowFirstColumn="0" w:firstRowLastColumn="0" w:lastRowFirstColumn="0" w:lastRowLastColumn="0"/>
            <w:tcW w:w="0" w:type="dxa"/>
            <w:shd w:val="clear" w:color="auto" w:fill="FFFFFF" w:themeFill="background1"/>
            <w:vAlign w:val="center"/>
          </w:tcPr>
          <w:p w14:paraId="46A7AD78" w14:textId="34BD2B35" w:rsidR="00A61EF7" w:rsidRPr="000371B8" w:rsidRDefault="00A61EF7" w:rsidP="00C923F5">
            <w:pPr>
              <w:jc w:val="right"/>
              <w:rPr>
                <w:rFonts w:cs="Calibri"/>
                <w:b w:val="0"/>
                <w:bCs w:val="0"/>
                <w:color w:val="000000" w:themeColor="text1"/>
                <w:sz w:val="16"/>
                <w:szCs w:val="16"/>
              </w:rPr>
            </w:pPr>
            <w:r w:rsidRPr="000371B8">
              <w:rPr>
                <w:b w:val="0"/>
                <w:bCs w:val="0"/>
                <w:color w:val="000000" w:themeColor="text1"/>
                <w:sz w:val="16"/>
                <w:szCs w:val="16"/>
              </w:rPr>
              <w:t xml:space="preserve"> 48,655 </w:t>
            </w:r>
          </w:p>
        </w:tc>
      </w:tr>
      <w:tr w:rsidR="00A61EF7" w:rsidRPr="001A184F" w14:paraId="0AF27622" w14:textId="77777777" w:rsidTr="009D32B4">
        <w:trPr>
          <w:cnfStyle w:val="010000000000" w:firstRow="0" w:lastRow="1"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tcBorders>
            <w:shd w:val="clear" w:color="auto" w:fill="2363AF"/>
            <w:noWrap/>
            <w:hideMark/>
          </w:tcPr>
          <w:p w14:paraId="60CD244E" w14:textId="77777777" w:rsidR="00A61EF7" w:rsidRPr="00321797" w:rsidRDefault="00A61EF7" w:rsidP="00A61EF7">
            <w:pPr>
              <w:rPr>
                <w:b w:val="0"/>
                <w:bCs w:val="0"/>
                <w:color w:val="FFFFFF" w:themeColor="background1"/>
                <w:sz w:val="16"/>
                <w:szCs w:val="16"/>
              </w:rPr>
            </w:pPr>
            <w:r w:rsidRPr="00321797">
              <w:rPr>
                <w:b w:val="0"/>
                <w:color w:val="FFFFFF" w:themeColor="background1"/>
                <w:sz w:val="16"/>
                <w:szCs w:val="16"/>
              </w:rPr>
              <w:t>Total</w:t>
            </w:r>
          </w:p>
        </w:tc>
        <w:tc>
          <w:tcPr>
            <w:tcW w:w="1701" w:type="dxa"/>
            <w:tcBorders>
              <w:top w:val="none" w:sz="0" w:space="0" w:color="auto"/>
            </w:tcBorders>
            <w:shd w:val="clear" w:color="auto" w:fill="2363AF"/>
            <w:noWrap/>
            <w:hideMark/>
          </w:tcPr>
          <w:p w14:paraId="38F6A837" w14:textId="053BFCF8" w:rsidR="00A61EF7" w:rsidRPr="00A61EF7" w:rsidRDefault="00A61EF7" w:rsidP="00A61EF7">
            <w:pPr>
              <w:contextualSpacing/>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A61EF7">
              <w:rPr>
                <w:b w:val="0"/>
                <w:bCs w:val="0"/>
                <w:color w:val="FFFFFF" w:themeColor="background1"/>
                <w:sz w:val="16"/>
                <w:szCs w:val="16"/>
              </w:rPr>
              <w:t>72,558,007</w:t>
            </w:r>
          </w:p>
        </w:tc>
        <w:tc>
          <w:tcPr>
            <w:tcW w:w="1701" w:type="dxa"/>
            <w:tcBorders>
              <w:top w:val="none" w:sz="0" w:space="0" w:color="auto"/>
            </w:tcBorders>
            <w:shd w:val="clear" w:color="auto" w:fill="2363AF"/>
            <w:noWrap/>
            <w:hideMark/>
          </w:tcPr>
          <w:p w14:paraId="69A024B0" w14:textId="4B192462" w:rsidR="00A61EF7" w:rsidRPr="00A61EF7" w:rsidRDefault="00A61EF7" w:rsidP="00A61EF7">
            <w:pPr>
              <w:contextualSpacing/>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A61EF7">
              <w:rPr>
                <w:b w:val="0"/>
                <w:bCs w:val="0"/>
                <w:color w:val="FFFFFF" w:themeColor="background1"/>
                <w:sz w:val="16"/>
                <w:szCs w:val="16"/>
              </w:rPr>
              <w:t>22,573,854</w:t>
            </w:r>
          </w:p>
        </w:tc>
        <w:tc>
          <w:tcPr>
            <w:tcW w:w="1701" w:type="dxa"/>
            <w:tcBorders>
              <w:top w:val="none" w:sz="0" w:space="0" w:color="auto"/>
            </w:tcBorders>
            <w:shd w:val="clear" w:color="auto" w:fill="2363AF"/>
            <w:noWrap/>
            <w:hideMark/>
          </w:tcPr>
          <w:p w14:paraId="3FAC648E" w14:textId="6FBCA794" w:rsidR="00A61EF7" w:rsidRPr="00A61EF7" w:rsidRDefault="00A61EF7" w:rsidP="00A61EF7">
            <w:pPr>
              <w:contextualSpacing/>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A61EF7">
              <w:rPr>
                <w:b w:val="0"/>
                <w:bCs w:val="0"/>
                <w:color w:val="FFFFFF" w:themeColor="background1"/>
                <w:sz w:val="16"/>
                <w:szCs w:val="16"/>
              </w:rPr>
              <w:t>8,140,214</w:t>
            </w:r>
          </w:p>
        </w:tc>
        <w:tc>
          <w:tcPr>
            <w:tcW w:w="1701" w:type="dxa"/>
            <w:tcBorders>
              <w:top w:val="none" w:sz="0" w:space="0" w:color="auto"/>
            </w:tcBorders>
            <w:shd w:val="clear" w:color="auto" w:fill="2363AF"/>
            <w:noWrap/>
            <w:hideMark/>
          </w:tcPr>
          <w:p w14:paraId="539A75A6" w14:textId="48EF4C6A" w:rsidR="00A61EF7" w:rsidRPr="00A61EF7" w:rsidRDefault="00A61EF7" w:rsidP="00A61EF7">
            <w:pPr>
              <w:contextualSpacing/>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A61EF7">
              <w:rPr>
                <w:b w:val="0"/>
                <w:bCs w:val="0"/>
                <w:color w:val="FFFFFF" w:themeColor="background1"/>
                <w:sz w:val="16"/>
                <w:szCs w:val="16"/>
              </w:rPr>
              <w:t>5,980,807</w:t>
            </w:r>
          </w:p>
        </w:tc>
        <w:tc>
          <w:tcPr>
            <w:cnfStyle w:val="000100000000" w:firstRow="0" w:lastRow="0" w:firstColumn="0" w:lastColumn="1" w:oddVBand="0" w:evenVBand="0" w:oddHBand="0" w:evenHBand="0" w:firstRowFirstColumn="0" w:firstRowLastColumn="0" w:lastRowFirstColumn="0" w:lastRowLastColumn="0"/>
            <w:tcW w:w="1400" w:type="dxa"/>
            <w:tcBorders>
              <w:top w:val="none" w:sz="0" w:space="0" w:color="auto"/>
            </w:tcBorders>
            <w:shd w:val="clear" w:color="auto" w:fill="2363AF"/>
          </w:tcPr>
          <w:p w14:paraId="67A047E1" w14:textId="59071BCF" w:rsidR="00A61EF7" w:rsidRPr="00A61EF7" w:rsidRDefault="00A61EF7" w:rsidP="00A61EF7">
            <w:pPr>
              <w:contextualSpacing/>
              <w:jc w:val="right"/>
              <w:rPr>
                <w:rFonts w:cs="Calibri"/>
                <w:b w:val="0"/>
                <w:bCs w:val="0"/>
                <w:color w:val="FFFFFF" w:themeColor="background1"/>
                <w:sz w:val="16"/>
                <w:szCs w:val="16"/>
              </w:rPr>
            </w:pPr>
            <w:r w:rsidRPr="00A61EF7">
              <w:rPr>
                <w:b w:val="0"/>
                <w:bCs w:val="0"/>
                <w:color w:val="FFFFFF" w:themeColor="background1"/>
                <w:sz w:val="16"/>
                <w:szCs w:val="16"/>
              </w:rPr>
              <w:t>109,252,882</w:t>
            </w:r>
          </w:p>
        </w:tc>
      </w:tr>
    </w:tbl>
    <w:p w14:paraId="36A7DB54" w14:textId="760DAAF4" w:rsidR="00A61EF7" w:rsidRDefault="00A61EF7" w:rsidP="007E1963"/>
    <w:p w14:paraId="64CD2353" w14:textId="0653549D" w:rsidR="00C44A07" w:rsidRDefault="00C44A07" w:rsidP="003B35B0">
      <w:pPr>
        <w:pStyle w:val="Heading2"/>
      </w:pPr>
      <w:bookmarkStart w:id="95" w:name="_Toc98852150"/>
      <w:r>
        <w:lastRenderedPageBreak/>
        <w:t>Revoked and retired ROCs</w:t>
      </w:r>
      <w:bookmarkEnd w:id="95"/>
      <w:r w:rsidR="00E33ED2">
        <w:tab/>
      </w:r>
    </w:p>
    <w:p w14:paraId="1DDBA176" w14:textId="5FFD0ACA" w:rsidR="00C44A07" w:rsidRPr="0076464C" w:rsidRDefault="00C44A07" w:rsidP="003B35B0">
      <w:pPr>
        <w:pStyle w:val="CH2normal"/>
        <w:ind w:left="567" w:hanging="567"/>
      </w:pPr>
      <w:r w:rsidRPr="00667ADC">
        <w:t xml:space="preserve">ROCs can be revoked if, for example, we find that the number initially issued was incorrect. We may identify such errors through reviews of data submitted to us, audits of generating stations (see Chapter 5), or where the generator notifies us of an error. </w:t>
      </w:r>
      <w:r w:rsidRPr="0076464C">
        <w:t xml:space="preserve">This year we revoked </w:t>
      </w:r>
      <w:r w:rsidR="007E26E3" w:rsidRPr="0076464C">
        <w:t>24,922</w:t>
      </w:r>
      <w:r w:rsidRPr="0076464C">
        <w:t xml:space="preserve"> ROCs from </w:t>
      </w:r>
      <w:r w:rsidR="00A05A92">
        <w:t>49</w:t>
      </w:r>
      <w:r w:rsidRPr="0076464C">
        <w:t xml:space="preserve"> stations, which were issued in respect of the </w:t>
      </w:r>
      <w:r w:rsidR="007E26E3" w:rsidRPr="0076464C">
        <w:t>2020-21</w:t>
      </w:r>
      <w:r w:rsidRPr="0076464C">
        <w:t xml:space="preserve"> obligation year. </w:t>
      </w:r>
      <w:r w:rsidR="007D5C0E" w:rsidRPr="0076464C">
        <w:t xml:space="preserve">The station with the most ROCs revoked accounted for </w:t>
      </w:r>
      <w:r w:rsidR="00A05A92">
        <w:t>32</w:t>
      </w:r>
      <w:r w:rsidR="007D5C0E" w:rsidRPr="0076464C">
        <w:t xml:space="preserve">% </w:t>
      </w:r>
      <w:r w:rsidR="00A37F23">
        <w:t xml:space="preserve">of </w:t>
      </w:r>
      <w:r w:rsidR="007D5C0E" w:rsidRPr="0076464C">
        <w:t>that total, and the top five account</w:t>
      </w:r>
      <w:r w:rsidR="007D5C0E" w:rsidRPr="00667ADC">
        <w:t>ed</w:t>
      </w:r>
      <w:r w:rsidR="007D5C0E" w:rsidRPr="0076464C">
        <w:t xml:space="preserve"> for </w:t>
      </w:r>
      <w:r w:rsidR="00A05A92">
        <w:t>almost 80</w:t>
      </w:r>
      <w:r w:rsidR="007D5C0E" w:rsidRPr="0076464C">
        <w:t>% of all ROCs revoked</w:t>
      </w:r>
      <w:r w:rsidRPr="0076464C">
        <w:t xml:space="preserve">. This total is </w:t>
      </w:r>
      <w:r w:rsidR="007E26E3" w:rsidRPr="0076464C">
        <w:t>similar to the</w:t>
      </w:r>
      <w:r w:rsidRPr="0076464C">
        <w:t xml:space="preserve"> </w:t>
      </w:r>
      <w:r w:rsidR="007E26E3" w:rsidRPr="0076464C">
        <w:t>27,076</w:t>
      </w:r>
      <w:r w:rsidRPr="0076464C">
        <w:t xml:space="preserve"> ROCs revoked in 201</w:t>
      </w:r>
      <w:r w:rsidR="007E26E3" w:rsidRPr="0076464C">
        <w:t>9-20</w:t>
      </w:r>
      <w:r w:rsidRPr="0076464C">
        <w:t>.</w:t>
      </w:r>
      <w:r w:rsidRPr="00667ADC">
        <w:t xml:space="preserve"> The figure can vary considerably from year to year as it is largely dependent on submission errors made by generators</w:t>
      </w:r>
      <w:r w:rsidR="004D374E">
        <w:t xml:space="preserve">. These </w:t>
      </w:r>
      <w:r w:rsidRPr="00667ADC">
        <w:t xml:space="preserve">errors </w:t>
      </w:r>
      <w:r w:rsidR="004D374E">
        <w:t xml:space="preserve">are commonly </w:t>
      </w:r>
      <w:r w:rsidRPr="00667ADC">
        <w:t xml:space="preserve">identified through </w:t>
      </w:r>
      <w:r w:rsidR="004D374E">
        <w:t xml:space="preserve">our </w:t>
      </w:r>
      <w:r w:rsidRPr="00667ADC">
        <w:t>audit</w:t>
      </w:r>
      <w:r w:rsidR="00574FC2">
        <w:t xml:space="preserve"> </w:t>
      </w:r>
      <w:r w:rsidR="004D374E">
        <w:t xml:space="preserve">programme, </w:t>
      </w:r>
      <w:r w:rsidR="00574FC2">
        <w:t>data validation</w:t>
      </w:r>
      <w:r w:rsidR="004D374E">
        <w:t xml:space="preserve"> processes, or after being reported by the generator in question.</w:t>
      </w:r>
    </w:p>
    <w:p w14:paraId="0DCDEEEE" w14:textId="32299E1E" w:rsidR="00C44A07" w:rsidRPr="0076464C" w:rsidRDefault="00C44A07" w:rsidP="003B35B0">
      <w:pPr>
        <w:pStyle w:val="CH2normal"/>
        <w:ind w:left="567" w:hanging="567"/>
      </w:pPr>
      <w:bookmarkStart w:id="96" w:name="_Hlk95996399"/>
      <w:r w:rsidRPr="00BC1D59">
        <w:t xml:space="preserve">We are unable to revoke ROCs if a supplier has already presented </w:t>
      </w:r>
      <w:r w:rsidR="00DE7690">
        <w:t>them</w:t>
      </w:r>
      <w:r w:rsidRPr="00BC1D59">
        <w:t xml:space="preserve"> to us for compliance. In this situation, we must withhold an equivalent number of ROCs from being issued to the station in the future.</w:t>
      </w:r>
      <w:r w:rsidRPr="00BC1D59">
        <w:rPr>
          <w:rStyle w:val="FootnoteReference"/>
        </w:rPr>
        <w:footnoteReference w:id="13"/>
      </w:r>
      <w:r w:rsidRPr="00BC1D59">
        <w:t xml:space="preserve"> </w:t>
      </w:r>
      <w:r w:rsidRPr="0076464C">
        <w:t>This year</w:t>
      </w:r>
      <w:r w:rsidR="007F18BD">
        <w:t>,</w:t>
      </w:r>
      <w:r w:rsidRPr="0076464C">
        <w:t xml:space="preserve"> </w:t>
      </w:r>
      <w:r w:rsidR="00C33E6C">
        <w:t>following compliance investigations a total of</w:t>
      </w:r>
      <w:r w:rsidRPr="0076464C">
        <w:t xml:space="preserve"> </w:t>
      </w:r>
      <w:r w:rsidR="000B0FC9" w:rsidRPr="0076464C">
        <w:t xml:space="preserve">66,873 ROCs </w:t>
      </w:r>
      <w:r w:rsidRPr="0076464C">
        <w:t>were withheld</w:t>
      </w:r>
      <w:r w:rsidR="00A05A92">
        <w:t xml:space="preserve"> from 41 generating stations</w:t>
      </w:r>
      <w:r w:rsidR="007F18BD">
        <w:t>. This</w:t>
      </w:r>
      <w:r w:rsidRPr="0076464C">
        <w:t xml:space="preserve"> compare</w:t>
      </w:r>
      <w:r w:rsidR="007F18BD">
        <w:t>s</w:t>
      </w:r>
      <w:r w:rsidRPr="0076464C">
        <w:t xml:space="preserve"> to the </w:t>
      </w:r>
      <w:r w:rsidR="000B0FC9" w:rsidRPr="0076464C">
        <w:t xml:space="preserve">2,994 ROCs from 10 stations </w:t>
      </w:r>
      <w:r w:rsidRPr="0076464C">
        <w:t>withheld in 201</w:t>
      </w:r>
      <w:r w:rsidR="000B0FC9" w:rsidRPr="0076464C">
        <w:t>9</w:t>
      </w:r>
      <w:r w:rsidRPr="0076464C">
        <w:t>-</w:t>
      </w:r>
      <w:r w:rsidR="000B0FC9" w:rsidRPr="0076464C">
        <w:t>20</w:t>
      </w:r>
      <w:r w:rsidRPr="0076464C">
        <w:t>.</w:t>
      </w:r>
      <w:r w:rsidR="00DE7690">
        <w:t xml:space="preserve"> </w:t>
      </w:r>
      <w:r w:rsidR="00C33E6C">
        <w:t xml:space="preserve">For further information on our compliance investigations please refer to </w:t>
      </w:r>
      <w:r w:rsidR="00CD2B48">
        <w:t>C</w:t>
      </w:r>
      <w:r w:rsidR="00C33E6C">
        <w:t>hapter 5.</w:t>
      </w:r>
    </w:p>
    <w:bookmarkEnd w:id="96"/>
    <w:p w14:paraId="050FCFED" w14:textId="650CCD59" w:rsidR="00382E03" w:rsidRDefault="00C44A07" w:rsidP="003B35B0">
      <w:pPr>
        <w:pStyle w:val="CH2normal"/>
        <w:ind w:left="567" w:hanging="567"/>
      </w:pPr>
      <w:r w:rsidRPr="00667ADC">
        <w:t xml:space="preserve">The registered holder of a ROC may voluntarily retire it on the Register at any time. After retirement it can no longer be used for RO compliance. A registered holder may retire a ROC for a number of reasons, for example if they can no longer use it towards their obligation because it has already expired. </w:t>
      </w:r>
      <w:r w:rsidRPr="0076464C">
        <w:t xml:space="preserve">This year, </w:t>
      </w:r>
      <w:r w:rsidR="00667ADC" w:rsidRPr="0076464C">
        <w:t xml:space="preserve">524 </w:t>
      </w:r>
      <w:r w:rsidRPr="0076464C">
        <w:t xml:space="preserve">ROCs were retired from </w:t>
      </w:r>
      <w:r w:rsidR="00667ADC" w:rsidRPr="0076464C">
        <w:t xml:space="preserve">five </w:t>
      </w:r>
      <w:r w:rsidRPr="0076464C">
        <w:t>generating station</w:t>
      </w:r>
      <w:r w:rsidR="00667ADC" w:rsidRPr="0076464C">
        <w:t>s</w:t>
      </w:r>
      <w:r w:rsidRPr="0076464C">
        <w:t>.</w:t>
      </w:r>
      <w:r w:rsidR="00382E03">
        <w:br w:type="page"/>
      </w:r>
    </w:p>
    <w:p w14:paraId="490FAA00" w14:textId="48C5148F" w:rsidR="00382E03" w:rsidRPr="003B35B0" w:rsidRDefault="0080177F" w:rsidP="003B35B0">
      <w:pPr>
        <w:pStyle w:val="Heading1"/>
        <w:rPr>
          <w:rStyle w:val="Heading2Char"/>
          <w:rFonts w:eastAsiaTheme="minorHAnsi" w:cstheme="minorBidi"/>
          <w:b/>
          <w:sz w:val="36"/>
          <w:szCs w:val="36"/>
        </w:rPr>
      </w:pPr>
      <w:bookmarkStart w:id="97" w:name="_Toc64493535"/>
      <w:bookmarkStart w:id="98" w:name="_Toc98852151"/>
      <w:r w:rsidRPr="00543FFA">
        <w:rPr>
          <w:rStyle w:val="Heading2Char"/>
          <w:rFonts w:eastAsiaTheme="minorHAnsi" w:cstheme="minorBidi"/>
          <w:b/>
          <w:sz w:val="36"/>
          <w:szCs w:val="36"/>
        </w:rPr>
        <w:lastRenderedPageBreak/>
        <w:t xml:space="preserve">3. </w:t>
      </w:r>
      <w:r w:rsidR="00382E03" w:rsidRPr="00543FFA">
        <w:rPr>
          <w:rStyle w:val="Heading2Char"/>
          <w:rFonts w:eastAsiaTheme="minorHAnsi" w:cstheme="minorBidi"/>
          <w:b/>
          <w:sz w:val="36"/>
          <w:szCs w:val="36"/>
        </w:rPr>
        <w:t>Biomass sustainability</w:t>
      </w:r>
      <w:bookmarkEnd w:id="97"/>
      <w:bookmarkEnd w:id="98"/>
    </w:p>
    <w:p w14:paraId="2EDF8171" w14:textId="77777777" w:rsidR="00382E03" w:rsidRPr="003B35B0" w:rsidRDefault="00382E03" w:rsidP="003B35B0">
      <w:pPr>
        <w:pStyle w:val="Chaptersummaryheading"/>
      </w:pPr>
      <w:r w:rsidRPr="003B35B0">
        <w:t>Chapter summary</w:t>
      </w:r>
    </w:p>
    <w:p w14:paraId="4F7589CB" w14:textId="5F5AE31E" w:rsidR="00382E03" w:rsidRPr="00921800" w:rsidRDefault="00382E03" w:rsidP="006049E2">
      <w:pPr>
        <w:spacing w:after="0"/>
        <w:rPr>
          <w:rFonts w:ascii="Times New Roman" w:hAnsi="Times New Roman" w:cs="Times New Roman"/>
          <w:sz w:val="24"/>
          <w:szCs w:val="24"/>
        </w:rPr>
      </w:pPr>
      <w:r>
        <w:rPr>
          <w:b/>
        </w:rPr>
        <w:t xml:space="preserve">In the 2020-21 obligation </w:t>
      </w:r>
      <w:r w:rsidRPr="0003550F">
        <w:rPr>
          <w:b/>
        </w:rPr>
        <w:t xml:space="preserve">period, </w:t>
      </w:r>
      <w:r>
        <w:rPr>
          <w:b/>
        </w:rPr>
        <w:t xml:space="preserve">350 </w:t>
      </w:r>
      <w:r w:rsidRPr="0003550F">
        <w:rPr>
          <w:b/>
        </w:rPr>
        <w:t>fuelled</w:t>
      </w:r>
      <w:r w:rsidRPr="00E61B1B">
        <w:rPr>
          <w:b/>
        </w:rPr>
        <w:t xml:space="preserve"> generating stations were required to report their biomass fuels against the land and greenhouse gas emissions criteria, collectively known as the sustainability criteria. </w:t>
      </w:r>
      <w:r>
        <w:rPr>
          <w:b/>
          <w:bCs/>
        </w:rPr>
        <w:t>Compliance with the sustainability criteria is a requirement for ROC issue for the 13</w:t>
      </w:r>
      <w:r w:rsidR="00815F80">
        <w:rPr>
          <w:b/>
          <w:bCs/>
        </w:rPr>
        <w:t>1</w:t>
      </w:r>
      <w:r>
        <w:rPr>
          <w:b/>
          <w:bCs/>
        </w:rPr>
        <w:t xml:space="preserve"> bioliquid and solid biomass or biogas</w:t>
      </w:r>
      <w:r w:rsidRPr="00901DD0">
        <w:rPr>
          <w:vertAlign w:val="superscript"/>
        </w:rPr>
        <w:footnoteReference w:id="14"/>
      </w:r>
      <w:r>
        <w:rPr>
          <w:b/>
          <w:bCs/>
          <w:sz w:val="13"/>
          <w:szCs w:val="13"/>
        </w:rPr>
        <w:t xml:space="preserve"> </w:t>
      </w:r>
      <w:r>
        <w:rPr>
          <w:b/>
          <w:bCs/>
        </w:rPr>
        <w:t>stations greater than 1</w:t>
      </w:r>
      <w:r w:rsidR="00EB76AF">
        <w:rPr>
          <w:b/>
          <w:bCs/>
        </w:rPr>
        <w:t xml:space="preserve"> </w:t>
      </w:r>
      <w:r>
        <w:rPr>
          <w:b/>
          <w:bCs/>
        </w:rPr>
        <w:t xml:space="preserve">MW </w:t>
      </w:r>
      <w:r w:rsidRPr="00046AD7">
        <w:rPr>
          <w:b/>
          <w:bCs/>
        </w:rPr>
        <w:t>Total Installed Capacity (TIC)</w:t>
      </w:r>
      <w:r>
        <w:rPr>
          <w:b/>
          <w:bCs/>
        </w:rPr>
        <w:t xml:space="preserve">. Compliance with the sustainability criteria is not linked to ROC issue for the </w:t>
      </w:r>
      <w:r w:rsidRPr="00A97760">
        <w:rPr>
          <w:b/>
          <w:bCs/>
        </w:rPr>
        <w:t xml:space="preserve">remaining </w:t>
      </w:r>
      <w:r>
        <w:rPr>
          <w:b/>
          <w:bCs/>
        </w:rPr>
        <w:t>21</w:t>
      </w:r>
      <w:r w:rsidR="00815F80">
        <w:rPr>
          <w:b/>
          <w:bCs/>
        </w:rPr>
        <w:t>9</w:t>
      </w:r>
      <w:r w:rsidR="00AB01BF">
        <w:rPr>
          <w:b/>
          <w:bCs/>
        </w:rPr>
        <w:t xml:space="preserve"> s</w:t>
      </w:r>
      <w:r w:rsidR="00AB01BF" w:rsidRPr="00A97760">
        <w:rPr>
          <w:b/>
          <w:bCs/>
        </w:rPr>
        <w:t>olid</w:t>
      </w:r>
      <w:r w:rsidR="00AB01BF">
        <w:rPr>
          <w:b/>
          <w:bCs/>
        </w:rPr>
        <w:t xml:space="preserve"> biomass and biogas stations smaller than 1</w:t>
      </w:r>
      <w:r w:rsidR="00EB76AF">
        <w:rPr>
          <w:b/>
          <w:bCs/>
        </w:rPr>
        <w:t xml:space="preserve"> </w:t>
      </w:r>
      <w:r w:rsidR="00AB01BF">
        <w:rPr>
          <w:b/>
          <w:bCs/>
        </w:rPr>
        <w:t>MW TIC.</w:t>
      </w:r>
      <w:r>
        <w:rPr>
          <w:b/>
          <w:bCs/>
        </w:rPr>
        <w:t xml:space="preserve"> The analysis in this chapter is based upon the data provided by these stations as part of their monthly and annual reporting requirements.</w:t>
      </w:r>
      <w:r>
        <w:rPr>
          <w:b/>
        </w:rPr>
        <w:t xml:space="preserve"> </w:t>
      </w:r>
      <w:r>
        <w:t xml:space="preserve"> </w:t>
      </w:r>
    </w:p>
    <w:p w14:paraId="6B33FDFF" w14:textId="77777777" w:rsidR="00382E03" w:rsidRPr="00921800" w:rsidRDefault="00382E03" w:rsidP="00AB01BF">
      <w:pPr>
        <w:spacing w:after="0" w:line="240" w:lineRule="auto"/>
        <w:jc w:val="both"/>
        <w:rPr>
          <w:rFonts w:ascii="Times New Roman" w:hAnsi="Times New Roman" w:cs="Times New Roman"/>
          <w:sz w:val="24"/>
          <w:szCs w:val="24"/>
        </w:rPr>
      </w:pPr>
    </w:p>
    <w:p w14:paraId="425334EA" w14:textId="77777777" w:rsidR="005E04E9" w:rsidRDefault="005E04E9" w:rsidP="003B35B0">
      <w:pPr>
        <w:pStyle w:val="Heading2"/>
        <w:rPr>
          <w:rFonts w:eastAsia="Times New Roman"/>
        </w:rPr>
      </w:pPr>
      <w:bookmarkStart w:id="99" w:name="_Toc98852152"/>
      <w:r>
        <w:rPr>
          <w:rFonts w:eastAsia="Times New Roman"/>
        </w:rPr>
        <w:t>Sustainability Criteria</w:t>
      </w:r>
      <w:bookmarkEnd w:id="99"/>
    </w:p>
    <w:p w14:paraId="46319EBD" w14:textId="7EEBD3EF" w:rsidR="005E46AD" w:rsidRDefault="00CC4236" w:rsidP="003B35B0">
      <w:pPr>
        <w:pStyle w:val="ListParagraph"/>
        <w:numPr>
          <w:ilvl w:val="0"/>
          <w:numId w:val="16"/>
        </w:numPr>
        <w:ind w:left="567" w:hanging="567"/>
      </w:pPr>
      <w:r w:rsidRPr="00CC4236">
        <w:t xml:space="preserve">All bioliquid stations, and solid biomass and/or biogas </w:t>
      </w:r>
      <w:r w:rsidR="002D3003">
        <w:t>(</w:t>
      </w:r>
      <w:r w:rsidR="002D3003" w:rsidRPr="002D3003">
        <w:t xml:space="preserve">gasification </w:t>
      </w:r>
      <w:r w:rsidR="002D3003">
        <w:t>or</w:t>
      </w:r>
      <w:r w:rsidR="002D3003" w:rsidRPr="002D3003">
        <w:t xml:space="preserve"> anaerobic digestion</w:t>
      </w:r>
      <w:r w:rsidRPr="00CC4236">
        <w:t xml:space="preserve"> stations</w:t>
      </w:r>
      <w:r w:rsidR="002D3003">
        <w:t>)</w:t>
      </w:r>
      <w:r w:rsidRPr="00CC4236">
        <w:t xml:space="preserve"> </w:t>
      </w:r>
      <w:r>
        <w:t xml:space="preserve">with a </w:t>
      </w:r>
      <w:r w:rsidR="005A3C81" w:rsidRPr="003B35B0">
        <w:rPr>
          <w:rStyle w:val="CH3normalChar"/>
        </w:rPr>
        <w:t>TIC greater</w:t>
      </w:r>
      <w:r w:rsidRPr="003B35B0">
        <w:rPr>
          <w:rStyle w:val="CH3normalChar"/>
        </w:rPr>
        <w:t xml:space="preserve"> than or equal to 1</w:t>
      </w:r>
      <w:r w:rsidR="00EB76AF">
        <w:rPr>
          <w:rStyle w:val="CH3normalChar"/>
        </w:rPr>
        <w:t xml:space="preserve"> </w:t>
      </w:r>
      <w:r w:rsidRPr="003B35B0">
        <w:rPr>
          <w:rStyle w:val="CH3normalChar"/>
        </w:rPr>
        <w:t>MW must report against and meet sustainability criteria to</w:t>
      </w:r>
      <w:r w:rsidRPr="00CC4236">
        <w:t xml:space="preserve"> be eligible for ROCs.</w:t>
      </w:r>
      <w:r>
        <w:t xml:space="preserve"> </w:t>
      </w:r>
      <w:r w:rsidRPr="00CC4236">
        <w:t xml:space="preserve">Solid biomass and/or biogas stations </w:t>
      </w:r>
      <w:r>
        <w:t xml:space="preserve">with a TIC less than </w:t>
      </w:r>
      <w:r w:rsidRPr="00CC4236">
        <w:t>1</w:t>
      </w:r>
      <w:r w:rsidR="00EB76AF">
        <w:t xml:space="preserve"> </w:t>
      </w:r>
      <w:r w:rsidRPr="00CC4236">
        <w:t xml:space="preserve">MW are required to report against the sustainability </w:t>
      </w:r>
      <w:r w:rsidR="00321FF7" w:rsidRPr="00CC4236">
        <w:t>criteria but</w:t>
      </w:r>
      <w:r w:rsidRPr="00CC4236">
        <w:t xml:space="preserve"> receiving ROCs does not depend on meeting the criteria.</w:t>
      </w:r>
    </w:p>
    <w:p w14:paraId="4EC1650B" w14:textId="7F86682E" w:rsidR="00CC4236" w:rsidRDefault="009E476D" w:rsidP="003B35B0">
      <w:pPr>
        <w:pStyle w:val="ListParagraph"/>
        <w:numPr>
          <w:ilvl w:val="0"/>
          <w:numId w:val="16"/>
        </w:numPr>
        <w:ind w:left="567" w:hanging="567"/>
      </w:pPr>
      <w:r>
        <w:t xml:space="preserve">There are two parts to the </w:t>
      </w:r>
      <w:r w:rsidR="00CC4236">
        <w:t>sustainability criteria:</w:t>
      </w:r>
    </w:p>
    <w:p w14:paraId="7BC2AA83" w14:textId="3B9A390A" w:rsidR="00CC4236" w:rsidRDefault="00CC4236" w:rsidP="003B35B0">
      <w:pPr>
        <w:pStyle w:val="ListParagraph"/>
        <w:numPr>
          <w:ilvl w:val="0"/>
          <w:numId w:val="47"/>
        </w:numPr>
        <w:spacing w:after="120"/>
        <w:ind w:left="1434" w:hanging="357"/>
      </w:pPr>
      <w:r w:rsidRPr="003B35B0">
        <w:rPr>
          <w:b/>
          <w:bCs/>
        </w:rPr>
        <w:t>Land criteria</w:t>
      </w:r>
      <w:r>
        <w:t>,</w:t>
      </w:r>
      <w:r w:rsidRPr="00CC4236">
        <w:t xml:space="preserve"> which focuses on the land from which the biomass is sourced</w:t>
      </w:r>
      <w:r w:rsidR="007D4D05">
        <w:t>.</w:t>
      </w:r>
    </w:p>
    <w:p w14:paraId="090E9E33" w14:textId="3ED0FF09" w:rsidR="00CC4236" w:rsidRDefault="00CC4236" w:rsidP="003B35B0">
      <w:pPr>
        <w:pStyle w:val="ListParagraph"/>
        <w:numPr>
          <w:ilvl w:val="0"/>
          <w:numId w:val="47"/>
        </w:numPr>
      </w:pPr>
      <w:r w:rsidRPr="003B35B0">
        <w:rPr>
          <w:b/>
          <w:bCs/>
        </w:rPr>
        <w:t>Greenhouse gas (GHG) criteria</w:t>
      </w:r>
      <w:r>
        <w:t>,</w:t>
      </w:r>
      <w:r w:rsidRPr="00CC4236">
        <w:t xml:space="preserve"> which account for the life cycle GHG emissions of the biomass.</w:t>
      </w:r>
    </w:p>
    <w:p w14:paraId="79A881F2" w14:textId="59B6B24C" w:rsidR="00CC4236" w:rsidRDefault="00FC4B0F" w:rsidP="003B35B0">
      <w:pPr>
        <w:pStyle w:val="CH3normal"/>
        <w:ind w:left="567" w:hanging="567"/>
      </w:pPr>
      <w:r>
        <w:t>To</w:t>
      </w:r>
      <w:r w:rsidR="00CC4236">
        <w:t xml:space="preserve"> comply </w:t>
      </w:r>
      <w:r w:rsidR="009E476D">
        <w:t>the</w:t>
      </w:r>
      <w:r w:rsidR="00CC4236">
        <w:t xml:space="preserve"> following requirements must be met:</w:t>
      </w:r>
    </w:p>
    <w:p w14:paraId="3583B29B" w14:textId="11B8C0C0" w:rsidR="00CC4236" w:rsidRDefault="00CC4236" w:rsidP="003B35B0">
      <w:pPr>
        <w:pStyle w:val="ListParagraph"/>
        <w:numPr>
          <w:ilvl w:val="0"/>
          <w:numId w:val="48"/>
        </w:numPr>
      </w:pPr>
      <w:r w:rsidRPr="003B35B0">
        <w:rPr>
          <w:b/>
          <w:bCs/>
        </w:rPr>
        <w:t xml:space="preserve">Land and GHG </w:t>
      </w:r>
      <w:r w:rsidR="00903557">
        <w:rPr>
          <w:b/>
          <w:bCs/>
        </w:rPr>
        <w:t>data</w:t>
      </w:r>
      <w:r w:rsidRPr="00CC4236">
        <w:t>. For all bioliquid</w:t>
      </w:r>
      <w:r w:rsidR="002A2682">
        <w:t xml:space="preserve"> stations</w:t>
      </w:r>
      <w:r w:rsidRPr="00CC4236">
        <w:t xml:space="preserve"> and stations </w:t>
      </w:r>
      <w:r w:rsidR="009E476D">
        <w:t xml:space="preserve">with a TIC greater than or equal to </w:t>
      </w:r>
      <w:r w:rsidRPr="00CC4236">
        <w:t>1</w:t>
      </w:r>
      <w:r w:rsidR="00EB76AF">
        <w:t xml:space="preserve"> </w:t>
      </w:r>
      <w:r w:rsidRPr="00CC4236">
        <w:t>MW using solid biomass and/or biogas fuels</w:t>
      </w:r>
      <w:r w:rsidR="009E476D">
        <w:t xml:space="preserve"> -</w:t>
      </w:r>
      <w:r w:rsidRPr="00CC4236">
        <w:t xml:space="preserve"> land use and GHG emission information is submitted </w:t>
      </w:r>
      <w:r w:rsidR="002A2682" w:rsidRPr="00CC4236">
        <w:t>monthly</w:t>
      </w:r>
      <w:r w:rsidRPr="00CC4236">
        <w:t>. For these stations both the land and GHG criteria must be met to be eligible for support. For stations</w:t>
      </w:r>
      <w:r w:rsidR="009E476D">
        <w:t xml:space="preserve"> with a TIC less than </w:t>
      </w:r>
      <w:r w:rsidRPr="00CC4236">
        <w:t>1</w:t>
      </w:r>
      <w:r w:rsidR="00EB76AF">
        <w:t xml:space="preserve"> </w:t>
      </w:r>
      <w:r w:rsidRPr="00CC4236">
        <w:t>MW using solid biomass and/or biogas this information is reported annually and does not link to ROC issue.</w:t>
      </w:r>
    </w:p>
    <w:p w14:paraId="7D7FBCBE" w14:textId="6A54EF90" w:rsidR="00CC4236" w:rsidRDefault="00CC4236" w:rsidP="003B35B0">
      <w:pPr>
        <w:pStyle w:val="ListParagraph"/>
        <w:numPr>
          <w:ilvl w:val="0"/>
          <w:numId w:val="48"/>
        </w:numPr>
      </w:pPr>
      <w:bookmarkStart w:id="100" w:name="_Hlk93917789"/>
      <w:r w:rsidRPr="003B35B0">
        <w:rPr>
          <w:b/>
          <w:bCs/>
        </w:rPr>
        <w:lastRenderedPageBreak/>
        <w:t>Annual profiling data</w:t>
      </w:r>
      <w:r w:rsidRPr="00CC4236">
        <w:t xml:space="preserve">. </w:t>
      </w:r>
      <w:r w:rsidR="009E476D">
        <w:t>This is</w:t>
      </w:r>
      <w:r w:rsidRPr="00CC4236">
        <w:t xml:space="preserve"> information submitted by the operator regarding the sustainability characteristics of their fuel. This includes information such as: </w:t>
      </w:r>
      <w:r w:rsidR="009E476D">
        <w:t xml:space="preserve">the </w:t>
      </w:r>
      <w:r w:rsidRPr="00CC4236">
        <w:t>type of biomass, the form of biomass</w:t>
      </w:r>
      <w:r w:rsidR="002D3003">
        <w:t xml:space="preserve"> (solid/liquid)</w:t>
      </w:r>
      <w:r w:rsidRPr="00CC4236">
        <w:t xml:space="preserve">, country of origin and whether it was wood or derived from wood. </w:t>
      </w:r>
      <w:r w:rsidR="009E476D">
        <w:t>All f</w:t>
      </w:r>
      <w:r w:rsidRPr="00CC4236">
        <w:t xml:space="preserve">uelled stations </w:t>
      </w:r>
      <w:r w:rsidR="009E476D">
        <w:t xml:space="preserve">with a </w:t>
      </w:r>
      <w:r w:rsidR="009E476D" w:rsidRPr="00CC4236">
        <w:t>declared net capacity (DNC)</w:t>
      </w:r>
      <w:r w:rsidR="009E476D">
        <w:t xml:space="preserve"> greater than </w:t>
      </w:r>
      <w:r w:rsidRPr="00CC4236">
        <w:t>50</w:t>
      </w:r>
      <w:r w:rsidR="00EB76AF">
        <w:t xml:space="preserve"> </w:t>
      </w:r>
      <w:r w:rsidRPr="00CC4236">
        <w:t>kW are required to provide this information</w:t>
      </w:r>
      <w:r w:rsidR="009C715F">
        <w:t>. ROC</w:t>
      </w:r>
      <w:r w:rsidR="00A10CAE">
        <w:t xml:space="preserve"> issue</w:t>
      </w:r>
      <w:r w:rsidR="009C715F">
        <w:t xml:space="preserve"> is suspended for stations that fail to submit profiling data or fail to meet the required standard.  </w:t>
      </w:r>
    </w:p>
    <w:bookmarkEnd w:id="100"/>
    <w:p w14:paraId="42363A78" w14:textId="3197AFFC" w:rsidR="00CC4236" w:rsidRDefault="00CC4236" w:rsidP="003B35B0">
      <w:pPr>
        <w:pStyle w:val="ListParagraph"/>
        <w:numPr>
          <w:ilvl w:val="0"/>
          <w:numId w:val="48"/>
        </w:numPr>
      </w:pPr>
      <w:r w:rsidRPr="003B35B0">
        <w:rPr>
          <w:b/>
          <w:bCs/>
        </w:rPr>
        <w:t>Annual Sustainability Audit Report</w:t>
      </w:r>
      <w:r w:rsidRPr="00CC4236">
        <w:t xml:space="preserve">. </w:t>
      </w:r>
      <w:r w:rsidR="009E476D">
        <w:t>This</w:t>
      </w:r>
      <w:r w:rsidRPr="00CC4236">
        <w:t xml:space="preserve"> is an independent audit report commissioned by </w:t>
      </w:r>
      <w:r w:rsidR="009E476D">
        <w:t xml:space="preserve">all </w:t>
      </w:r>
      <w:r w:rsidRPr="00CC4236">
        <w:t xml:space="preserve">generating stations using bioliquid fuels and stations </w:t>
      </w:r>
      <w:r w:rsidR="009E476D">
        <w:t>with a TIC greater than or equal to</w:t>
      </w:r>
      <w:r w:rsidR="009E476D" w:rsidRPr="00CC4236">
        <w:t xml:space="preserve"> </w:t>
      </w:r>
      <w:r w:rsidRPr="00CC4236">
        <w:t>1</w:t>
      </w:r>
      <w:r w:rsidR="00EB76AF">
        <w:t xml:space="preserve"> </w:t>
      </w:r>
      <w:r w:rsidRPr="00CC4236">
        <w:t>MW</w:t>
      </w:r>
      <w:r w:rsidR="00321FF7">
        <w:t>,</w:t>
      </w:r>
      <w:r w:rsidRPr="00CC4236">
        <w:t xml:space="preserve"> using solid biomass and/or biogas fuels. The aim of the audit is to verify the </w:t>
      </w:r>
      <w:r>
        <w:t xml:space="preserve">monthly </w:t>
      </w:r>
      <w:r w:rsidRPr="00CC4236">
        <w:t>sustainability information that has been submitted by the operator.</w:t>
      </w:r>
    </w:p>
    <w:p w14:paraId="44A403E4" w14:textId="75785469" w:rsidR="00382E03" w:rsidRDefault="00382E03" w:rsidP="003B35B0">
      <w:pPr>
        <w:pStyle w:val="CH3normal"/>
        <w:ind w:left="567" w:hanging="567"/>
      </w:pPr>
      <w:r w:rsidRPr="008A79DB">
        <w:t>The information in this chapter is based on the data provided by the operators of fuelled stations as part of their monthly and annual reporting requirements</w:t>
      </w:r>
      <w:r>
        <w:t xml:space="preserve">. There are a number of stations that have not yet been granted RO </w:t>
      </w:r>
      <w:r w:rsidR="00815F80">
        <w:t>accreditation but</w:t>
      </w:r>
      <w:r>
        <w:t xml:space="preserve"> will be eligible to receive ROCs for generation in the 2020-21 obligation period if accredited. It is important to note that this chapter only includes the information for stations that have been granted accreditation and had their sustainability information approved at the time of writing.</w:t>
      </w:r>
      <w:r w:rsidRPr="00901DD0">
        <w:rPr>
          <w:vertAlign w:val="superscript"/>
        </w:rPr>
        <w:footnoteReference w:id="15"/>
      </w:r>
    </w:p>
    <w:p w14:paraId="41C43189" w14:textId="2B2F3FF4" w:rsidR="005E04E9" w:rsidRPr="0094547D" w:rsidRDefault="005E04E9" w:rsidP="003B35B0">
      <w:pPr>
        <w:pStyle w:val="CH3normal"/>
        <w:ind w:left="567" w:hanging="567"/>
      </w:pPr>
      <w:r w:rsidRPr="008A79DB">
        <w:t xml:space="preserve">Some annual sustainability information has not yet been approved and therefore this information may be subject to change. </w:t>
      </w:r>
      <w:r w:rsidR="00FC4B0F" w:rsidRPr="008A79DB">
        <w:t>For</w:t>
      </w:r>
      <w:r w:rsidRPr="008A79DB">
        <w:t xml:space="preserve"> comparisons to be made</w:t>
      </w:r>
      <w:r w:rsidRPr="00901DD0">
        <w:rPr>
          <w:vertAlign w:val="superscript"/>
        </w:rPr>
        <w:footnoteReference w:id="16"/>
      </w:r>
      <w:r w:rsidRPr="008A79DB">
        <w:t xml:space="preserve">, the </w:t>
      </w:r>
      <w:r>
        <w:t>‘</w:t>
      </w:r>
      <w:r w:rsidRPr="008A79DB">
        <w:t>Renew</w:t>
      </w:r>
      <w:r>
        <w:t>ables Obligation: Annual Report 2018-19</w:t>
      </w:r>
      <w:r w:rsidRPr="00901DD0">
        <w:rPr>
          <w:vertAlign w:val="superscript"/>
        </w:rPr>
        <w:footnoteReference w:id="17"/>
      </w:r>
      <w:r>
        <w:t>, ‘</w:t>
      </w:r>
      <w:r w:rsidRPr="008A79DB">
        <w:t>Renew</w:t>
      </w:r>
      <w:r>
        <w:t>ables Obligation: Annual Report 2019-20’</w:t>
      </w:r>
      <w:r w:rsidRPr="00901DD0">
        <w:rPr>
          <w:vertAlign w:val="superscript"/>
        </w:rPr>
        <w:footnoteReference w:id="18"/>
      </w:r>
      <w:r>
        <w:t xml:space="preserve"> and </w:t>
      </w:r>
      <w:r w:rsidRPr="008A79DB">
        <w:t>asso</w:t>
      </w:r>
      <w:r>
        <w:t>ciated Sustainability Datasets</w:t>
      </w:r>
      <w:r w:rsidRPr="00901DD0">
        <w:rPr>
          <w:vertAlign w:val="superscript"/>
        </w:rPr>
        <w:footnoteReference w:id="19"/>
      </w:r>
      <w:r>
        <w:t xml:space="preserve"> </w:t>
      </w:r>
      <w:r w:rsidRPr="008A79DB">
        <w:t>were utilised</w:t>
      </w:r>
      <w:r>
        <w:t>.</w:t>
      </w:r>
    </w:p>
    <w:p w14:paraId="01835B4D" w14:textId="26588AA6" w:rsidR="005E04E9" w:rsidRDefault="005E04E9" w:rsidP="003B35B0">
      <w:pPr>
        <w:pStyle w:val="ListParagraph"/>
        <w:numPr>
          <w:ilvl w:val="0"/>
          <w:numId w:val="16"/>
        </w:numPr>
        <w:ind w:left="567" w:hanging="567"/>
      </w:pPr>
      <w:r w:rsidRPr="003B35B0">
        <w:rPr>
          <w:rStyle w:val="CH3normalChar"/>
        </w:rPr>
        <w:lastRenderedPageBreak/>
        <w:t>Additional information on the sustainability requirements can be found in the ‘Renewables Obligation: Sustainability Criteria Guidance’ and ‘Renewables Obligation: Sustainability Reporting Guidance’ available on our website</w:t>
      </w:r>
      <w:r>
        <w:t>.</w:t>
      </w:r>
      <w:r w:rsidRPr="00901DD0">
        <w:rPr>
          <w:vertAlign w:val="superscript"/>
        </w:rPr>
        <w:footnoteReference w:id="20"/>
      </w:r>
    </w:p>
    <w:p w14:paraId="0A73751B" w14:textId="56974D3B" w:rsidR="002D3003" w:rsidRDefault="002D3003" w:rsidP="003B35B0">
      <w:pPr>
        <w:pStyle w:val="Heading2"/>
        <w:rPr>
          <w:rFonts w:eastAsia="Times New Roman"/>
        </w:rPr>
      </w:pPr>
      <w:bookmarkStart w:id="101" w:name="_Toc98852153"/>
      <w:bookmarkStart w:id="102" w:name="_Hlk87856444"/>
      <w:r>
        <w:rPr>
          <w:rFonts w:eastAsia="Times New Roman"/>
        </w:rPr>
        <w:t>Performance Summary</w:t>
      </w:r>
      <w:bookmarkEnd w:id="101"/>
    </w:p>
    <w:p w14:paraId="2E09BE35" w14:textId="27FA09FF" w:rsidR="00AB01BF" w:rsidRDefault="00056601" w:rsidP="003B35B0">
      <w:pPr>
        <w:pStyle w:val="CH3normal"/>
        <w:ind w:left="567" w:hanging="567"/>
      </w:pPr>
      <w:bookmarkStart w:id="103" w:name="_Hlk93314013"/>
      <w:r>
        <w:t>Of the 13</w:t>
      </w:r>
      <w:r w:rsidR="00815F80">
        <w:t>1</w:t>
      </w:r>
      <w:r>
        <w:t xml:space="preserve"> stations required to submit an annual sustainability audit report, </w:t>
      </w:r>
      <w:r w:rsidR="00AB01BF" w:rsidRPr="00921800">
        <w:t>12</w:t>
      </w:r>
      <w:r w:rsidR="00815F80">
        <w:t>4</w:t>
      </w:r>
      <w:r w:rsidR="00AB01BF" w:rsidRPr="00F87B68">
        <w:t xml:space="preserve"> </w:t>
      </w:r>
      <w:r>
        <w:t>were presented</w:t>
      </w:r>
      <w:r w:rsidR="00AB01BF">
        <w:t xml:space="preserve"> to us in 2020-21. </w:t>
      </w:r>
      <w:r w:rsidR="00AB01BF" w:rsidRPr="00123DCD">
        <w:t>Of the reports submitted</w:t>
      </w:r>
      <w:r w:rsidR="00AB01BF">
        <w:t>,</w:t>
      </w:r>
      <w:r w:rsidR="00AB01BF" w:rsidRPr="00123DCD">
        <w:t xml:space="preserve"> </w:t>
      </w:r>
      <w:r w:rsidR="00AB01BF">
        <w:t>1</w:t>
      </w:r>
      <w:r w:rsidR="00815F80">
        <w:t>2</w:t>
      </w:r>
      <w:r w:rsidR="001C2D50">
        <w:t>1</w:t>
      </w:r>
      <w:r w:rsidR="00AB01BF">
        <w:t xml:space="preserve"> were of an adequate standard. There were</w:t>
      </w:r>
      <w:r w:rsidR="00AB01BF" w:rsidRPr="00901DD0">
        <w:t xml:space="preserve"> </w:t>
      </w:r>
      <w:r w:rsidR="00815F80">
        <w:t>t</w:t>
      </w:r>
      <w:r w:rsidR="001C2D50">
        <w:t>hree</w:t>
      </w:r>
      <w:r w:rsidR="00815F80" w:rsidRPr="00901DD0">
        <w:t xml:space="preserve"> </w:t>
      </w:r>
      <w:r w:rsidR="00AB01BF" w:rsidRPr="00901DD0">
        <w:t xml:space="preserve">reports </w:t>
      </w:r>
      <w:r w:rsidR="00AB01BF">
        <w:t xml:space="preserve">that </w:t>
      </w:r>
      <w:r w:rsidR="00AB01BF" w:rsidRPr="00901DD0">
        <w:t>have not met the required standard</w:t>
      </w:r>
      <w:r w:rsidR="00AB01BF">
        <w:t xml:space="preserve"> and a further</w:t>
      </w:r>
      <w:r w:rsidR="00AB01BF" w:rsidRPr="002B6210">
        <w:t xml:space="preserve"> </w:t>
      </w:r>
      <w:r w:rsidR="00815F80">
        <w:t>seven</w:t>
      </w:r>
      <w:r w:rsidR="00815F80" w:rsidRPr="002B6210">
        <w:t xml:space="preserve"> </w:t>
      </w:r>
      <w:r w:rsidR="00AB01BF" w:rsidRPr="00901DD0">
        <w:t xml:space="preserve">accredited RO stations that have not yet presented an audit report. We have suspended the ROCs </w:t>
      </w:r>
      <w:r w:rsidR="00815F80">
        <w:t xml:space="preserve">issue </w:t>
      </w:r>
      <w:r w:rsidR="00AB01BF" w:rsidRPr="00901DD0">
        <w:t xml:space="preserve">to these </w:t>
      </w:r>
      <w:r w:rsidR="00E10A8A">
        <w:t>ten</w:t>
      </w:r>
      <w:r w:rsidR="00AB01BF">
        <w:t xml:space="preserve"> </w:t>
      </w:r>
      <w:r w:rsidR="00AB01BF" w:rsidRPr="00901DD0">
        <w:t>stations as a result.</w:t>
      </w:r>
    </w:p>
    <w:p w14:paraId="41BAC145" w14:textId="7CE64B50" w:rsidR="00A27498" w:rsidRDefault="00A766E2" w:rsidP="003B35B0">
      <w:pPr>
        <w:pStyle w:val="CH3normal"/>
        <w:ind w:left="567" w:hanging="567"/>
      </w:pPr>
      <w:bookmarkStart w:id="104" w:name="_Hlk93314072"/>
      <w:bookmarkEnd w:id="102"/>
      <w:bookmarkEnd w:id="103"/>
      <w:r>
        <w:t>T</w:t>
      </w:r>
      <w:r w:rsidR="00A26073">
        <w:t>he 21</w:t>
      </w:r>
      <w:r w:rsidR="00815F80">
        <w:t>9</w:t>
      </w:r>
      <w:r w:rsidR="00A26073">
        <w:t xml:space="preserve"> stations </w:t>
      </w:r>
      <w:r>
        <w:t xml:space="preserve">not required to provide an annual sustainability report are still </w:t>
      </w:r>
      <w:r w:rsidR="00A26073">
        <w:t>required to provide</w:t>
      </w:r>
      <w:r>
        <w:t xml:space="preserve"> an</w:t>
      </w:r>
      <w:r w:rsidR="00A26073">
        <w:t xml:space="preserve"> </w:t>
      </w:r>
      <w:r>
        <w:t xml:space="preserve">annual </w:t>
      </w:r>
      <w:r w:rsidR="00A26073">
        <w:t>profiling dataset</w:t>
      </w:r>
      <w:r>
        <w:t>.</w:t>
      </w:r>
      <w:r w:rsidR="00A26073">
        <w:t xml:space="preserve"> </w:t>
      </w:r>
      <w:r w:rsidR="002D488A">
        <w:t>Of these</w:t>
      </w:r>
      <w:r w:rsidR="009C715F">
        <w:t>,</w:t>
      </w:r>
      <w:r w:rsidR="002D488A">
        <w:t xml:space="preserve"> o</w:t>
      </w:r>
      <w:r w:rsidR="00AB01BF" w:rsidRPr="00F87B68">
        <w:t>perators presented 2</w:t>
      </w:r>
      <w:r w:rsidR="00AB01BF">
        <w:t>0</w:t>
      </w:r>
      <w:r w:rsidR="00A66E74">
        <w:t>8</w:t>
      </w:r>
      <w:r w:rsidR="00AB01BF" w:rsidRPr="00F87B68">
        <w:t xml:space="preserve"> </w:t>
      </w:r>
      <w:r>
        <w:t xml:space="preserve">profiling datasets </w:t>
      </w:r>
      <w:r w:rsidR="00AB01BF" w:rsidRPr="0003550F">
        <w:t>to us in 20</w:t>
      </w:r>
      <w:r w:rsidR="00AB01BF">
        <w:t>20</w:t>
      </w:r>
      <w:r w:rsidR="00AB01BF" w:rsidRPr="0003550F">
        <w:t>-2</w:t>
      </w:r>
      <w:r w:rsidR="00AB01BF">
        <w:t>1</w:t>
      </w:r>
      <w:r w:rsidR="00AB01BF" w:rsidRPr="0003550F">
        <w:t>. Of the datasets submitted</w:t>
      </w:r>
      <w:r w:rsidR="00CA3019">
        <w:t>,</w:t>
      </w:r>
      <w:r w:rsidR="00AB01BF" w:rsidRPr="0003550F">
        <w:t xml:space="preserve"> </w:t>
      </w:r>
      <w:r w:rsidR="00A66E74">
        <w:t>203</w:t>
      </w:r>
      <w:r w:rsidR="00815F80">
        <w:t xml:space="preserve"> </w:t>
      </w:r>
      <w:r w:rsidR="00AB01BF" w:rsidRPr="0003550F">
        <w:t xml:space="preserve">were of an adequate standard and </w:t>
      </w:r>
      <w:r w:rsidR="00815F80">
        <w:t>five</w:t>
      </w:r>
      <w:r w:rsidR="00815F80" w:rsidRPr="0003550F">
        <w:t xml:space="preserve"> </w:t>
      </w:r>
      <w:r w:rsidR="00AB01BF" w:rsidRPr="0003550F">
        <w:t>have not met</w:t>
      </w:r>
      <w:r w:rsidR="00AB01BF" w:rsidRPr="00901DD0">
        <w:t xml:space="preserve"> the required standard.</w:t>
      </w:r>
      <w:r w:rsidR="00AB01BF">
        <w:t xml:space="preserve"> T</w:t>
      </w:r>
      <w:r w:rsidR="00AB01BF" w:rsidRPr="002B6210">
        <w:t xml:space="preserve">he </w:t>
      </w:r>
      <w:r>
        <w:t>remaining</w:t>
      </w:r>
      <w:r w:rsidR="00AB01BF" w:rsidRPr="002B6210">
        <w:t xml:space="preserve"> </w:t>
      </w:r>
      <w:r w:rsidR="00815F80">
        <w:t>11</w:t>
      </w:r>
      <w:r w:rsidR="00815F80" w:rsidRPr="002B6210">
        <w:t xml:space="preserve"> </w:t>
      </w:r>
      <w:r w:rsidR="00AB01BF" w:rsidRPr="00901DD0">
        <w:t>RO stati</w:t>
      </w:r>
      <w:r w:rsidR="00AB01BF">
        <w:t xml:space="preserve">ons have not </w:t>
      </w:r>
      <w:r>
        <w:t xml:space="preserve">at the time of writing </w:t>
      </w:r>
      <w:r w:rsidR="00AB01BF">
        <w:t>presented</w:t>
      </w:r>
      <w:r w:rsidR="00AB01BF" w:rsidRPr="00901DD0">
        <w:t xml:space="preserve"> </w:t>
      </w:r>
      <w:r w:rsidR="00AB01BF">
        <w:t>profiling data.</w:t>
      </w:r>
      <w:r w:rsidR="00AB01BF" w:rsidRPr="00901DD0">
        <w:t xml:space="preserve"> </w:t>
      </w:r>
      <w:r w:rsidR="00AB01BF">
        <w:t>W</w:t>
      </w:r>
      <w:r w:rsidR="00AB01BF" w:rsidRPr="00901DD0">
        <w:t>e have</w:t>
      </w:r>
      <w:r w:rsidR="00AB01BF">
        <w:t xml:space="preserve"> suspended ROC </w:t>
      </w:r>
      <w:r w:rsidR="003F00AC">
        <w:t xml:space="preserve">issue </w:t>
      </w:r>
      <w:r w:rsidR="00AB01BF">
        <w:t>where the datasets have not met the required standard or have not been submitted</w:t>
      </w:r>
      <w:bookmarkStart w:id="105" w:name="_Hlk87858041"/>
      <w:bookmarkStart w:id="106" w:name="_Hlk87857995"/>
      <w:r w:rsidR="00A37F23">
        <w:t>.</w:t>
      </w:r>
    </w:p>
    <w:bookmarkEnd w:id="104"/>
    <w:p w14:paraId="3D98BB6B" w14:textId="76D2EA7A" w:rsidR="00AB01BF" w:rsidRDefault="005C2D5D" w:rsidP="003B35B0">
      <w:pPr>
        <w:pStyle w:val="CH3normal"/>
        <w:ind w:left="567" w:hanging="567"/>
      </w:pPr>
      <w:r>
        <w:t xml:space="preserve">In total, </w:t>
      </w:r>
      <w:bookmarkStart w:id="107" w:name="_Hlk93056881"/>
      <w:bookmarkEnd w:id="105"/>
      <w:bookmarkEnd w:id="106"/>
      <w:r w:rsidR="00815F80">
        <w:t>32</w:t>
      </w:r>
      <w:r w:rsidR="00A66E74">
        <w:t>4</w:t>
      </w:r>
      <w:r w:rsidR="00CA3019" w:rsidRPr="001056E6">
        <w:t xml:space="preserve"> </w:t>
      </w:r>
      <w:r w:rsidR="00CA3019" w:rsidRPr="00F87B68">
        <w:t>stations reported against the sustainability criteria</w:t>
      </w:r>
      <w:r w:rsidR="003A6C2D">
        <w:t xml:space="preserve">. Information on the compliance of their fuel consignments, against the GHG and land use criteria can be seen in </w:t>
      </w:r>
      <w:r w:rsidR="003A6C2D" w:rsidRPr="003B35B0">
        <w:rPr>
          <w:b/>
          <w:bCs/>
        </w:rPr>
        <w:t>Table 3.1</w:t>
      </w:r>
      <w:r w:rsidR="00AB01BF" w:rsidRPr="00F87B68">
        <w:t xml:space="preserve">. There </w:t>
      </w:r>
      <w:r w:rsidR="008D114A">
        <w:t>are</w:t>
      </w:r>
      <w:r w:rsidR="00AB01BF">
        <w:t xml:space="preserve"> </w:t>
      </w:r>
      <w:r w:rsidR="00A66E74" w:rsidRPr="009A30A3">
        <w:t>two</w:t>
      </w:r>
      <w:r w:rsidR="00AB01BF" w:rsidRPr="00F87B68">
        <w:t xml:space="preserve"> generating station</w:t>
      </w:r>
      <w:r w:rsidR="008D114A">
        <w:t>s</w:t>
      </w:r>
      <w:r w:rsidR="00AB01BF" w:rsidRPr="00F87B68">
        <w:t xml:space="preserve"> </w:t>
      </w:r>
      <w:r w:rsidR="00AB01BF">
        <w:t>that</w:t>
      </w:r>
      <w:r w:rsidR="00AB01BF" w:rsidRPr="00235548">
        <w:t xml:space="preserve"> use both solid biomass fu</w:t>
      </w:r>
      <w:r w:rsidR="00AB01BF">
        <w:t>els and bioliquid fuels.</w:t>
      </w:r>
      <w:r w:rsidR="00AB01BF" w:rsidRPr="00235548">
        <w:t xml:space="preserve"> The</w:t>
      </w:r>
      <w:r w:rsidR="00AB01BF">
        <w:t xml:space="preserve"> consignments used by </w:t>
      </w:r>
      <w:r w:rsidR="003A6C2D">
        <w:t>t</w:t>
      </w:r>
      <w:r w:rsidR="008D114A">
        <w:t>hese</w:t>
      </w:r>
      <w:r w:rsidR="003A6C2D" w:rsidRPr="00235548">
        <w:t xml:space="preserve"> </w:t>
      </w:r>
      <w:r w:rsidR="00AB01BF" w:rsidRPr="00235548">
        <w:t>station</w:t>
      </w:r>
      <w:r w:rsidR="008D114A">
        <w:t>s</w:t>
      </w:r>
      <w:r w:rsidR="00AB01BF" w:rsidRPr="00235548">
        <w:t xml:space="preserve"> appear in each relevant section.</w:t>
      </w:r>
      <w:r w:rsidR="00AB01BF">
        <w:t xml:space="preserve"> </w:t>
      </w:r>
    </w:p>
    <w:p w14:paraId="488E13B2" w14:textId="6421BD2E" w:rsidR="002205F8" w:rsidRDefault="00AB01BF" w:rsidP="002A5DBD">
      <w:pPr>
        <w:pStyle w:val="CH3normal"/>
        <w:ind w:left="567" w:hanging="567"/>
      </w:pPr>
      <w:bookmarkStart w:id="108" w:name="_Hlk94262400"/>
      <w:bookmarkEnd w:id="107"/>
      <w:r w:rsidRPr="00F87B68">
        <w:t xml:space="preserve">There </w:t>
      </w:r>
      <w:r w:rsidR="008D114A">
        <w:t xml:space="preserve">were 30 bioliquid consignments, </w:t>
      </w:r>
      <w:r>
        <w:t xml:space="preserve">16 </w:t>
      </w:r>
      <w:r w:rsidR="00A86B2C">
        <w:t>a</w:t>
      </w:r>
      <w:r>
        <w:t xml:space="preserve">naerobic </w:t>
      </w:r>
      <w:r w:rsidR="00A86B2C">
        <w:t>d</w:t>
      </w:r>
      <w:r>
        <w:t>igestion</w:t>
      </w:r>
      <w:r w:rsidR="00A86B2C">
        <w:t xml:space="preserve"> (AD)</w:t>
      </w:r>
      <w:r>
        <w:t xml:space="preserve"> </w:t>
      </w:r>
      <w:r w:rsidRPr="00F87B68">
        <w:t>consignment</w:t>
      </w:r>
      <w:r w:rsidR="008D114A">
        <w:t>s, two solid biomass consignments and one gasification consignment,</w:t>
      </w:r>
      <w:r w:rsidR="00815F80">
        <w:t xml:space="preserve"> </w:t>
      </w:r>
      <w:r w:rsidR="008D114A">
        <w:t xml:space="preserve">which </w:t>
      </w:r>
      <w:r w:rsidR="00815F80">
        <w:t>did</w:t>
      </w:r>
      <w:r w:rsidRPr="00F87B68">
        <w:t xml:space="preserve"> not </w:t>
      </w:r>
      <w:r w:rsidR="00FC4B0F" w:rsidRPr="00F87B68">
        <w:t>meet</w:t>
      </w:r>
      <w:r w:rsidRPr="00F87B68">
        <w:t xml:space="preserve"> the GHG emissions</w:t>
      </w:r>
      <w:r>
        <w:t xml:space="preserve"> criteria</w:t>
      </w:r>
      <w:r w:rsidRPr="00F87B68">
        <w:t xml:space="preserve">. </w:t>
      </w:r>
      <w:r w:rsidR="00417145">
        <w:t>This is</w:t>
      </w:r>
      <w:r w:rsidR="00815F80">
        <w:t xml:space="preserve"> a significant rise in consignments </w:t>
      </w:r>
      <w:r w:rsidR="00417145">
        <w:t xml:space="preserve">not meeting the criteria </w:t>
      </w:r>
      <w:r w:rsidR="00815F80">
        <w:t>when compared to</w:t>
      </w:r>
      <w:r w:rsidRPr="00F87B68">
        <w:t xml:space="preserve"> 201</w:t>
      </w:r>
      <w:r>
        <w:t>9</w:t>
      </w:r>
      <w:r w:rsidRPr="00F87B68">
        <w:t>-</w:t>
      </w:r>
      <w:r>
        <w:t>20</w:t>
      </w:r>
      <w:r w:rsidR="00417145">
        <w:t>,</w:t>
      </w:r>
      <w:r w:rsidRPr="00F87B68">
        <w:t xml:space="preserve"> </w:t>
      </w:r>
      <w:r w:rsidR="00417145">
        <w:t>when</w:t>
      </w:r>
      <w:r w:rsidR="00815F80">
        <w:t xml:space="preserve"> </w:t>
      </w:r>
      <w:r w:rsidR="00200D41">
        <w:t xml:space="preserve">three bioliquid and </w:t>
      </w:r>
      <w:r w:rsidR="00815F80">
        <w:t xml:space="preserve">two AD consignments </w:t>
      </w:r>
      <w:r w:rsidR="00417145">
        <w:t xml:space="preserve">did </w:t>
      </w:r>
      <w:r w:rsidR="00815F80">
        <w:t>not meet the GHG threshold</w:t>
      </w:r>
      <w:r w:rsidRPr="00F87B68">
        <w:t>.</w:t>
      </w:r>
      <w:bookmarkStart w:id="109" w:name="_Hlk90624852"/>
      <w:r w:rsidR="00720253">
        <w:t xml:space="preserve"> </w:t>
      </w:r>
      <w:bookmarkStart w:id="110" w:name="_Hlk93057459"/>
      <w:r w:rsidR="00720253">
        <w:t xml:space="preserve">The increase in consignments not meeting GHG emissions criteria can be attributed to </w:t>
      </w:r>
      <w:r w:rsidR="00BC62B5">
        <w:t xml:space="preserve">more stringent </w:t>
      </w:r>
      <w:r w:rsidR="00720253">
        <w:t>GHG emissions thresholds, effective from 1 April 2020.</w:t>
      </w:r>
      <w:bookmarkEnd w:id="110"/>
    </w:p>
    <w:p w14:paraId="2A94E683" w14:textId="77777777" w:rsidR="00D259FC" w:rsidRDefault="00D259FC">
      <w:pPr>
        <w:spacing w:line="276" w:lineRule="auto"/>
      </w:pPr>
      <w:r>
        <w:br w:type="page"/>
      </w:r>
    </w:p>
    <w:p w14:paraId="3F419D58" w14:textId="0CD61F35" w:rsidR="00382E03" w:rsidRDefault="00382E03" w:rsidP="003B35B0">
      <w:pPr>
        <w:pStyle w:val="CH3normal"/>
        <w:numPr>
          <w:ilvl w:val="0"/>
          <w:numId w:val="0"/>
        </w:numPr>
        <w:spacing w:after="0"/>
        <w:rPr>
          <w:b/>
        </w:rPr>
      </w:pPr>
      <w:bookmarkStart w:id="111" w:name="_Hlk94264112"/>
      <w:bookmarkEnd w:id="108"/>
      <w:bookmarkEnd w:id="109"/>
      <w:r w:rsidRPr="00FC6500">
        <w:rPr>
          <w:b/>
        </w:rPr>
        <w:lastRenderedPageBreak/>
        <w:t>Table 3.1: Consignments</w:t>
      </w:r>
      <w:r w:rsidRPr="00FC6500">
        <w:rPr>
          <w:vertAlign w:val="superscript"/>
        </w:rPr>
        <w:footnoteReference w:id="21"/>
      </w:r>
      <w:r w:rsidRPr="00FC6500">
        <w:rPr>
          <w:b/>
        </w:rPr>
        <w:t xml:space="preserve"> reported by stations against the sustainability criteria, split by technology type and capacity</w:t>
      </w:r>
      <w:r w:rsidRPr="00FC6500">
        <w:rPr>
          <w:vertAlign w:val="superscript"/>
        </w:rPr>
        <w:footnoteReference w:id="22"/>
      </w:r>
    </w:p>
    <w:p w14:paraId="52386C34" w14:textId="0026737A" w:rsidR="00AB01BF" w:rsidRDefault="00AB01BF" w:rsidP="003B35B0">
      <w:pPr>
        <w:spacing w:after="0" w:line="240" w:lineRule="auto"/>
        <w:ind w:right="8"/>
        <w:jc w:val="both"/>
        <w:rPr>
          <w:sz w:val="16"/>
          <w:szCs w:val="16"/>
        </w:rPr>
      </w:pPr>
    </w:p>
    <w:tbl>
      <w:tblPr>
        <w:tblW w:w="10206" w:type="dxa"/>
        <w:tblLayout w:type="fixed"/>
        <w:tblLook w:val="04A0" w:firstRow="1" w:lastRow="0" w:firstColumn="1" w:lastColumn="0" w:noHBand="0" w:noVBand="1"/>
      </w:tblPr>
      <w:tblGrid>
        <w:gridCol w:w="1560"/>
        <w:gridCol w:w="1417"/>
        <w:gridCol w:w="1418"/>
        <w:gridCol w:w="1134"/>
        <w:gridCol w:w="971"/>
        <w:gridCol w:w="1235"/>
        <w:gridCol w:w="1235"/>
        <w:gridCol w:w="1236"/>
      </w:tblGrid>
      <w:tr w:rsidR="00C81D25" w:rsidRPr="002B175A" w14:paraId="48EEFBD8" w14:textId="77777777" w:rsidTr="003B35B0">
        <w:trPr>
          <w:trHeight w:val="537"/>
        </w:trPr>
        <w:tc>
          <w:tcPr>
            <w:tcW w:w="1560" w:type="dxa"/>
            <w:tcBorders>
              <w:top w:val="nil"/>
              <w:left w:val="nil"/>
              <w:bottom w:val="nil"/>
              <w:right w:val="nil"/>
            </w:tcBorders>
            <w:shd w:val="clear" w:color="auto" w:fill="auto"/>
            <w:noWrap/>
            <w:vAlign w:val="center"/>
            <w:hideMark/>
          </w:tcPr>
          <w:p w14:paraId="00CF5C72" w14:textId="77777777" w:rsidR="00CD2B48" w:rsidRPr="003B35B0" w:rsidRDefault="00CD2B48" w:rsidP="003B35B0">
            <w:pPr>
              <w:spacing w:after="0" w:line="240" w:lineRule="auto"/>
              <w:ind w:left="-242"/>
              <w:rPr>
                <w:rFonts w:ascii="Times New Roman" w:eastAsia="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000000" w:fill="2363AF"/>
            <w:vAlign w:val="center"/>
            <w:hideMark/>
          </w:tcPr>
          <w:p w14:paraId="2E1A4035"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Gasification stations</w:t>
            </w:r>
          </w:p>
        </w:tc>
        <w:tc>
          <w:tcPr>
            <w:tcW w:w="1418" w:type="dxa"/>
            <w:tcBorders>
              <w:top w:val="single" w:sz="4" w:space="0" w:color="auto"/>
              <w:left w:val="nil"/>
              <w:bottom w:val="single" w:sz="4" w:space="0" w:color="auto"/>
              <w:right w:val="single" w:sz="4" w:space="0" w:color="auto"/>
            </w:tcBorders>
            <w:shd w:val="clear" w:color="000000" w:fill="2363AF"/>
            <w:vAlign w:val="center"/>
            <w:hideMark/>
          </w:tcPr>
          <w:p w14:paraId="401DECF9"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Gasification stations</w:t>
            </w:r>
          </w:p>
        </w:tc>
        <w:tc>
          <w:tcPr>
            <w:tcW w:w="1134" w:type="dxa"/>
            <w:tcBorders>
              <w:top w:val="single" w:sz="4" w:space="0" w:color="auto"/>
              <w:left w:val="nil"/>
              <w:bottom w:val="single" w:sz="4" w:space="0" w:color="auto"/>
              <w:right w:val="single" w:sz="4" w:space="0" w:color="auto"/>
            </w:tcBorders>
            <w:shd w:val="clear" w:color="000000" w:fill="2363AF"/>
            <w:vAlign w:val="center"/>
            <w:hideMark/>
          </w:tcPr>
          <w:p w14:paraId="5718E8E1"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AD stations</w:t>
            </w:r>
          </w:p>
        </w:tc>
        <w:tc>
          <w:tcPr>
            <w:tcW w:w="971" w:type="dxa"/>
            <w:tcBorders>
              <w:top w:val="single" w:sz="4" w:space="0" w:color="auto"/>
              <w:left w:val="nil"/>
              <w:bottom w:val="single" w:sz="4" w:space="0" w:color="auto"/>
              <w:right w:val="single" w:sz="4" w:space="0" w:color="auto"/>
            </w:tcBorders>
            <w:shd w:val="clear" w:color="000000" w:fill="2363AF"/>
            <w:vAlign w:val="center"/>
            <w:hideMark/>
          </w:tcPr>
          <w:p w14:paraId="71AAEEC8"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AD stations</w:t>
            </w:r>
          </w:p>
        </w:tc>
        <w:tc>
          <w:tcPr>
            <w:tcW w:w="1235" w:type="dxa"/>
            <w:tcBorders>
              <w:top w:val="single" w:sz="4" w:space="0" w:color="auto"/>
              <w:left w:val="nil"/>
              <w:bottom w:val="single" w:sz="4" w:space="0" w:color="auto"/>
              <w:right w:val="single" w:sz="4" w:space="0" w:color="auto"/>
            </w:tcBorders>
            <w:shd w:val="clear" w:color="000000" w:fill="2363AF"/>
            <w:vAlign w:val="center"/>
            <w:hideMark/>
          </w:tcPr>
          <w:p w14:paraId="45974FD7"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Solid biomass stations</w:t>
            </w:r>
          </w:p>
        </w:tc>
        <w:tc>
          <w:tcPr>
            <w:tcW w:w="1235" w:type="dxa"/>
            <w:tcBorders>
              <w:top w:val="single" w:sz="4" w:space="0" w:color="auto"/>
              <w:left w:val="nil"/>
              <w:bottom w:val="single" w:sz="4" w:space="0" w:color="auto"/>
              <w:right w:val="single" w:sz="4" w:space="0" w:color="auto"/>
            </w:tcBorders>
            <w:shd w:val="clear" w:color="000000" w:fill="2363AF"/>
            <w:vAlign w:val="center"/>
            <w:hideMark/>
          </w:tcPr>
          <w:p w14:paraId="58DEB535"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Solid biomass stations</w:t>
            </w:r>
          </w:p>
        </w:tc>
        <w:tc>
          <w:tcPr>
            <w:tcW w:w="1236" w:type="dxa"/>
            <w:tcBorders>
              <w:top w:val="single" w:sz="4" w:space="0" w:color="auto"/>
              <w:left w:val="nil"/>
              <w:bottom w:val="nil"/>
              <w:right w:val="single" w:sz="4" w:space="0" w:color="auto"/>
            </w:tcBorders>
            <w:shd w:val="clear" w:color="000000" w:fill="2363AF"/>
            <w:vAlign w:val="center"/>
            <w:hideMark/>
          </w:tcPr>
          <w:p w14:paraId="72DAA4BE" w14:textId="77777777" w:rsidR="00CD2B48" w:rsidRPr="003B35B0" w:rsidRDefault="00CD2B48"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Bioliquid stations</w:t>
            </w:r>
          </w:p>
        </w:tc>
      </w:tr>
      <w:tr w:rsidR="00C81D25" w:rsidRPr="002B175A" w14:paraId="3ADBD180" w14:textId="77777777" w:rsidTr="00C81D25">
        <w:trPr>
          <w:trHeight w:val="301"/>
        </w:trPr>
        <w:tc>
          <w:tcPr>
            <w:tcW w:w="1560" w:type="dxa"/>
            <w:tcBorders>
              <w:top w:val="single" w:sz="4" w:space="0" w:color="auto"/>
              <w:left w:val="single" w:sz="4" w:space="0" w:color="auto"/>
              <w:bottom w:val="single" w:sz="4" w:space="0" w:color="auto"/>
              <w:right w:val="single" w:sz="4" w:space="0" w:color="auto"/>
            </w:tcBorders>
            <w:shd w:val="clear" w:color="000000" w:fill="2363AF"/>
            <w:vAlign w:val="center"/>
            <w:hideMark/>
          </w:tcPr>
          <w:p w14:paraId="134059D3" w14:textId="77777777" w:rsidR="00CD2B48" w:rsidRPr="003B35B0" w:rsidRDefault="00CD2B48" w:rsidP="00CD2B48">
            <w:pPr>
              <w:spacing w:after="0" w:line="240" w:lineRule="auto"/>
              <w:rPr>
                <w:rFonts w:eastAsia="Times New Roman" w:cs="Calibri"/>
                <w:color w:val="FFFFFF"/>
                <w:sz w:val="16"/>
                <w:szCs w:val="16"/>
              </w:rPr>
            </w:pPr>
            <w:r w:rsidRPr="003B35B0">
              <w:rPr>
                <w:rFonts w:eastAsia="Times New Roman" w:cs="Calibri"/>
                <w:color w:val="FFFFFF"/>
                <w:sz w:val="16"/>
                <w:szCs w:val="16"/>
              </w:rPr>
              <w:t>Meets the  criteria</w:t>
            </w:r>
          </w:p>
        </w:tc>
        <w:tc>
          <w:tcPr>
            <w:tcW w:w="1417" w:type="dxa"/>
            <w:tcBorders>
              <w:top w:val="nil"/>
              <w:left w:val="nil"/>
              <w:bottom w:val="nil"/>
              <w:right w:val="single" w:sz="4" w:space="0" w:color="auto"/>
            </w:tcBorders>
            <w:shd w:val="clear" w:color="000000" w:fill="2363AF"/>
            <w:noWrap/>
            <w:vAlign w:val="center"/>
            <w:hideMark/>
          </w:tcPr>
          <w:p w14:paraId="26C2AAA7" w14:textId="23471F01"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&lt;1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1418" w:type="dxa"/>
            <w:tcBorders>
              <w:top w:val="nil"/>
              <w:left w:val="nil"/>
              <w:bottom w:val="nil"/>
              <w:right w:val="single" w:sz="4" w:space="0" w:color="auto"/>
            </w:tcBorders>
            <w:shd w:val="clear" w:color="000000" w:fill="2363AF"/>
            <w:noWrap/>
            <w:vAlign w:val="center"/>
            <w:hideMark/>
          </w:tcPr>
          <w:p w14:paraId="15198896" w14:textId="7A7D35A3"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1134" w:type="dxa"/>
            <w:tcBorders>
              <w:top w:val="nil"/>
              <w:left w:val="nil"/>
              <w:bottom w:val="nil"/>
              <w:right w:val="single" w:sz="4" w:space="0" w:color="auto"/>
            </w:tcBorders>
            <w:shd w:val="clear" w:color="000000" w:fill="2363AF"/>
            <w:vAlign w:val="center"/>
            <w:hideMark/>
          </w:tcPr>
          <w:p w14:paraId="0F9993A6" w14:textId="307FAAF9"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&lt;1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971" w:type="dxa"/>
            <w:tcBorders>
              <w:top w:val="nil"/>
              <w:left w:val="nil"/>
              <w:bottom w:val="nil"/>
              <w:right w:val="single" w:sz="4" w:space="0" w:color="auto"/>
            </w:tcBorders>
            <w:shd w:val="clear" w:color="000000" w:fill="2363AF"/>
            <w:vAlign w:val="center"/>
            <w:hideMark/>
          </w:tcPr>
          <w:p w14:paraId="11C200C7" w14:textId="2CCED691"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1235" w:type="dxa"/>
            <w:tcBorders>
              <w:top w:val="nil"/>
              <w:left w:val="nil"/>
              <w:bottom w:val="nil"/>
              <w:right w:val="single" w:sz="4" w:space="0" w:color="auto"/>
            </w:tcBorders>
            <w:shd w:val="clear" w:color="000000" w:fill="2363AF"/>
            <w:vAlign w:val="center"/>
            <w:hideMark/>
          </w:tcPr>
          <w:p w14:paraId="5AA491FB" w14:textId="160A56CA"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&lt;1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1235" w:type="dxa"/>
            <w:tcBorders>
              <w:top w:val="nil"/>
              <w:left w:val="nil"/>
              <w:bottom w:val="nil"/>
              <w:right w:val="single" w:sz="4" w:space="0" w:color="auto"/>
            </w:tcBorders>
            <w:shd w:val="clear" w:color="000000" w:fill="2363AF"/>
            <w:vAlign w:val="center"/>
            <w:hideMark/>
          </w:tcPr>
          <w:p w14:paraId="76813328" w14:textId="25B03C41" w:rsidR="00CD2B48" w:rsidRPr="003B35B0" w:rsidRDefault="00CD2B48" w:rsidP="00CD2B48">
            <w:pPr>
              <w:spacing w:after="0" w:line="240" w:lineRule="auto"/>
              <w:jc w:val="right"/>
              <w:rPr>
                <w:rFonts w:eastAsia="Times New Roman" w:cs="Calibri"/>
                <w:color w:val="FFFFFF"/>
                <w:sz w:val="16"/>
                <w:szCs w:val="16"/>
              </w:rPr>
            </w:pPr>
            <w:r w:rsidRPr="003B35B0">
              <w:rPr>
                <w:rFonts w:eastAsia="Times New Roman" w:cs="Calibri"/>
                <w:color w:val="FFFFFF"/>
                <w:sz w:val="16"/>
                <w:szCs w:val="16"/>
              </w:rPr>
              <w:t>≥1</w:t>
            </w:r>
            <w:r w:rsidR="00EB76AF" w:rsidRPr="003B35B0">
              <w:rPr>
                <w:rFonts w:eastAsia="Times New Roman" w:cs="Calibri"/>
                <w:color w:val="FFFFFF"/>
                <w:sz w:val="16"/>
                <w:szCs w:val="16"/>
              </w:rPr>
              <w:t xml:space="preserve"> </w:t>
            </w:r>
            <w:r w:rsidRPr="003B35B0">
              <w:rPr>
                <w:rFonts w:eastAsia="Times New Roman" w:cs="Calibri"/>
                <w:color w:val="FFFFFF"/>
                <w:sz w:val="16"/>
                <w:szCs w:val="16"/>
              </w:rPr>
              <w:t>MW</w:t>
            </w:r>
          </w:p>
        </w:tc>
        <w:tc>
          <w:tcPr>
            <w:tcW w:w="1236" w:type="dxa"/>
            <w:tcBorders>
              <w:top w:val="single" w:sz="4" w:space="0" w:color="auto"/>
              <w:left w:val="nil"/>
              <w:bottom w:val="nil"/>
              <w:right w:val="single" w:sz="4" w:space="0" w:color="auto"/>
            </w:tcBorders>
            <w:shd w:val="clear" w:color="000000" w:fill="2363AF"/>
            <w:vAlign w:val="center"/>
            <w:hideMark/>
          </w:tcPr>
          <w:p w14:paraId="559471BA" w14:textId="5E28C69E" w:rsidR="00CD2B48" w:rsidRPr="003B35B0" w:rsidRDefault="00A62B84">
            <w:pPr>
              <w:spacing w:after="0" w:line="240" w:lineRule="auto"/>
              <w:jc w:val="right"/>
              <w:rPr>
                <w:rFonts w:eastAsia="Times New Roman" w:cs="Calibri"/>
                <w:color w:val="FFFFFF"/>
                <w:sz w:val="16"/>
                <w:szCs w:val="16"/>
              </w:rPr>
            </w:pPr>
            <w:r w:rsidRPr="003B35B0">
              <w:rPr>
                <w:rFonts w:eastAsia="Times New Roman" w:cs="Calibri"/>
                <w:color w:val="FFFFFF"/>
                <w:sz w:val="16"/>
                <w:szCs w:val="16"/>
              </w:rPr>
              <w:t>All</w:t>
            </w:r>
          </w:p>
        </w:tc>
      </w:tr>
      <w:tr w:rsidR="00C81D25" w:rsidRPr="002B175A" w14:paraId="5A91C44E" w14:textId="77777777" w:rsidTr="003B35B0">
        <w:trPr>
          <w:trHeight w:val="249"/>
        </w:trPr>
        <w:tc>
          <w:tcPr>
            <w:tcW w:w="1560" w:type="dxa"/>
            <w:tcBorders>
              <w:top w:val="single" w:sz="4" w:space="0" w:color="auto"/>
              <w:left w:val="single" w:sz="4" w:space="0" w:color="auto"/>
              <w:bottom w:val="single" w:sz="4" w:space="0" w:color="auto"/>
              <w:right w:val="nil"/>
            </w:tcBorders>
            <w:shd w:val="clear" w:color="auto" w:fill="auto"/>
            <w:vAlign w:val="center"/>
            <w:hideMark/>
          </w:tcPr>
          <w:p w14:paraId="1E00E8AE" w14:textId="3C714C2C"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Land - Yes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122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C2381AA"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320C08"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166</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0046E5E"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248</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50ACF5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19</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AC1D3A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1,354</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28E0FE8A"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24</w:t>
            </w:r>
          </w:p>
        </w:tc>
      </w:tr>
      <w:tr w:rsidR="00C81D25" w:rsidRPr="002B175A" w14:paraId="30990622" w14:textId="77777777" w:rsidTr="003B35B0">
        <w:trPr>
          <w:trHeight w:val="249"/>
        </w:trPr>
        <w:tc>
          <w:tcPr>
            <w:tcW w:w="1560" w:type="dxa"/>
            <w:tcBorders>
              <w:top w:val="nil"/>
              <w:left w:val="single" w:sz="4" w:space="0" w:color="auto"/>
              <w:bottom w:val="single" w:sz="4" w:space="0" w:color="auto"/>
              <w:right w:val="nil"/>
            </w:tcBorders>
            <w:shd w:val="clear" w:color="auto" w:fill="auto"/>
            <w:vAlign w:val="center"/>
            <w:hideMark/>
          </w:tcPr>
          <w:p w14:paraId="2524CBD0" w14:textId="7777777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Land - No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ABBE7C"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4AB75F4E"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77D01F61"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71" w:type="dxa"/>
            <w:tcBorders>
              <w:top w:val="nil"/>
              <w:left w:val="nil"/>
              <w:bottom w:val="single" w:sz="4" w:space="0" w:color="auto"/>
              <w:right w:val="single" w:sz="4" w:space="0" w:color="auto"/>
            </w:tcBorders>
            <w:shd w:val="clear" w:color="auto" w:fill="auto"/>
            <w:vAlign w:val="center"/>
            <w:hideMark/>
          </w:tcPr>
          <w:p w14:paraId="0650C999"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6452A1B6"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5112A69F"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6" w:type="dxa"/>
            <w:tcBorders>
              <w:top w:val="nil"/>
              <w:left w:val="nil"/>
              <w:bottom w:val="single" w:sz="4" w:space="0" w:color="auto"/>
              <w:right w:val="single" w:sz="4" w:space="0" w:color="auto"/>
            </w:tcBorders>
            <w:shd w:val="clear" w:color="auto" w:fill="auto"/>
            <w:vAlign w:val="center"/>
            <w:hideMark/>
          </w:tcPr>
          <w:p w14:paraId="538F03FE"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r>
      <w:tr w:rsidR="00C81D25" w:rsidRPr="002B175A" w14:paraId="46B546DC" w14:textId="77777777" w:rsidTr="003B35B0">
        <w:trPr>
          <w:trHeight w:val="249"/>
        </w:trPr>
        <w:tc>
          <w:tcPr>
            <w:tcW w:w="1560" w:type="dxa"/>
            <w:tcBorders>
              <w:top w:val="nil"/>
              <w:left w:val="single" w:sz="4" w:space="0" w:color="auto"/>
              <w:bottom w:val="single" w:sz="4" w:space="0" w:color="auto"/>
              <w:right w:val="nil"/>
            </w:tcBorders>
            <w:shd w:val="clear" w:color="auto" w:fill="auto"/>
            <w:vAlign w:val="center"/>
            <w:hideMark/>
          </w:tcPr>
          <w:p w14:paraId="798D1E8A" w14:textId="7777777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Land - Exempt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5D98C52"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E8E6C0"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51</w:t>
            </w:r>
          </w:p>
        </w:tc>
        <w:tc>
          <w:tcPr>
            <w:tcW w:w="1134" w:type="dxa"/>
            <w:tcBorders>
              <w:top w:val="nil"/>
              <w:left w:val="nil"/>
              <w:bottom w:val="single" w:sz="4" w:space="0" w:color="auto"/>
              <w:right w:val="single" w:sz="4" w:space="0" w:color="auto"/>
            </w:tcBorders>
            <w:shd w:val="clear" w:color="auto" w:fill="auto"/>
            <w:vAlign w:val="center"/>
            <w:hideMark/>
          </w:tcPr>
          <w:p w14:paraId="02E9401A"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285</w:t>
            </w:r>
          </w:p>
        </w:tc>
        <w:tc>
          <w:tcPr>
            <w:tcW w:w="971" w:type="dxa"/>
            <w:tcBorders>
              <w:top w:val="nil"/>
              <w:left w:val="nil"/>
              <w:bottom w:val="single" w:sz="4" w:space="0" w:color="auto"/>
              <w:right w:val="single" w:sz="4" w:space="0" w:color="auto"/>
            </w:tcBorders>
            <w:shd w:val="clear" w:color="auto" w:fill="auto"/>
            <w:vAlign w:val="center"/>
            <w:hideMark/>
          </w:tcPr>
          <w:p w14:paraId="494CCBBC"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1,138</w:t>
            </w:r>
          </w:p>
        </w:tc>
        <w:tc>
          <w:tcPr>
            <w:tcW w:w="1235" w:type="dxa"/>
            <w:tcBorders>
              <w:top w:val="nil"/>
              <w:left w:val="nil"/>
              <w:bottom w:val="single" w:sz="4" w:space="0" w:color="auto"/>
              <w:right w:val="single" w:sz="4" w:space="0" w:color="auto"/>
            </w:tcBorders>
            <w:shd w:val="clear" w:color="auto" w:fill="auto"/>
            <w:vAlign w:val="center"/>
            <w:hideMark/>
          </w:tcPr>
          <w:p w14:paraId="2230BE2C"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13</w:t>
            </w:r>
          </w:p>
        </w:tc>
        <w:tc>
          <w:tcPr>
            <w:tcW w:w="1235" w:type="dxa"/>
            <w:tcBorders>
              <w:top w:val="nil"/>
              <w:left w:val="nil"/>
              <w:bottom w:val="single" w:sz="4" w:space="0" w:color="auto"/>
              <w:right w:val="single" w:sz="4" w:space="0" w:color="auto"/>
            </w:tcBorders>
            <w:shd w:val="clear" w:color="auto" w:fill="auto"/>
            <w:vAlign w:val="center"/>
            <w:hideMark/>
          </w:tcPr>
          <w:p w14:paraId="42FC646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745</w:t>
            </w:r>
          </w:p>
        </w:tc>
        <w:tc>
          <w:tcPr>
            <w:tcW w:w="1236" w:type="dxa"/>
            <w:tcBorders>
              <w:top w:val="nil"/>
              <w:left w:val="nil"/>
              <w:bottom w:val="single" w:sz="4" w:space="0" w:color="auto"/>
              <w:right w:val="single" w:sz="4" w:space="0" w:color="auto"/>
            </w:tcBorders>
            <w:shd w:val="clear" w:color="auto" w:fill="auto"/>
            <w:vAlign w:val="center"/>
            <w:hideMark/>
          </w:tcPr>
          <w:p w14:paraId="67A52CD1"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378</w:t>
            </w:r>
          </w:p>
        </w:tc>
      </w:tr>
      <w:tr w:rsidR="00C81D25" w:rsidRPr="002B175A" w14:paraId="11EB98AE" w14:textId="77777777" w:rsidTr="003B35B0">
        <w:trPr>
          <w:trHeight w:val="301"/>
        </w:trPr>
        <w:tc>
          <w:tcPr>
            <w:tcW w:w="1560" w:type="dxa"/>
            <w:tcBorders>
              <w:top w:val="nil"/>
              <w:left w:val="single" w:sz="4" w:space="0" w:color="auto"/>
              <w:bottom w:val="single" w:sz="4" w:space="0" w:color="auto"/>
              <w:right w:val="nil"/>
            </w:tcBorders>
            <w:shd w:val="clear" w:color="auto" w:fill="auto"/>
            <w:vAlign w:val="center"/>
            <w:hideMark/>
          </w:tcPr>
          <w:p w14:paraId="336C4635" w14:textId="52B0095C"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 xml:space="preserve">Land </w:t>
            </w:r>
            <w:r w:rsidR="002B175A" w:rsidRPr="000371B8">
              <w:rPr>
                <w:rFonts w:eastAsia="Times New Roman" w:cs="Calibri"/>
                <w:bCs/>
                <w:color w:val="000000" w:themeColor="text1"/>
                <w:sz w:val="16"/>
                <w:szCs w:val="16"/>
              </w:rPr>
              <w:t>–</w:t>
            </w:r>
            <w:r w:rsidRPr="000371B8">
              <w:rPr>
                <w:rFonts w:eastAsia="Times New Roman" w:cs="Calibri"/>
                <w:bCs/>
                <w:color w:val="000000" w:themeColor="text1"/>
                <w:sz w:val="16"/>
                <w:szCs w:val="16"/>
              </w:rPr>
              <w:t xml:space="preserve"> Unknown</w:t>
            </w:r>
            <w:r w:rsidR="002B175A" w:rsidRPr="000371B8">
              <w:rPr>
                <w:rStyle w:val="FootnoteReference"/>
                <w:rFonts w:eastAsia="Times New Roman" w:cs="Calibri"/>
                <w:bCs/>
                <w:color w:val="000000" w:themeColor="text1"/>
                <w:sz w:val="16"/>
                <w:szCs w:val="16"/>
              </w:rPr>
              <w:footnoteReference w:id="23"/>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CE226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0A2694"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3676C3D9"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24</w:t>
            </w:r>
          </w:p>
        </w:tc>
        <w:tc>
          <w:tcPr>
            <w:tcW w:w="971" w:type="dxa"/>
            <w:tcBorders>
              <w:top w:val="nil"/>
              <w:left w:val="nil"/>
              <w:bottom w:val="single" w:sz="4" w:space="0" w:color="auto"/>
              <w:right w:val="single" w:sz="4" w:space="0" w:color="auto"/>
            </w:tcBorders>
            <w:shd w:val="clear" w:color="auto" w:fill="auto"/>
            <w:vAlign w:val="center"/>
            <w:hideMark/>
          </w:tcPr>
          <w:p w14:paraId="05442BA2"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234AAA7D"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027B3F9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6" w:type="dxa"/>
            <w:tcBorders>
              <w:top w:val="nil"/>
              <w:left w:val="nil"/>
              <w:bottom w:val="single" w:sz="4" w:space="0" w:color="auto"/>
              <w:right w:val="single" w:sz="4" w:space="0" w:color="auto"/>
            </w:tcBorders>
            <w:shd w:val="clear" w:color="auto" w:fill="auto"/>
            <w:vAlign w:val="center"/>
            <w:hideMark/>
          </w:tcPr>
          <w:p w14:paraId="4D42ACCA"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r>
      <w:tr w:rsidR="00C81D25" w:rsidRPr="002B175A" w14:paraId="1108B37C" w14:textId="77777777" w:rsidTr="003B35B0">
        <w:trPr>
          <w:trHeight w:val="249"/>
        </w:trPr>
        <w:tc>
          <w:tcPr>
            <w:tcW w:w="1560" w:type="dxa"/>
            <w:tcBorders>
              <w:top w:val="nil"/>
              <w:left w:val="single" w:sz="4" w:space="0" w:color="auto"/>
              <w:bottom w:val="single" w:sz="4" w:space="0" w:color="auto"/>
              <w:right w:val="nil"/>
            </w:tcBorders>
            <w:shd w:val="clear" w:color="auto" w:fill="auto"/>
            <w:vAlign w:val="center"/>
            <w:hideMark/>
          </w:tcPr>
          <w:p w14:paraId="164D06C8" w14:textId="7777777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GHG - Yes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409E9A5"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55</w:t>
            </w:r>
          </w:p>
        </w:tc>
        <w:tc>
          <w:tcPr>
            <w:tcW w:w="1418" w:type="dxa"/>
            <w:tcBorders>
              <w:top w:val="nil"/>
              <w:left w:val="nil"/>
              <w:bottom w:val="single" w:sz="4" w:space="0" w:color="auto"/>
              <w:right w:val="single" w:sz="4" w:space="0" w:color="auto"/>
            </w:tcBorders>
            <w:shd w:val="clear" w:color="auto" w:fill="auto"/>
            <w:noWrap/>
            <w:vAlign w:val="center"/>
            <w:hideMark/>
          </w:tcPr>
          <w:p w14:paraId="2B552141"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w:t>
            </w:r>
          </w:p>
        </w:tc>
        <w:tc>
          <w:tcPr>
            <w:tcW w:w="1134" w:type="dxa"/>
            <w:tcBorders>
              <w:top w:val="nil"/>
              <w:left w:val="nil"/>
              <w:bottom w:val="single" w:sz="4" w:space="0" w:color="auto"/>
              <w:right w:val="single" w:sz="4" w:space="0" w:color="auto"/>
            </w:tcBorders>
            <w:shd w:val="clear" w:color="auto" w:fill="auto"/>
            <w:vAlign w:val="center"/>
            <w:hideMark/>
          </w:tcPr>
          <w:p w14:paraId="7BE98AEF"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64</w:t>
            </w:r>
          </w:p>
        </w:tc>
        <w:tc>
          <w:tcPr>
            <w:tcW w:w="971" w:type="dxa"/>
            <w:tcBorders>
              <w:top w:val="nil"/>
              <w:left w:val="nil"/>
              <w:bottom w:val="single" w:sz="4" w:space="0" w:color="auto"/>
              <w:right w:val="single" w:sz="4" w:space="0" w:color="auto"/>
            </w:tcBorders>
            <w:shd w:val="clear" w:color="auto" w:fill="auto"/>
            <w:vAlign w:val="center"/>
            <w:hideMark/>
          </w:tcPr>
          <w:p w14:paraId="4983E83D"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410</w:t>
            </w:r>
          </w:p>
        </w:tc>
        <w:tc>
          <w:tcPr>
            <w:tcW w:w="1235" w:type="dxa"/>
            <w:tcBorders>
              <w:top w:val="nil"/>
              <w:left w:val="nil"/>
              <w:bottom w:val="single" w:sz="4" w:space="0" w:color="auto"/>
              <w:right w:val="single" w:sz="4" w:space="0" w:color="auto"/>
            </w:tcBorders>
            <w:shd w:val="clear" w:color="auto" w:fill="auto"/>
            <w:vAlign w:val="center"/>
            <w:hideMark/>
          </w:tcPr>
          <w:p w14:paraId="647137E9"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17</w:t>
            </w:r>
          </w:p>
        </w:tc>
        <w:tc>
          <w:tcPr>
            <w:tcW w:w="1235" w:type="dxa"/>
            <w:tcBorders>
              <w:top w:val="nil"/>
              <w:left w:val="nil"/>
              <w:bottom w:val="single" w:sz="4" w:space="0" w:color="auto"/>
              <w:right w:val="single" w:sz="4" w:space="0" w:color="auto"/>
            </w:tcBorders>
            <w:shd w:val="clear" w:color="auto" w:fill="auto"/>
            <w:vAlign w:val="center"/>
            <w:hideMark/>
          </w:tcPr>
          <w:p w14:paraId="667AD7FC"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1,533</w:t>
            </w:r>
          </w:p>
        </w:tc>
        <w:tc>
          <w:tcPr>
            <w:tcW w:w="1236" w:type="dxa"/>
            <w:tcBorders>
              <w:top w:val="nil"/>
              <w:left w:val="nil"/>
              <w:bottom w:val="single" w:sz="4" w:space="0" w:color="auto"/>
              <w:right w:val="single" w:sz="4" w:space="0" w:color="auto"/>
            </w:tcBorders>
            <w:shd w:val="clear" w:color="auto" w:fill="auto"/>
            <w:vAlign w:val="center"/>
            <w:hideMark/>
          </w:tcPr>
          <w:p w14:paraId="11BCBF6F"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372</w:t>
            </w:r>
          </w:p>
        </w:tc>
      </w:tr>
      <w:tr w:rsidR="00C81D25" w:rsidRPr="002B175A" w14:paraId="3D06FD7F" w14:textId="77777777" w:rsidTr="003B35B0">
        <w:trPr>
          <w:trHeight w:val="64"/>
        </w:trPr>
        <w:tc>
          <w:tcPr>
            <w:tcW w:w="1560" w:type="dxa"/>
            <w:tcBorders>
              <w:top w:val="nil"/>
              <w:left w:val="single" w:sz="4" w:space="0" w:color="auto"/>
              <w:bottom w:val="single" w:sz="4" w:space="0" w:color="auto"/>
              <w:right w:val="nil"/>
            </w:tcBorders>
            <w:shd w:val="clear" w:color="auto" w:fill="auto"/>
            <w:vAlign w:val="center"/>
            <w:hideMark/>
          </w:tcPr>
          <w:p w14:paraId="15DA4B54" w14:textId="7777777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GHG - No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288A097"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w:t>
            </w:r>
          </w:p>
        </w:tc>
        <w:tc>
          <w:tcPr>
            <w:tcW w:w="1418" w:type="dxa"/>
            <w:tcBorders>
              <w:top w:val="nil"/>
              <w:left w:val="nil"/>
              <w:bottom w:val="single" w:sz="4" w:space="0" w:color="auto"/>
              <w:right w:val="single" w:sz="4" w:space="0" w:color="auto"/>
            </w:tcBorders>
            <w:shd w:val="clear" w:color="auto" w:fill="auto"/>
            <w:noWrap/>
            <w:vAlign w:val="center"/>
            <w:hideMark/>
          </w:tcPr>
          <w:p w14:paraId="7E85C134"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6C51EDEF"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w:t>
            </w:r>
          </w:p>
        </w:tc>
        <w:tc>
          <w:tcPr>
            <w:tcW w:w="971" w:type="dxa"/>
            <w:tcBorders>
              <w:top w:val="nil"/>
              <w:left w:val="nil"/>
              <w:bottom w:val="single" w:sz="4" w:space="0" w:color="auto"/>
              <w:right w:val="single" w:sz="4" w:space="0" w:color="auto"/>
            </w:tcBorders>
            <w:shd w:val="clear" w:color="auto" w:fill="auto"/>
            <w:vAlign w:val="center"/>
            <w:hideMark/>
          </w:tcPr>
          <w:p w14:paraId="1E21E861"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13</w:t>
            </w:r>
          </w:p>
        </w:tc>
        <w:tc>
          <w:tcPr>
            <w:tcW w:w="1235" w:type="dxa"/>
            <w:tcBorders>
              <w:top w:val="nil"/>
              <w:left w:val="nil"/>
              <w:bottom w:val="single" w:sz="4" w:space="0" w:color="auto"/>
              <w:right w:val="single" w:sz="4" w:space="0" w:color="auto"/>
            </w:tcBorders>
            <w:shd w:val="clear" w:color="auto" w:fill="auto"/>
            <w:vAlign w:val="center"/>
            <w:hideMark/>
          </w:tcPr>
          <w:p w14:paraId="15DCA32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4C6B3DA5"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w:t>
            </w:r>
          </w:p>
        </w:tc>
        <w:tc>
          <w:tcPr>
            <w:tcW w:w="1236" w:type="dxa"/>
            <w:tcBorders>
              <w:top w:val="nil"/>
              <w:left w:val="nil"/>
              <w:bottom w:val="single" w:sz="4" w:space="0" w:color="auto"/>
              <w:right w:val="single" w:sz="4" w:space="0" w:color="auto"/>
            </w:tcBorders>
            <w:shd w:val="clear" w:color="auto" w:fill="auto"/>
            <w:vAlign w:val="center"/>
            <w:hideMark/>
          </w:tcPr>
          <w:p w14:paraId="4928CB2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30</w:t>
            </w:r>
          </w:p>
        </w:tc>
      </w:tr>
      <w:tr w:rsidR="00C81D25" w:rsidRPr="002B175A" w14:paraId="0C0F00CA" w14:textId="77777777" w:rsidTr="003B35B0">
        <w:trPr>
          <w:trHeight w:val="249"/>
        </w:trPr>
        <w:tc>
          <w:tcPr>
            <w:tcW w:w="1560" w:type="dxa"/>
            <w:tcBorders>
              <w:top w:val="nil"/>
              <w:left w:val="single" w:sz="4" w:space="0" w:color="auto"/>
              <w:bottom w:val="single" w:sz="4" w:space="0" w:color="auto"/>
              <w:right w:val="nil"/>
            </w:tcBorders>
            <w:shd w:val="clear" w:color="auto" w:fill="auto"/>
            <w:vAlign w:val="center"/>
            <w:hideMark/>
          </w:tcPr>
          <w:p w14:paraId="5037D8E9" w14:textId="7777777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GHG - Exempt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9895271"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2C6CD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51</w:t>
            </w:r>
          </w:p>
        </w:tc>
        <w:tc>
          <w:tcPr>
            <w:tcW w:w="1134" w:type="dxa"/>
            <w:tcBorders>
              <w:top w:val="nil"/>
              <w:left w:val="nil"/>
              <w:bottom w:val="single" w:sz="4" w:space="0" w:color="auto"/>
              <w:right w:val="single" w:sz="4" w:space="0" w:color="auto"/>
            </w:tcBorders>
            <w:shd w:val="clear" w:color="auto" w:fill="auto"/>
            <w:vAlign w:val="center"/>
            <w:hideMark/>
          </w:tcPr>
          <w:p w14:paraId="6757C832"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268</w:t>
            </w:r>
          </w:p>
        </w:tc>
        <w:tc>
          <w:tcPr>
            <w:tcW w:w="971" w:type="dxa"/>
            <w:tcBorders>
              <w:top w:val="nil"/>
              <w:left w:val="nil"/>
              <w:bottom w:val="single" w:sz="4" w:space="0" w:color="auto"/>
              <w:right w:val="single" w:sz="4" w:space="0" w:color="auto"/>
            </w:tcBorders>
            <w:shd w:val="clear" w:color="auto" w:fill="auto"/>
            <w:vAlign w:val="center"/>
            <w:hideMark/>
          </w:tcPr>
          <w:p w14:paraId="2DA81595"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963</w:t>
            </w:r>
          </w:p>
        </w:tc>
        <w:tc>
          <w:tcPr>
            <w:tcW w:w="1235" w:type="dxa"/>
            <w:tcBorders>
              <w:top w:val="nil"/>
              <w:left w:val="nil"/>
              <w:bottom w:val="single" w:sz="4" w:space="0" w:color="auto"/>
              <w:right w:val="single" w:sz="4" w:space="0" w:color="auto"/>
            </w:tcBorders>
            <w:shd w:val="clear" w:color="auto" w:fill="auto"/>
            <w:vAlign w:val="center"/>
            <w:hideMark/>
          </w:tcPr>
          <w:p w14:paraId="2450D2C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14</w:t>
            </w:r>
          </w:p>
        </w:tc>
        <w:tc>
          <w:tcPr>
            <w:tcW w:w="1235" w:type="dxa"/>
            <w:tcBorders>
              <w:top w:val="nil"/>
              <w:left w:val="nil"/>
              <w:bottom w:val="single" w:sz="4" w:space="0" w:color="auto"/>
              <w:right w:val="single" w:sz="4" w:space="0" w:color="auto"/>
            </w:tcBorders>
            <w:shd w:val="clear" w:color="auto" w:fill="auto"/>
            <w:vAlign w:val="center"/>
            <w:hideMark/>
          </w:tcPr>
          <w:p w14:paraId="4BB36B2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564</w:t>
            </w:r>
          </w:p>
        </w:tc>
        <w:tc>
          <w:tcPr>
            <w:tcW w:w="1236" w:type="dxa"/>
            <w:tcBorders>
              <w:top w:val="nil"/>
              <w:left w:val="nil"/>
              <w:bottom w:val="single" w:sz="4" w:space="0" w:color="auto"/>
              <w:right w:val="single" w:sz="4" w:space="0" w:color="auto"/>
            </w:tcBorders>
            <w:shd w:val="clear" w:color="auto" w:fill="auto"/>
            <w:vAlign w:val="center"/>
            <w:hideMark/>
          </w:tcPr>
          <w:p w14:paraId="3D233E04"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r>
      <w:tr w:rsidR="00C81D25" w:rsidRPr="002B175A" w14:paraId="5F601651" w14:textId="77777777" w:rsidTr="003B35B0">
        <w:trPr>
          <w:trHeight w:val="301"/>
        </w:trPr>
        <w:tc>
          <w:tcPr>
            <w:tcW w:w="1560" w:type="dxa"/>
            <w:tcBorders>
              <w:top w:val="nil"/>
              <w:left w:val="single" w:sz="4" w:space="0" w:color="auto"/>
              <w:bottom w:val="single" w:sz="4" w:space="0" w:color="auto"/>
              <w:right w:val="nil"/>
            </w:tcBorders>
            <w:shd w:val="clear" w:color="auto" w:fill="auto"/>
            <w:vAlign w:val="center"/>
            <w:hideMark/>
          </w:tcPr>
          <w:p w14:paraId="369DF6FC" w14:textId="04D41697" w:rsidR="00CD2B48" w:rsidRPr="000371B8" w:rsidRDefault="00CD2B48" w:rsidP="00CD2B48">
            <w:pPr>
              <w:spacing w:after="0" w:line="240" w:lineRule="auto"/>
              <w:rPr>
                <w:rFonts w:eastAsia="Times New Roman" w:cs="Calibri"/>
                <w:bCs/>
                <w:color w:val="000000" w:themeColor="text1"/>
                <w:sz w:val="16"/>
                <w:szCs w:val="16"/>
              </w:rPr>
            </w:pPr>
            <w:r w:rsidRPr="000371B8">
              <w:rPr>
                <w:rFonts w:eastAsia="Times New Roman" w:cs="Calibri"/>
                <w:bCs/>
                <w:color w:val="000000" w:themeColor="text1"/>
                <w:sz w:val="16"/>
                <w:szCs w:val="16"/>
              </w:rPr>
              <w:t xml:space="preserve">GHG </w:t>
            </w:r>
            <w:r w:rsidR="002B175A" w:rsidRPr="000371B8">
              <w:rPr>
                <w:rFonts w:eastAsia="Times New Roman" w:cs="Calibri"/>
                <w:bCs/>
                <w:color w:val="000000" w:themeColor="text1"/>
                <w:sz w:val="16"/>
                <w:szCs w:val="16"/>
              </w:rPr>
              <w:t>–</w:t>
            </w:r>
            <w:r w:rsidRPr="000371B8">
              <w:rPr>
                <w:rFonts w:eastAsia="Times New Roman" w:cs="Calibri"/>
                <w:bCs/>
                <w:color w:val="000000" w:themeColor="text1"/>
                <w:sz w:val="16"/>
                <w:szCs w:val="16"/>
              </w:rPr>
              <w:t xml:space="preserve"> Unknown</w:t>
            </w:r>
            <w:r w:rsidR="002B175A" w:rsidRPr="000371B8">
              <w:rPr>
                <w:rFonts w:eastAsia="Times New Roman" w:cs="Calibri"/>
                <w:bCs/>
                <w:color w:val="000000" w:themeColor="text1"/>
                <w:sz w:val="16"/>
                <w:szCs w:val="16"/>
                <w:vertAlign w:val="superscript"/>
              </w:rPr>
              <w:t>33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1904D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w:t>
            </w:r>
          </w:p>
        </w:tc>
        <w:tc>
          <w:tcPr>
            <w:tcW w:w="1418" w:type="dxa"/>
            <w:tcBorders>
              <w:top w:val="nil"/>
              <w:left w:val="nil"/>
              <w:bottom w:val="single" w:sz="4" w:space="0" w:color="auto"/>
              <w:right w:val="single" w:sz="4" w:space="0" w:color="auto"/>
            </w:tcBorders>
            <w:shd w:val="clear" w:color="auto" w:fill="auto"/>
            <w:noWrap/>
            <w:vAlign w:val="center"/>
            <w:hideMark/>
          </w:tcPr>
          <w:p w14:paraId="0BDB0658"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6C8F22D3"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140</w:t>
            </w:r>
          </w:p>
        </w:tc>
        <w:tc>
          <w:tcPr>
            <w:tcW w:w="971" w:type="dxa"/>
            <w:tcBorders>
              <w:top w:val="nil"/>
              <w:left w:val="nil"/>
              <w:bottom w:val="single" w:sz="4" w:space="0" w:color="auto"/>
              <w:right w:val="single" w:sz="4" w:space="0" w:color="auto"/>
            </w:tcBorders>
            <w:shd w:val="clear" w:color="auto" w:fill="auto"/>
            <w:vAlign w:val="center"/>
            <w:hideMark/>
          </w:tcPr>
          <w:p w14:paraId="4A37F615"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5" w:type="dxa"/>
            <w:tcBorders>
              <w:top w:val="nil"/>
              <w:left w:val="nil"/>
              <w:bottom w:val="single" w:sz="4" w:space="0" w:color="auto"/>
              <w:right w:val="single" w:sz="4" w:space="0" w:color="auto"/>
            </w:tcBorders>
            <w:shd w:val="clear" w:color="auto" w:fill="auto"/>
            <w:vAlign w:val="center"/>
            <w:hideMark/>
          </w:tcPr>
          <w:p w14:paraId="5FE8602A"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w:t>
            </w:r>
          </w:p>
        </w:tc>
        <w:tc>
          <w:tcPr>
            <w:tcW w:w="1235" w:type="dxa"/>
            <w:tcBorders>
              <w:top w:val="nil"/>
              <w:left w:val="nil"/>
              <w:bottom w:val="single" w:sz="4" w:space="0" w:color="auto"/>
              <w:right w:val="single" w:sz="4" w:space="0" w:color="auto"/>
            </w:tcBorders>
            <w:shd w:val="clear" w:color="auto" w:fill="auto"/>
            <w:vAlign w:val="center"/>
            <w:hideMark/>
          </w:tcPr>
          <w:p w14:paraId="70BE119B"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236" w:type="dxa"/>
            <w:tcBorders>
              <w:top w:val="nil"/>
              <w:left w:val="nil"/>
              <w:bottom w:val="single" w:sz="4" w:space="0" w:color="auto"/>
              <w:right w:val="single" w:sz="4" w:space="0" w:color="auto"/>
            </w:tcBorders>
            <w:shd w:val="clear" w:color="auto" w:fill="auto"/>
            <w:vAlign w:val="center"/>
            <w:hideMark/>
          </w:tcPr>
          <w:p w14:paraId="46B66C28" w14:textId="77777777" w:rsidR="00CD2B48" w:rsidRPr="003B35B0" w:rsidRDefault="00CD2B48" w:rsidP="00CD2B48">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r>
    </w:tbl>
    <w:p w14:paraId="054BCDBD" w14:textId="347CAF83" w:rsidR="00CD2B48" w:rsidRDefault="00AB01BF" w:rsidP="003B35B0">
      <w:pPr>
        <w:spacing w:after="212" w:line="268" w:lineRule="auto"/>
        <w:ind w:right="8"/>
        <w:rPr>
          <w:sz w:val="16"/>
          <w:szCs w:val="16"/>
        </w:rPr>
      </w:pPr>
      <w:r w:rsidRPr="00A27498">
        <w:rPr>
          <w:sz w:val="16"/>
          <w:szCs w:val="16"/>
        </w:rPr>
        <w:t>N.B. The number of consignments reported varies between stations.</w:t>
      </w:r>
    </w:p>
    <w:bookmarkEnd w:id="111"/>
    <w:p w14:paraId="39BE656F" w14:textId="3756D33F" w:rsidR="00482CEB" w:rsidRDefault="00AB01BF" w:rsidP="003B35B0">
      <w:pPr>
        <w:pStyle w:val="CH3normal"/>
        <w:ind w:left="567" w:hanging="567"/>
        <w:rPr>
          <w:b/>
          <w:bCs/>
        </w:rPr>
      </w:pPr>
      <w:r w:rsidRPr="00336963">
        <w:t xml:space="preserve">The average life cycle GHG emissions for the biomass used is shown in </w:t>
      </w:r>
      <w:r w:rsidRPr="00A27498">
        <w:rPr>
          <w:b/>
        </w:rPr>
        <w:t>Table 3.2</w:t>
      </w:r>
      <w:r w:rsidRPr="00336963">
        <w:t>, split by technology type. For bioliquids, the GHG criteria is based on a percentage emission saving against the fossil fuel comparator</w:t>
      </w:r>
      <w:r w:rsidR="00105D43" w:rsidRPr="00336963">
        <w:t>.</w:t>
      </w:r>
      <w:r w:rsidRPr="00336963">
        <w:rPr>
          <w:vertAlign w:val="superscript"/>
        </w:rPr>
        <w:footnoteReference w:id="24"/>
      </w:r>
      <w:r w:rsidRPr="00336963">
        <w:t xml:space="preserve"> </w:t>
      </w:r>
      <w:r w:rsidRPr="00A27498">
        <w:rPr>
          <w:rFonts w:eastAsia="Times New Roman"/>
        </w:rPr>
        <w:t>During 2020-21 there was a reduction in the weighted average GHG emission for solid biomass</w:t>
      </w:r>
      <w:r w:rsidR="00892500">
        <w:rPr>
          <w:rFonts w:eastAsia="Times New Roman"/>
        </w:rPr>
        <w:t xml:space="preserve"> and</w:t>
      </w:r>
      <w:r w:rsidRPr="00A27498">
        <w:rPr>
          <w:rFonts w:eastAsia="Times New Roman"/>
        </w:rPr>
        <w:t xml:space="preserve"> anaerobic digestion consignments. However, </w:t>
      </w:r>
      <w:r w:rsidR="005E04E9" w:rsidRPr="005E04E9">
        <w:rPr>
          <w:rFonts w:eastAsia="Times New Roman"/>
        </w:rPr>
        <w:t>GHG emissions from gasification stations rose by over 1</w:t>
      </w:r>
      <w:r w:rsidR="005A3E13">
        <w:rPr>
          <w:rFonts w:eastAsia="Times New Roman"/>
        </w:rPr>
        <w:t>0</w:t>
      </w:r>
      <w:r w:rsidR="005E04E9" w:rsidRPr="005E04E9">
        <w:rPr>
          <w:rFonts w:eastAsia="Times New Roman"/>
        </w:rPr>
        <w:t>% and those from bioliquid stations also rose, leading to fall in emissions savings of almost two percentage points</w:t>
      </w:r>
      <w:r w:rsidRPr="00A27498">
        <w:rPr>
          <w:rFonts w:eastAsia="Times New Roman"/>
        </w:rPr>
        <w:t>.</w:t>
      </w:r>
    </w:p>
    <w:p w14:paraId="32ED2FD1" w14:textId="37F63329" w:rsidR="00AB01BF" w:rsidRDefault="00C81D25">
      <w:pPr>
        <w:spacing w:after="160" w:line="312" w:lineRule="auto"/>
        <w:jc w:val="both"/>
        <w:rPr>
          <w:b/>
          <w:bCs/>
        </w:rPr>
      </w:pPr>
      <w:r>
        <w:rPr>
          <w:b/>
          <w:bCs/>
        </w:rPr>
        <w:t>T</w:t>
      </w:r>
      <w:r w:rsidR="00AB01BF" w:rsidRPr="00482CEB">
        <w:rPr>
          <w:b/>
          <w:bCs/>
        </w:rPr>
        <w:t xml:space="preserve">able 3.2: Weighted </w:t>
      </w:r>
      <w:r w:rsidR="00AB01BF" w:rsidRPr="00F14235">
        <w:rPr>
          <w:b/>
        </w:rPr>
        <w:t>ave</w:t>
      </w:r>
      <w:r w:rsidR="00AB01BF" w:rsidRPr="001F0E7D">
        <w:rPr>
          <w:b/>
        </w:rPr>
        <w:t>rage</w:t>
      </w:r>
      <w:r w:rsidR="00AB01BF" w:rsidRPr="00482CEB">
        <w:rPr>
          <w:b/>
          <w:bCs/>
        </w:rPr>
        <w:t xml:space="preserve"> GHG emission figures and thresholds by technology type</w:t>
      </w:r>
    </w:p>
    <w:tbl>
      <w:tblPr>
        <w:tblW w:w="10206" w:type="dxa"/>
        <w:tblLook w:val="04A0" w:firstRow="1" w:lastRow="0" w:firstColumn="1" w:lastColumn="0" w:noHBand="0" w:noVBand="1"/>
      </w:tblPr>
      <w:tblGrid>
        <w:gridCol w:w="1843"/>
        <w:gridCol w:w="2126"/>
        <w:gridCol w:w="1843"/>
        <w:gridCol w:w="2268"/>
        <w:gridCol w:w="2126"/>
      </w:tblGrid>
      <w:tr w:rsidR="004C47CF" w:rsidRPr="006E0CF2" w14:paraId="493DEE11" w14:textId="77777777" w:rsidTr="003B35B0">
        <w:trPr>
          <w:trHeight w:val="302"/>
        </w:trPr>
        <w:tc>
          <w:tcPr>
            <w:tcW w:w="1843" w:type="dxa"/>
            <w:tcBorders>
              <w:top w:val="nil"/>
              <w:left w:val="nil"/>
              <w:bottom w:val="nil"/>
              <w:right w:val="nil"/>
            </w:tcBorders>
            <w:shd w:val="clear" w:color="auto" w:fill="auto"/>
            <w:noWrap/>
            <w:hideMark/>
          </w:tcPr>
          <w:p w14:paraId="792B5DE3" w14:textId="77777777" w:rsidR="006E0CF2" w:rsidRPr="003B35B0" w:rsidRDefault="006E0CF2" w:rsidP="006E0CF2">
            <w:pPr>
              <w:spacing w:after="0" w:line="240" w:lineRule="auto"/>
              <w:rPr>
                <w:rFonts w:ascii="Times New Roman" w:eastAsia="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000000" w:fill="2363AF"/>
            <w:vAlign w:val="center"/>
            <w:hideMark/>
          </w:tcPr>
          <w:p w14:paraId="0FBDBD56" w14:textId="77777777" w:rsidR="006E0CF2" w:rsidRPr="003B35B0" w:rsidRDefault="006E0CF2"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Gasification Stations (</w:t>
            </w:r>
            <w:proofErr w:type="spellStart"/>
            <w:r w:rsidRPr="003B35B0">
              <w:rPr>
                <w:rFonts w:eastAsia="Times New Roman" w:cs="Calibri"/>
                <w:color w:val="FFFFFF"/>
                <w:sz w:val="16"/>
                <w:szCs w:val="16"/>
              </w:rPr>
              <w:t>gGHG</w:t>
            </w:r>
            <w:proofErr w:type="spellEnd"/>
            <w:r w:rsidRPr="003B35B0">
              <w:rPr>
                <w:rFonts w:eastAsia="Times New Roman" w:cs="Calibri"/>
                <w:color w:val="FFFFFF"/>
                <w:sz w:val="16"/>
                <w:szCs w:val="16"/>
              </w:rPr>
              <w:t>/MJ)</w:t>
            </w:r>
          </w:p>
        </w:tc>
        <w:tc>
          <w:tcPr>
            <w:tcW w:w="1843" w:type="dxa"/>
            <w:tcBorders>
              <w:top w:val="single" w:sz="4" w:space="0" w:color="auto"/>
              <w:left w:val="nil"/>
              <w:bottom w:val="single" w:sz="4" w:space="0" w:color="auto"/>
              <w:right w:val="single" w:sz="4" w:space="0" w:color="auto"/>
            </w:tcBorders>
            <w:shd w:val="clear" w:color="000000" w:fill="2363AF"/>
            <w:vAlign w:val="center"/>
            <w:hideMark/>
          </w:tcPr>
          <w:p w14:paraId="7D15470F" w14:textId="77777777" w:rsidR="006E0CF2" w:rsidRPr="003B35B0" w:rsidRDefault="006E0CF2"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AD Stations (</w:t>
            </w:r>
            <w:proofErr w:type="spellStart"/>
            <w:r w:rsidRPr="003B35B0">
              <w:rPr>
                <w:rFonts w:eastAsia="Times New Roman" w:cs="Calibri"/>
                <w:color w:val="FFFFFF"/>
                <w:sz w:val="16"/>
                <w:szCs w:val="16"/>
              </w:rPr>
              <w:t>gGHG</w:t>
            </w:r>
            <w:proofErr w:type="spellEnd"/>
            <w:r w:rsidRPr="003B35B0">
              <w:rPr>
                <w:rFonts w:eastAsia="Times New Roman" w:cs="Calibri"/>
                <w:color w:val="FFFFFF"/>
                <w:sz w:val="16"/>
                <w:szCs w:val="16"/>
              </w:rPr>
              <w:t>/MJ)</w:t>
            </w:r>
          </w:p>
        </w:tc>
        <w:tc>
          <w:tcPr>
            <w:tcW w:w="2268" w:type="dxa"/>
            <w:tcBorders>
              <w:top w:val="single" w:sz="4" w:space="0" w:color="auto"/>
              <w:left w:val="nil"/>
              <w:bottom w:val="single" w:sz="4" w:space="0" w:color="auto"/>
              <w:right w:val="single" w:sz="4" w:space="0" w:color="auto"/>
            </w:tcBorders>
            <w:shd w:val="clear" w:color="000000" w:fill="2363AF"/>
            <w:vAlign w:val="center"/>
            <w:hideMark/>
          </w:tcPr>
          <w:p w14:paraId="3453FAD8" w14:textId="77777777" w:rsidR="006E0CF2" w:rsidRPr="003B35B0" w:rsidRDefault="006E0CF2"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Solid Biomass Stations (</w:t>
            </w:r>
            <w:proofErr w:type="spellStart"/>
            <w:r w:rsidRPr="003B35B0">
              <w:rPr>
                <w:rFonts w:eastAsia="Times New Roman" w:cs="Calibri"/>
                <w:color w:val="FFFFFF"/>
                <w:sz w:val="16"/>
                <w:szCs w:val="16"/>
              </w:rPr>
              <w:t>gGHG</w:t>
            </w:r>
            <w:proofErr w:type="spellEnd"/>
            <w:r w:rsidRPr="003B35B0">
              <w:rPr>
                <w:rFonts w:eastAsia="Times New Roman" w:cs="Calibri"/>
                <w:color w:val="FFFFFF"/>
                <w:sz w:val="16"/>
                <w:szCs w:val="16"/>
              </w:rPr>
              <w:t>/MJ)</w:t>
            </w:r>
          </w:p>
        </w:tc>
        <w:tc>
          <w:tcPr>
            <w:tcW w:w="2126" w:type="dxa"/>
            <w:tcBorders>
              <w:top w:val="single" w:sz="4" w:space="0" w:color="auto"/>
              <w:left w:val="nil"/>
              <w:bottom w:val="single" w:sz="4" w:space="0" w:color="auto"/>
              <w:right w:val="single" w:sz="4" w:space="0" w:color="auto"/>
            </w:tcBorders>
            <w:shd w:val="clear" w:color="000000" w:fill="2363AF"/>
            <w:vAlign w:val="center"/>
            <w:hideMark/>
          </w:tcPr>
          <w:p w14:paraId="14CAF5A1" w14:textId="77777777" w:rsidR="006E0CF2" w:rsidRPr="003B35B0" w:rsidRDefault="006E0CF2" w:rsidP="003B35B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Bioliquid Stations (% savings)</w:t>
            </w:r>
          </w:p>
        </w:tc>
      </w:tr>
      <w:tr w:rsidR="004C47CF" w:rsidRPr="006E0CF2" w14:paraId="1BD55048" w14:textId="77777777" w:rsidTr="003B35B0">
        <w:trPr>
          <w:trHeight w:val="249"/>
        </w:trPr>
        <w:tc>
          <w:tcPr>
            <w:tcW w:w="1843" w:type="dxa"/>
            <w:tcBorders>
              <w:top w:val="single" w:sz="4" w:space="0" w:color="auto"/>
              <w:left w:val="single" w:sz="4" w:space="0" w:color="auto"/>
              <w:bottom w:val="single" w:sz="4" w:space="0" w:color="auto"/>
              <w:right w:val="nil"/>
            </w:tcBorders>
            <w:shd w:val="clear" w:color="000000" w:fill="2363AF"/>
            <w:noWrap/>
            <w:vAlign w:val="center"/>
            <w:hideMark/>
          </w:tcPr>
          <w:p w14:paraId="67E2CE13" w14:textId="77777777" w:rsidR="006E0CF2" w:rsidRPr="003B35B0" w:rsidRDefault="006E0CF2" w:rsidP="006E0CF2">
            <w:pPr>
              <w:spacing w:after="0" w:line="240" w:lineRule="auto"/>
              <w:jc w:val="both"/>
              <w:rPr>
                <w:rFonts w:eastAsia="Times New Roman" w:cs="Calibri"/>
                <w:color w:val="FFFFFF"/>
                <w:sz w:val="16"/>
                <w:szCs w:val="16"/>
              </w:rPr>
            </w:pPr>
            <w:r w:rsidRPr="003B35B0">
              <w:rPr>
                <w:rFonts w:eastAsia="Times New Roman" w:cs="Calibri"/>
                <w:color w:val="FFFFFF"/>
                <w:sz w:val="16"/>
                <w:szCs w:val="16"/>
              </w:rPr>
              <w:t>2018-19</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308AF2F"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24.35</w:t>
            </w:r>
          </w:p>
        </w:tc>
        <w:tc>
          <w:tcPr>
            <w:tcW w:w="1843" w:type="dxa"/>
            <w:tcBorders>
              <w:top w:val="nil"/>
              <w:left w:val="nil"/>
              <w:bottom w:val="single" w:sz="4" w:space="0" w:color="auto"/>
              <w:right w:val="single" w:sz="4" w:space="0" w:color="auto"/>
            </w:tcBorders>
            <w:shd w:val="clear" w:color="auto" w:fill="auto"/>
            <w:vAlign w:val="center"/>
            <w:hideMark/>
          </w:tcPr>
          <w:p w14:paraId="7F355059"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38.31</w:t>
            </w:r>
          </w:p>
        </w:tc>
        <w:tc>
          <w:tcPr>
            <w:tcW w:w="2268" w:type="dxa"/>
            <w:tcBorders>
              <w:top w:val="nil"/>
              <w:left w:val="nil"/>
              <w:bottom w:val="single" w:sz="4" w:space="0" w:color="auto"/>
              <w:right w:val="single" w:sz="4" w:space="0" w:color="auto"/>
            </w:tcBorders>
            <w:shd w:val="clear" w:color="auto" w:fill="auto"/>
            <w:vAlign w:val="center"/>
            <w:hideMark/>
          </w:tcPr>
          <w:p w14:paraId="3B5861F7"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26.71</w:t>
            </w:r>
          </w:p>
        </w:tc>
        <w:tc>
          <w:tcPr>
            <w:tcW w:w="2126" w:type="dxa"/>
            <w:tcBorders>
              <w:top w:val="nil"/>
              <w:left w:val="nil"/>
              <w:bottom w:val="single" w:sz="4" w:space="0" w:color="auto"/>
              <w:right w:val="single" w:sz="4" w:space="0" w:color="auto"/>
            </w:tcBorders>
            <w:shd w:val="clear" w:color="auto" w:fill="auto"/>
            <w:vAlign w:val="center"/>
            <w:hideMark/>
          </w:tcPr>
          <w:p w14:paraId="48B32668"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89.88%</w:t>
            </w:r>
          </w:p>
        </w:tc>
      </w:tr>
      <w:tr w:rsidR="004C47CF" w:rsidRPr="006E0CF2" w14:paraId="02CA6D00" w14:textId="77777777" w:rsidTr="003B35B0">
        <w:trPr>
          <w:trHeight w:val="249"/>
        </w:trPr>
        <w:tc>
          <w:tcPr>
            <w:tcW w:w="1843" w:type="dxa"/>
            <w:tcBorders>
              <w:top w:val="nil"/>
              <w:left w:val="single" w:sz="4" w:space="0" w:color="auto"/>
              <w:bottom w:val="single" w:sz="4" w:space="0" w:color="auto"/>
              <w:right w:val="nil"/>
            </w:tcBorders>
            <w:shd w:val="clear" w:color="000000" w:fill="2363AF"/>
            <w:noWrap/>
            <w:vAlign w:val="center"/>
            <w:hideMark/>
          </w:tcPr>
          <w:p w14:paraId="61758E3B" w14:textId="77777777" w:rsidR="006E0CF2" w:rsidRPr="003B35B0" w:rsidRDefault="006E0CF2" w:rsidP="006E0CF2">
            <w:pPr>
              <w:spacing w:after="0" w:line="240" w:lineRule="auto"/>
              <w:jc w:val="both"/>
              <w:rPr>
                <w:rFonts w:eastAsia="Times New Roman" w:cs="Calibri"/>
                <w:color w:val="FFFFFF"/>
                <w:sz w:val="16"/>
                <w:szCs w:val="16"/>
              </w:rPr>
            </w:pPr>
            <w:r w:rsidRPr="003B35B0">
              <w:rPr>
                <w:rFonts w:eastAsia="Times New Roman" w:cs="Calibri"/>
                <w:color w:val="FFFFFF"/>
                <w:sz w:val="16"/>
                <w:szCs w:val="16"/>
              </w:rPr>
              <w:t>2019-20</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5DE507C"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22.55</w:t>
            </w:r>
          </w:p>
        </w:tc>
        <w:tc>
          <w:tcPr>
            <w:tcW w:w="1843" w:type="dxa"/>
            <w:tcBorders>
              <w:top w:val="nil"/>
              <w:left w:val="nil"/>
              <w:bottom w:val="single" w:sz="4" w:space="0" w:color="auto"/>
              <w:right w:val="single" w:sz="4" w:space="0" w:color="auto"/>
            </w:tcBorders>
            <w:shd w:val="clear" w:color="auto" w:fill="auto"/>
            <w:vAlign w:val="center"/>
            <w:hideMark/>
          </w:tcPr>
          <w:p w14:paraId="6CC2AA31"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31.15</w:t>
            </w:r>
          </w:p>
        </w:tc>
        <w:tc>
          <w:tcPr>
            <w:tcW w:w="2268" w:type="dxa"/>
            <w:tcBorders>
              <w:top w:val="nil"/>
              <w:left w:val="nil"/>
              <w:bottom w:val="single" w:sz="4" w:space="0" w:color="auto"/>
              <w:right w:val="single" w:sz="4" w:space="0" w:color="auto"/>
            </w:tcBorders>
            <w:shd w:val="clear" w:color="auto" w:fill="auto"/>
            <w:vAlign w:val="center"/>
            <w:hideMark/>
          </w:tcPr>
          <w:p w14:paraId="03081177"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23.57</w:t>
            </w:r>
          </w:p>
        </w:tc>
        <w:tc>
          <w:tcPr>
            <w:tcW w:w="2126" w:type="dxa"/>
            <w:tcBorders>
              <w:top w:val="nil"/>
              <w:left w:val="nil"/>
              <w:bottom w:val="single" w:sz="4" w:space="0" w:color="auto"/>
              <w:right w:val="single" w:sz="4" w:space="0" w:color="auto"/>
            </w:tcBorders>
            <w:shd w:val="clear" w:color="auto" w:fill="auto"/>
            <w:vAlign w:val="center"/>
            <w:hideMark/>
          </w:tcPr>
          <w:p w14:paraId="6792B8DA"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90.86%</w:t>
            </w:r>
          </w:p>
        </w:tc>
      </w:tr>
      <w:tr w:rsidR="004C47CF" w:rsidRPr="006E0CF2" w14:paraId="0E44B98E" w14:textId="77777777" w:rsidTr="003B35B0">
        <w:trPr>
          <w:trHeight w:val="249"/>
        </w:trPr>
        <w:tc>
          <w:tcPr>
            <w:tcW w:w="1843" w:type="dxa"/>
            <w:tcBorders>
              <w:top w:val="nil"/>
              <w:left w:val="single" w:sz="4" w:space="0" w:color="auto"/>
              <w:bottom w:val="single" w:sz="4" w:space="0" w:color="auto"/>
              <w:right w:val="nil"/>
            </w:tcBorders>
            <w:shd w:val="clear" w:color="000000" w:fill="2363AF"/>
            <w:noWrap/>
            <w:vAlign w:val="center"/>
            <w:hideMark/>
          </w:tcPr>
          <w:p w14:paraId="2AC44F66" w14:textId="77777777" w:rsidR="006E0CF2" w:rsidRPr="003B35B0" w:rsidRDefault="006E0CF2" w:rsidP="006E0CF2">
            <w:pPr>
              <w:spacing w:after="0" w:line="240" w:lineRule="auto"/>
              <w:jc w:val="both"/>
              <w:rPr>
                <w:rFonts w:eastAsia="Times New Roman" w:cs="Calibri"/>
                <w:color w:val="FFFFFF"/>
                <w:sz w:val="16"/>
                <w:szCs w:val="16"/>
              </w:rPr>
            </w:pPr>
            <w:r w:rsidRPr="003B35B0">
              <w:rPr>
                <w:rFonts w:eastAsia="Times New Roman" w:cs="Calibri"/>
                <w:color w:val="FFFFFF"/>
                <w:sz w:val="16"/>
                <w:szCs w:val="16"/>
              </w:rPr>
              <w:t>2020-21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826D0F3"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24.90</w:t>
            </w:r>
          </w:p>
        </w:tc>
        <w:tc>
          <w:tcPr>
            <w:tcW w:w="1843" w:type="dxa"/>
            <w:tcBorders>
              <w:top w:val="nil"/>
              <w:left w:val="nil"/>
              <w:bottom w:val="single" w:sz="4" w:space="0" w:color="auto"/>
              <w:right w:val="single" w:sz="4" w:space="0" w:color="auto"/>
            </w:tcBorders>
            <w:shd w:val="clear" w:color="auto" w:fill="auto"/>
            <w:vAlign w:val="center"/>
            <w:hideMark/>
          </w:tcPr>
          <w:p w14:paraId="142AE368"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29.66</w:t>
            </w:r>
          </w:p>
        </w:tc>
        <w:tc>
          <w:tcPr>
            <w:tcW w:w="2268" w:type="dxa"/>
            <w:tcBorders>
              <w:top w:val="nil"/>
              <w:left w:val="nil"/>
              <w:bottom w:val="single" w:sz="4" w:space="0" w:color="auto"/>
              <w:right w:val="single" w:sz="4" w:space="0" w:color="auto"/>
            </w:tcBorders>
            <w:shd w:val="clear" w:color="auto" w:fill="auto"/>
            <w:vAlign w:val="center"/>
            <w:hideMark/>
          </w:tcPr>
          <w:p w14:paraId="4C62BA30"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20.59</w:t>
            </w:r>
          </w:p>
        </w:tc>
        <w:tc>
          <w:tcPr>
            <w:tcW w:w="2126" w:type="dxa"/>
            <w:tcBorders>
              <w:top w:val="nil"/>
              <w:left w:val="nil"/>
              <w:bottom w:val="single" w:sz="4" w:space="0" w:color="auto"/>
              <w:right w:val="single" w:sz="4" w:space="0" w:color="auto"/>
            </w:tcBorders>
            <w:shd w:val="clear" w:color="auto" w:fill="auto"/>
            <w:vAlign w:val="center"/>
            <w:hideMark/>
          </w:tcPr>
          <w:p w14:paraId="028DA021"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88.95%</w:t>
            </w:r>
          </w:p>
        </w:tc>
      </w:tr>
      <w:tr w:rsidR="004C47CF" w:rsidRPr="006E0CF2" w14:paraId="4E5FA8AF" w14:textId="77777777" w:rsidTr="003B35B0">
        <w:trPr>
          <w:trHeight w:val="249"/>
        </w:trPr>
        <w:tc>
          <w:tcPr>
            <w:tcW w:w="1843" w:type="dxa"/>
            <w:tcBorders>
              <w:top w:val="single" w:sz="4" w:space="0" w:color="auto"/>
              <w:left w:val="single" w:sz="4" w:space="0" w:color="auto"/>
              <w:bottom w:val="single" w:sz="4" w:space="0" w:color="auto"/>
              <w:right w:val="single" w:sz="4" w:space="0" w:color="auto"/>
            </w:tcBorders>
            <w:shd w:val="clear" w:color="000000" w:fill="2363AF"/>
            <w:noWrap/>
            <w:vAlign w:val="center"/>
            <w:hideMark/>
          </w:tcPr>
          <w:p w14:paraId="7D8F2C77" w14:textId="77777777" w:rsidR="006E0CF2" w:rsidRPr="003B35B0" w:rsidRDefault="006E0CF2" w:rsidP="006E0CF2">
            <w:pPr>
              <w:spacing w:after="0" w:line="240" w:lineRule="auto"/>
              <w:rPr>
                <w:rFonts w:eastAsia="Times New Roman" w:cs="Calibri"/>
                <w:color w:val="FFFFFF"/>
                <w:sz w:val="16"/>
                <w:szCs w:val="16"/>
              </w:rPr>
            </w:pPr>
            <w:r w:rsidRPr="003B35B0">
              <w:rPr>
                <w:rFonts w:eastAsia="Times New Roman" w:cs="Calibri"/>
                <w:color w:val="FFFFFF"/>
                <w:sz w:val="16"/>
                <w:szCs w:val="16"/>
              </w:rPr>
              <w:t>Threshold Target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8A9C4B1"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55.6</w:t>
            </w:r>
          </w:p>
        </w:tc>
        <w:tc>
          <w:tcPr>
            <w:tcW w:w="1843" w:type="dxa"/>
            <w:tcBorders>
              <w:top w:val="nil"/>
              <w:left w:val="nil"/>
              <w:bottom w:val="single" w:sz="4" w:space="0" w:color="auto"/>
              <w:right w:val="single" w:sz="4" w:space="0" w:color="auto"/>
            </w:tcBorders>
            <w:shd w:val="clear" w:color="auto" w:fill="auto"/>
            <w:vAlign w:val="center"/>
            <w:hideMark/>
          </w:tcPr>
          <w:p w14:paraId="23EBB70F"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55.6</w:t>
            </w:r>
          </w:p>
        </w:tc>
        <w:tc>
          <w:tcPr>
            <w:tcW w:w="2268" w:type="dxa"/>
            <w:tcBorders>
              <w:top w:val="nil"/>
              <w:left w:val="nil"/>
              <w:bottom w:val="single" w:sz="4" w:space="0" w:color="auto"/>
              <w:right w:val="single" w:sz="4" w:space="0" w:color="auto"/>
            </w:tcBorders>
            <w:shd w:val="clear" w:color="auto" w:fill="auto"/>
            <w:vAlign w:val="center"/>
            <w:hideMark/>
          </w:tcPr>
          <w:p w14:paraId="24DA7E90"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55.6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6120F" w14:textId="5098F12A" w:rsidR="006E0CF2" w:rsidRPr="003B35B0" w:rsidRDefault="006E0CF2" w:rsidP="006E0CF2">
            <w:pPr>
              <w:spacing w:after="0" w:line="240" w:lineRule="auto"/>
              <w:jc w:val="right"/>
              <w:rPr>
                <w:rFonts w:eastAsia="Times New Roman" w:cs="Calibri"/>
                <w:color w:val="000000"/>
                <w:sz w:val="16"/>
                <w:szCs w:val="16"/>
              </w:rPr>
            </w:pPr>
            <w:bookmarkStart w:id="112" w:name="RANGE!F13"/>
            <w:r w:rsidRPr="003B35B0">
              <w:rPr>
                <w:rFonts w:eastAsia="Times New Roman" w:cs="Calibri"/>
                <w:color w:val="000000"/>
                <w:sz w:val="16"/>
                <w:szCs w:val="16"/>
              </w:rPr>
              <w:t>50</w:t>
            </w:r>
            <w:bookmarkEnd w:id="112"/>
            <w:r w:rsidRPr="003B35B0">
              <w:rPr>
                <w:rFonts w:eastAsia="Times New Roman" w:cs="Calibri"/>
                <w:color w:val="000000"/>
                <w:sz w:val="16"/>
                <w:szCs w:val="16"/>
              </w:rPr>
              <w:t>%</w:t>
            </w:r>
            <w:r w:rsidR="00ED782C">
              <w:rPr>
                <w:rFonts w:eastAsia="Times New Roman" w:cs="Calibri"/>
                <w:color w:val="000000"/>
                <w:sz w:val="16"/>
                <w:szCs w:val="16"/>
                <w:vertAlign w:val="superscript"/>
              </w:rPr>
              <w:t>38</w:t>
            </w:r>
          </w:p>
        </w:tc>
      </w:tr>
      <w:tr w:rsidR="004C47CF" w:rsidRPr="006E0CF2" w14:paraId="3B846893" w14:textId="77777777" w:rsidTr="003B35B0">
        <w:trPr>
          <w:trHeight w:val="249"/>
        </w:trPr>
        <w:tc>
          <w:tcPr>
            <w:tcW w:w="1843" w:type="dxa"/>
            <w:tcBorders>
              <w:top w:val="nil"/>
              <w:left w:val="single" w:sz="4" w:space="0" w:color="auto"/>
              <w:bottom w:val="single" w:sz="4" w:space="0" w:color="auto"/>
              <w:right w:val="single" w:sz="4" w:space="0" w:color="auto"/>
            </w:tcBorders>
            <w:shd w:val="clear" w:color="000000" w:fill="2363AF"/>
            <w:noWrap/>
            <w:vAlign w:val="center"/>
            <w:hideMark/>
          </w:tcPr>
          <w:p w14:paraId="46D71651" w14:textId="77777777" w:rsidR="006E0CF2" w:rsidRPr="003B35B0" w:rsidRDefault="006E0CF2" w:rsidP="006E0CF2">
            <w:pPr>
              <w:spacing w:after="0" w:line="240" w:lineRule="auto"/>
              <w:rPr>
                <w:rFonts w:eastAsia="Times New Roman" w:cs="Calibri"/>
                <w:color w:val="FFFFFF"/>
                <w:sz w:val="16"/>
                <w:szCs w:val="16"/>
              </w:rPr>
            </w:pPr>
            <w:r w:rsidRPr="003B35B0">
              <w:rPr>
                <w:rFonts w:eastAsia="Times New Roman" w:cs="Calibri"/>
                <w:color w:val="FFFFFF"/>
                <w:sz w:val="16"/>
                <w:szCs w:val="16"/>
              </w:rPr>
              <w:t>Threshold Ceiling</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4800BF9"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583488" w14:textId="77777777"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5E446E1" w14:textId="47A51F54" w:rsidR="006E0CF2" w:rsidRPr="003B35B0" w:rsidRDefault="006E0CF2" w:rsidP="006E0CF2">
            <w:pPr>
              <w:spacing w:after="0" w:line="240" w:lineRule="auto"/>
              <w:jc w:val="right"/>
              <w:rPr>
                <w:rFonts w:eastAsia="Times New Roman" w:cs="Calibri"/>
                <w:color w:val="000000"/>
                <w:sz w:val="16"/>
                <w:szCs w:val="16"/>
              </w:rPr>
            </w:pPr>
            <w:bookmarkStart w:id="113" w:name="RANGE!E14"/>
            <w:r w:rsidRPr="003B35B0">
              <w:rPr>
                <w:rFonts w:eastAsia="Times New Roman" w:cs="Calibri"/>
                <w:color w:val="000000"/>
                <w:sz w:val="16"/>
                <w:szCs w:val="16"/>
              </w:rPr>
              <w:t>75</w:t>
            </w:r>
            <w:bookmarkEnd w:id="113"/>
            <w:r w:rsidR="002B175A">
              <w:rPr>
                <w:rStyle w:val="FootnoteReference"/>
                <w:rFonts w:eastAsia="Times New Roman" w:cs="Calibri"/>
                <w:color w:val="000000"/>
                <w:sz w:val="16"/>
                <w:szCs w:val="16"/>
              </w:rPr>
              <w:footnoteReference w:id="25"/>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1802125" w14:textId="3D5041D6" w:rsidR="006E0CF2" w:rsidRPr="003B35B0" w:rsidRDefault="006E0CF2" w:rsidP="006E0CF2">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50%</w:t>
            </w:r>
            <w:r w:rsidR="002B175A">
              <w:rPr>
                <w:rStyle w:val="FootnoteReference"/>
                <w:rFonts w:eastAsia="Times New Roman" w:cs="Calibri"/>
                <w:color w:val="000000"/>
                <w:sz w:val="16"/>
                <w:szCs w:val="16"/>
              </w:rPr>
              <w:footnoteReference w:id="26"/>
            </w:r>
          </w:p>
        </w:tc>
      </w:tr>
    </w:tbl>
    <w:p w14:paraId="0CF99A0B" w14:textId="74780F05" w:rsidR="002B175A" w:rsidRDefault="002B175A" w:rsidP="003B35B0">
      <w:pPr>
        <w:pStyle w:val="CH1normal"/>
        <w:numPr>
          <w:ilvl w:val="0"/>
          <w:numId w:val="0"/>
        </w:numPr>
        <w:spacing w:after="0" w:line="240" w:lineRule="auto"/>
        <w:ind w:left="709" w:hanging="709"/>
      </w:pPr>
      <w:bookmarkStart w:id="114" w:name="_Toc64493537"/>
    </w:p>
    <w:p w14:paraId="2C7C2337" w14:textId="3EC7AB0B" w:rsidR="00382E03" w:rsidRDefault="00382E03" w:rsidP="003B35B0">
      <w:pPr>
        <w:pStyle w:val="Heading2"/>
        <w:spacing w:before="0"/>
      </w:pPr>
      <w:bookmarkStart w:id="115" w:name="_Toc98852154"/>
      <w:r>
        <w:rPr>
          <w:rFonts w:eastAsia="Times New Roman"/>
        </w:rPr>
        <w:lastRenderedPageBreak/>
        <w:t>Feedstock/fuel types</w:t>
      </w:r>
      <w:bookmarkEnd w:id="114"/>
      <w:bookmarkEnd w:id="115"/>
    </w:p>
    <w:p w14:paraId="315FAE27" w14:textId="3D7D1928" w:rsidR="00AB01BF" w:rsidRDefault="00A86B2C" w:rsidP="003B35B0">
      <w:pPr>
        <w:pStyle w:val="CH3normal"/>
        <w:ind w:left="567" w:hanging="567"/>
      </w:pPr>
      <w:r w:rsidRPr="003B35B0">
        <w:rPr>
          <w:b/>
          <w:bCs/>
        </w:rPr>
        <w:t>Gasification</w:t>
      </w:r>
      <w:r w:rsidRPr="00336963">
        <w:rPr>
          <w:vertAlign w:val="superscript"/>
        </w:rPr>
        <w:footnoteReference w:id="27"/>
      </w:r>
      <w:r>
        <w:t xml:space="preserve"> - </w:t>
      </w:r>
      <w:r w:rsidR="00AB01BF" w:rsidRPr="0003550F">
        <w:t xml:space="preserve">The </w:t>
      </w:r>
      <w:r w:rsidR="00AB01BF" w:rsidRPr="00336963">
        <w:t>6</w:t>
      </w:r>
      <w:r w:rsidR="005A3E13">
        <w:t>8</w:t>
      </w:r>
      <w:r w:rsidR="00AB01BF" w:rsidRPr="00336963">
        <w:t xml:space="preserve"> </w:t>
      </w:r>
      <w:r w:rsidR="00AB01BF" w:rsidRPr="0003550F">
        <w:t xml:space="preserve">stations that reported against the sustainability criteria burnt </w:t>
      </w:r>
      <w:r w:rsidR="00AB01BF" w:rsidRPr="00336963">
        <w:t>1,0</w:t>
      </w:r>
      <w:r w:rsidR="005A3E13">
        <w:t>55.82</w:t>
      </w:r>
      <w:r w:rsidR="00AB01BF" w:rsidRPr="00A27498">
        <w:rPr>
          <w:bCs/>
        </w:rPr>
        <w:t xml:space="preserve"> </w:t>
      </w:r>
      <w:r w:rsidR="00AB01BF" w:rsidRPr="00336963">
        <w:t>million m</w:t>
      </w:r>
      <w:r w:rsidR="00AB01BF" w:rsidRPr="00A27498">
        <w:rPr>
          <w:vertAlign w:val="superscript"/>
        </w:rPr>
        <w:t xml:space="preserve">3 </w:t>
      </w:r>
      <w:r w:rsidR="00AB01BF" w:rsidRPr="00336963">
        <w:t>of syngas</w:t>
      </w:r>
      <w:r w:rsidR="00AB01BF" w:rsidRPr="00336963">
        <w:rPr>
          <w:vertAlign w:val="superscript"/>
        </w:rPr>
        <w:footnoteReference w:id="28"/>
      </w:r>
      <w:r w:rsidR="00AB01BF" w:rsidRPr="00336963">
        <w:t xml:space="preserve"> in 2020-21</w:t>
      </w:r>
      <w:r w:rsidR="00AB01BF">
        <w:t>;</w:t>
      </w:r>
      <w:r w:rsidR="00AB01BF" w:rsidRPr="00336963">
        <w:t xml:space="preserve"> a </w:t>
      </w:r>
      <w:r w:rsidR="005A3E13">
        <w:t>267.57</w:t>
      </w:r>
      <w:r w:rsidR="00AB01BF" w:rsidRPr="00336963">
        <w:t xml:space="preserve"> million m</w:t>
      </w:r>
      <w:r w:rsidR="00AB01BF" w:rsidRPr="00A27498">
        <w:rPr>
          <w:vertAlign w:val="superscript"/>
        </w:rPr>
        <w:t xml:space="preserve">3 </w:t>
      </w:r>
      <w:r w:rsidR="00AB01BF" w:rsidRPr="00336963">
        <w:t>decrease</w:t>
      </w:r>
      <w:r w:rsidR="00AB01BF">
        <w:t xml:space="preserve"> compared to 2019-20. </w:t>
      </w:r>
      <w:r w:rsidR="00720253">
        <w:t xml:space="preserve">As shown in </w:t>
      </w:r>
      <w:r w:rsidR="00720253">
        <w:rPr>
          <w:b/>
          <w:bCs/>
        </w:rPr>
        <w:t xml:space="preserve">Figure 3.1 </w:t>
      </w:r>
      <w:r w:rsidR="00720253">
        <w:t>a</w:t>
      </w:r>
      <w:r w:rsidR="00AB01BF" w:rsidRPr="00416794">
        <w:t>l</w:t>
      </w:r>
      <w:r w:rsidR="00AB01BF">
        <w:t>l gasification consignments were derived from woody biomass;</w:t>
      </w:r>
      <w:r w:rsidR="00AB01BF" w:rsidRPr="00416794">
        <w:t xml:space="preserve"> </w:t>
      </w:r>
      <w:r w:rsidR="005A3E13">
        <w:t>79.59%</w:t>
      </w:r>
      <w:r w:rsidR="00F54F7D">
        <w:t xml:space="preserve"> of syngas burnt </w:t>
      </w:r>
      <w:r w:rsidR="00AB01BF">
        <w:t>was derived from waste wood</w:t>
      </w:r>
      <w:r w:rsidR="00AB01BF" w:rsidRPr="00821ABA">
        <w:rPr>
          <w:vertAlign w:val="superscript"/>
        </w:rPr>
        <w:footnoteReference w:id="29"/>
      </w:r>
      <w:r w:rsidR="00AB01BF">
        <w:t xml:space="preserve">, which is an increase of </w:t>
      </w:r>
      <w:r w:rsidR="00B736BF">
        <w:t>3.69</w:t>
      </w:r>
      <w:r w:rsidR="00AB01BF">
        <w:t xml:space="preserve">% when compared to 2019-20. </w:t>
      </w:r>
    </w:p>
    <w:p w14:paraId="3751C098" w14:textId="77777777" w:rsidR="00720253" w:rsidRPr="003B35B0" w:rsidRDefault="00720253" w:rsidP="003B35B0">
      <w:pPr>
        <w:spacing w:after="0"/>
        <w:jc w:val="both"/>
        <w:rPr>
          <w:b/>
          <w:bCs/>
        </w:rPr>
      </w:pPr>
      <w:r w:rsidRPr="003B35B0">
        <w:rPr>
          <w:b/>
        </w:rPr>
        <w:t>Figure 3.1: Type of feedstocks used (by volume of gas burnt) in gasification stations</w:t>
      </w:r>
    </w:p>
    <w:p w14:paraId="56564974" w14:textId="033AE090" w:rsidR="00720253" w:rsidRDefault="00893C2E" w:rsidP="003B35B0">
      <w:pPr>
        <w:pStyle w:val="ListParagraph"/>
        <w:ind w:left="360"/>
      </w:pPr>
      <w:r w:rsidRPr="00893C2E">
        <w:rPr>
          <w:noProof/>
        </w:rPr>
        <w:t xml:space="preserve"> </w:t>
      </w:r>
      <w:r>
        <w:rPr>
          <w:noProof/>
        </w:rPr>
        <w:drawing>
          <wp:inline distT="0" distB="0" distL="0" distR="0" wp14:anchorId="3D619356" wp14:editId="3E6BAFB4">
            <wp:extent cx="5857336" cy="2105025"/>
            <wp:effectExtent l="0" t="0" r="0" b="0"/>
            <wp:docPr id="230" name="Chart 230" descr="A pie chart showing the type of feedstocks used in gasification stations, by percentage of total volume burnt.&#10;&#10;The data used to produce this chart is published alongside this report on our website.">
              <a:extLst xmlns:a="http://schemas.openxmlformats.org/drawingml/2006/main">
                <a:ext uri="{FF2B5EF4-FFF2-40B4-BE49-F238E27FC236}">
                  <a16:creationId xmlns:a16="http://schemas.microsoft.com/office/drawing/2014/main" id="{CDD5338B-3ED9-40AA-B480-5F7291250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5BD874" w14:textId="60A7FA56" w:rsidR="00AB01BF" w:rsidRPr="00336963" w:rsidRDefault="00E133D8" w:rsidP="003B35B0">
      <w:pPr>
        <w:pStyle w:val="CH3normal"/>
        <w:spacing w:before="480"/>
        <w:ind w:left="567" w:hanging="567"/>
      </w:pPr>
      <w:r w:rsidRPr="003B35B0">
        <w:rPr>
          <w:b/>
          <w:bCs/>
        </w:rPr>
        <w:t>Anaerobic digestion</w:t>
      </w:r>
      <w:r w:rsidRPr="00821ABA">
        <w:t xml:space="preserve"> </w:t>
      </w:r>
      <w:r>
        <w:t xml:space="preserve">- </w:t>
      </w:r>
      <w:r w:rsidR="00AB01BF" w:rsidRPr="00821ABA">
        <w:t xml:space="preserve">The </w:t>
      </w:r>
      <w:r w:rsidR="00892500">
        <w:t>162</w:t>
      </w:r>
      <w:r w:rsidR="00892500" w:rsidRPr="00821ABA">
        <w:t xml:space="preserve"> </w:t>
      </w:r>
      <w:r w:rsidR="00AB01BF" w:rsidRPr="00821ABA">
        <w:t xml:space="preserve">stations that reported against the sustainability criteria burnt </w:t>
      </w:r>
      <w:r w:rsidR="00892500">
        <w:t>752.11</w:t>
      </w:r>
      <w:r w:rsidR="00AB01BF" w:rsidRPr="003915B4">
        <w:t xml:space="preserve"> million m</w:t>
      </w:r>
      <w:r w:rsidR="00AB01BF" w:rsidRPr="00A27498">
        <w:rPr>
          <w:vertAlign w:val="superscript"/>
        </w:rPr>
        <w:t>3</w:t>
      </w:r>
      <w:r w:rsidR="00AB01BF" w:rsidRPr="007D7355">
        <w:t xml:space="preserve"> of</w:t>
      </w:r>
      <w:r w:rsidR="00AB01BF" w:rsidRPr="00821ABA">
        <w:t xml:space="preserve"> biogas in 20</w:t>
      </w:r>
      <w:r w:rsidR="00AB01BF">
        <w:t>20</w:t>
      </w:r>
      <w:r w:rsidR="00AB01BF" w:rsidRPr="00821ABA">
        <w:t>-</w:t>
      </w:r>
      <w:r w:rsidR="00CA3019">
        <w:t>21</w:t>
      </w:r>
      <w:r w:rsidR="00AB01BF" w:rsidRPr="00821ABA">
        <w:t>;</w:t>
      </w:r>
      <w:r w:rsidR="00AB01BF" w:rsidRPr="00821ABA">
        <w:rPr>
          <w:vertAlign w:val="superscript"/>
        </w:rPr>
        <w:footnoteReference w:id="30"/>
      </w:r>
      <w:r w:rsidR="00AB01BF" w:rsidRPr="00821ABA">
        <w:t xml:space="preserve"> a </w:t>
      </w:r>
      <w:r w:rsidR="00892500">
        <w:t>226.92</w:t>
      </w:r>
      <w:r w:rsidR="00AB01BF" w:rsidRPr="007D7355">
        <w:t xml:space="preserve"> million</w:t>
      </w:r>
      <w:r w:rsidR="00AB01BF" w:rsidRPr="00821ABA">
        <w:t xml:space="preserve"> m</w:t>
      </w:r>
      <w:r w:rsidR="00AB01BF" w:rsidRPr="00A27498">
        <w:rPr>
          <w:vertAlign w:val="superscript"/>
        </w:rPr>
        <w:t>3</w:t>
      </w:r>
      <w:r w:rsidR="00AB01BF" w:rsidRPr="00821ABA">
        <w:t xml:space="preserve"> </w:t>
      </w:r>
      <w:r w:rsidR="00AB01BF">
        <w:t xml:space="preserve">increase </w:t>
      </w:r>
      <w:r w:rsidR="00AB01BF" w:rsidRPr="00821ABA">
        <w:t>compared to 201</w:t>
      </w:r>
      <w:r w:rsidR="00AB01BF">
        <w:t>9</w:t>
      </w:r>
      <w:r w:rsidR="00AB01BF" w:rsidRPr="00821ABA">
        <w:t>-</w:t>
      </w:r>
      <w:r w:rsidR="00AB01BF">
        <w:t>20</w:t>
      </w:r>
      <w:r w:rsidR="00AB01BF" w:rsidRPr="00821ABA">
        <w:t xml:space="preserve">. As shown in </w:t>
      </w:r>
      <w:r w:rsidR="00AB01BF" w:rsidRPr="00A27498">
        <w:rPr>
          <w:b/>
        </w:rPr>
        <w:t>Figure 3.</w:t>
      </w:r>
      <w:r w:rsidR="00720253">
        <w:rPr>
          <w:b/>
        </w:rPr>
        <w:t>2</w:t>
      </w:r>
      <w:r w:rsidR="00CA3019">
        <w:rPr>
          <w:b/>
        </w:rPr>
        <w:t>,</w:t>
      </w:r>
      <w:r w:rsidR="00AB01BF" w:rsidRPr="008D08C5">
        <w:t xml:space="preserve"> silage</w:t>
      </w:r>
      <w:r w:rsidR="00AB01BF" w:rsidRPr="008D08C5">
        <w:rPr>
          <w:rStyle w:val="FootnoteReference"/>
        </w:rPr>
        <w:footnoteReference w:id="31"/>
      </w:r>
      <w:r w:rsidR="00AB01BF">
        <w:t xml:space="preserve">, municipal waste and food, garden and plant waste </w:t>
      </w:r>
      <w:r w:rsidR="00AB01BF" w:rsidRPr="008D08C5">
        <w:t xml:space="preserve">made the largest contributions. </w:t>
      </w:r>
      <w:r w:rsidR="00AB01BF">
        <w:t>Manures and slurries</w:t>
      </w:r>
      <w:r w:rsidR="00AB01BF" w:rsidRPr="00821ABA">
        <w:t>,</w:t>
      </w:r>
      <w:r w:rsidR="00AB01BF">
        <w:t xml:space="preserve"> crops, brewery and distillery waste and d</w:t>
      </w:r>
      <w:r w:rsidR="00AB01BF" w:rsidRPr="00C81C63">
        <w:t xml:space="preserve">issolved </w:t>
      </w:r>
      <w:r w:rsidR="00AB01BF">
        <w:t>a</w:t>
      </w:r>
      <w:r w:rsidR="00AB01BF" w:rsidRPr="00C81C63">
        <w:t xml:space="preserve">ir </w:t>
      </w:r>
      <w:r w:rsidR="00AB01BF">
        <w:t>f</w:t>
      </w:r>
      <w:r w:rsidR="00AB01BF" w:rsidRPr="00C81C63">
        <w:t>lotation</w:t>
      </w:r>
      <w:r w:rsidR="00AB01BF" w:rsidRPr="00821ABA">
        <w:t xml:space="preserve"> </w:t>
      </w:r>
      <w:r w:rsidR="00AB01BF">
        <w:t xml:space="preserve">(DAF) </w:t>
      </w:r>
      <w:r w:rsidR="00AB01BF" w:rsidRPr="00821ABA">
        <w:t>sludge/waste water an</w:t>
      </w:r>
      <w:r w:rsidR="00AB01BF">
        <w:t xml:space="preserve">d </w:t>
      </w:r>
      <w:r w:rsidR="00AB01BF" w:rsidRPr="00821ABA">
        <w:t>‘other’ complete the remaining proportion. The ‘other’ consignments consist of</w:t>
      </w:r>
      <w:r w:rsidR="00AB01BF">
        <w:t xml:space="preserve"> dairy waste, glycerol, blood and viscera, biodegradable waste, fishery wastes, tallow and fats and oils. </w:t>
      </w:r>
    </w:p>
    <w:p w14:paraId="37C7D268" w14:textId="77777777" w:rsidR="00331DDD" w:rsidRDefault="00331DDD">
      <w:pPr>
        <w:spacing w:line="276" w:lineRule="auto"/>
        <w:rPr>
          <w:b/>
        </w:rPr>
      </w:pPr>
      <w:r>
        <w:rPr>
          <w:b/>
        </w:rPr>
        <w:br w:type="page"/>
      </w:r>
    </w:p>
    <w:p w14:paraId="6E80A16D" w14:textId="350951FD" w:rsidR="00382E03" w:rsidRPr="00FC6500" w:rsidRDefault="00382E03" w:rsidP="00A27498">
      <w:pPr>
        <w:jc w:val="both"/>
        <w:rPr>
          <w:b/>
          <w:bCs/>
        </w:rPr>
      </w:pPr>
      <w:r w:rsidRPr="00FC6500">
        <w:rPr>
          <w:b/>
        </w:rPr>
        <w:lastRenderedPageBreak/>
        <w:t>Figure 3.</w:t>
      </w:r>
      <w:r w:rsidR="00720253">
        <w:rPr>
          <w:b/>
        </w:rPr>
        <w:t>2</w:t>
      </w:r>
      <w:r w:rsidRPr="00FC6500">
        <w:rPr>
          <w:b/>
        </w:rPr>
        <w:t xml:space="preserve">: </w:t>
      </w:r>
      <w:r w:rsidR="00FC6500">
        <w:rPr>
          <w:b/>
        </w:rPr>
        <w:t>T</w:t>
      </w:r>
      <w:r w:rsidRPr="00FC6500">
        <w:rPr>
          <w:b/>
        </w:rPr>
        <w:t>ype of feedstocks used (by volume of gas burnt) in anaerobic digestion stations</w:t>
      </w:r>
    </w:p>
    <w:p w14:paraId="3EEC6F50" w14:textId="0C55360E" w:rsidR="006C1911" w:rsidRPr="00FC6500" w:rsidRDefault="00893C2E" w:rsidP="00A27498">
      <w:pPr>
        <w:jc w:val="both"/>
        <w:rPr>
          <w:b/>
          <w:bCs/>
        </w:rPr>
      </w:pPr>
      <w:r>
        <w:rPr>
          <w:noProof/>
        </w:rPr>
        <w:drawing>
          <wp:inline distT="0" distB="0" distL="0" distR="0" wp14:anchorId="179BA6D3" wp14:editId="2952EF63">
            <wp:extent cx="6120130" cy="2787650"/>
            <wp:effectExtent l="0" t="0" r="0" b="0"/>
            <wp:docPr id="231" name="Chart 231" descr="A pie chart showing the type of feedstocks used in anaerobic digestion stations, by percentage of  total volume burnt. &#10;&#10;The data used to produce this chart is published alongside this report on our website.">
              <a:extLst xmlns:a="http://schemas.openxmlformats.org/drawingml/2006/main">
                <a:ext uri="{FF2B5EF4-FFF2-40B4-BE49-F238E27FC236}">
                  <a16:creationId xmlns:a16="http://schemas.microsoft.com/office/drawing/2014/main" id="{E8CF0FF2-226F-44CB-B2CC-64CCE87F6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93028D" w14:textId="66ED44C8" w:rsidR="00893C2E" w:rsidRPr="003D52BA" w:rsidRDefault="00E133D8" w:rsidP="003B35B0">
      <w:pPr>
        <w:pStyle w:val="CH3normal"/>
        <w:spacing w:after="360"/>
        <w:ind w:left="567" w:hanging="567"/>
        <w:rPr>
          <w:color w:val="548DD4" w:themeColor="text2" w:themeTint="99"/>
        </w:rPr>
      </w:pPr>
      <w:r w:rsidRPr="00E133D8">
        <w:rPr>
          <w:b/>
          <w:bCs/>
        </w:rPr>
        <w:t>Bioliquid</w:t>
      </w:r>
      <w:r>
        <w:t xml:space="preserve"> - </w:t>
      </w:r>
      <w:r w:rsidR="00AB01BF" w:rsidRPr="00E133D8">
        <w:t>The</w:t>
      </w:r>
      <w:r w:rsidR="00AB01BF" w:rsidRPr="003666EA">
        <w:t xml:space="preserve"> </w:t>
      </w:r>
      <w:r w:rsidR="00892500">
        <w:t>28</w:t>
      </w:r>
      <w:r w:rsidR="00892500" w:rsidRPr="003666EA">
        <w:t xml:space="preserve"> </w:t>
      </w:r>
      <w:r w:rsidR="00382E03" w:rsidRPr="003666EA">
        <w:t>bioliquid</w:t>
      </w:r>
      <w:r w:rsidR="00382E03" w:rsidRPr="0003550F">
        <w:t xml:space="preserve"> </w:t>
      </w:r>
      <w:r w:rsidR="00AB01BF" w:rsidRPr="0003550F">
        <w:t xml:space="preserve">stations that reported against the sustainability criteria burnt </w:t>
      </w:r>
      <w:r w:rsidR="00AB01BF" w:rsidRPr="003666EA">
        <w:t>108.</w:t>
      </w:r>
      <w:r w:rsidR="00C44DB6">
        <w:t>8</w:t>
      </w:r>
      <w:r w:rsidR="00AB01BF" w:rsidRPr="003666EA">
        <w:t xml:space="preserve"> million litres of </w:t>
      </w:r>
      <w:r w:rsidR="00382E03" w:rsidRPr="003666EA">
        <w:t xml:space="preserve">bioliquid </w:t>
      </w:r>
      <w:r w:rsidR="00AB01BF" w:rsidRPr="003666EA">
        <w:t>consignments in 2020-21; a 25.</w:t>
      </w:r>
      <w:r w:rsidR="00C44DB6">
        <w:t>4</w:t>
      </w:r>
      <w:r w:rsidR="00AB01BF" w:rsidRPr="003666EA">
        <w:t xml:space="preserve"> million</w:t>
      </w:r>
      <w:r w:rsidR="00AB01BF" w:rsidRPr="0003550F">
        <w:t xml:space="preserve"> litre </w:t>
      </w:r>
      <w:r w:rsidR="00AB01BF">
        <w:t>decrease</w:t>
      </w:r>
      <w:r w:rsidR="00AB01BF" w:rsidRPr="0003550F">
        <w:t xml:space="preserve"> compared to 201</w:t>
      </w:r>
      <w:r w:rsidR="00AB01BF">
        <w:t>9</w:t>
      </w:r>
      <w:r w:rsidR="00AB01BF" w:rsidRPr="0003550F">
        <w:t>-</w:t>
      </w:r>
      <w:r w:rsidR="00AB01BF">
        <w:t>20</w:t>
      </w:r>
      <w:r w:rsidR="00AB01BF" w:rsidRPr="0003550F">
        <w:t xml:space="preserve">. </w:t>
      </w:r>
      <w:r w:rsidR="00AB01BF">
        <w:t xml:space="preserve">As shown in </w:t>
      </w:r>
      <w:r w:rsidR="00AB01BF" w:rsidRPr="00A27498">
        <w:rPr>
          <w:b/>
        </w:rPr>
        <w:t>Figure 3.</w:t>
      </w:r>
      <w:r w:rsidR="00427FCB">
        <w:rPr>
          <w:b/>
        </w:rPr>
        <w:t>3</w:t>
      </w:r>
      <w:r w:rsidR="00AB01BF" w:rsidRPr="003B35B0">
        <w:rPr>
          <w:bCs/>
        </w:rPr>
        <w:t>,</w:t>
      </w:r>
      <w:r w:rsidR="00AB01BF" w:rsidRPr="00A27498">
        <w:rPr>
          <w:b/>
        </w:rPr>
        <w:t xml:space="preserve"> </w:t>
      </w:r>
      <w:r w:rsidR="00AB01BF" w:rsidRPr="00BA6438">
        <w:t xml:space="preserve">digestate </w:t>
      </w:r>
      <w:r w:rsidR="00D22F0C">
        <w:t xml:space="preserve">made up </w:t>
      </w:r>
      <w:r w:rsidR="00892500">
        <w:t>49.8</w:t>
      </w:r>
      <w:r w:rsidR="00C44DB6">
        <w:t>1</w:t>
      </w:r>
      <w:r w:rsidR="00AB01BF" w:rsidRPr="00BA6438">
        <w:t>%</w:t>
      </w:r>
      <w:r w:rsidR="00D22F0C">
        <w:t xml:space="preserve"> of this biomass</w:t>
      </w:r>
      <w:r w:rsidR="00AB01BF" w:rsidRPr="00BA6438">
        <w:t xml:space="preserve">; food, garden and plant waste </w:t>
      </w:r>
      <w:r w:rsidR="00D22F0C">
        <w:t xml:space="preserve">made up </w:t>
      </w:r>
      <w:r w:rsidR="00AB01BF" w:rsidRPr="00BA6438">
        <w:t>22.</w:t>
      </w:r>
      <w:r w:rsidR="00C44DB6">
        <w:t>86</w:t>
      </w:r>
      <w:r w:rsidR="00AB01BF" w:rsidRPr="00BA6438">
        <w:t>%</w:t>
      </w:r>
      <w:r w:rsidR="00D22F0C">
        <w:t>,</w:t>
      </w:r>
      <w:r w:rsidR="00AB01BF" w:rsidRPr="00BA6438">
        <w:t xml:space="preserve"> and tallow 13.</w:t>
      </w:r>
      <w:r w:rsidR="00892500">
        <w:t>8</w:t>
      </w:r>
      <w:r w:rsidR="00C44DB6">
        <w:t>6</w:t>
      </w:r>
      <w:r w:rsidR="00AB01BF" w:rsidRPr="00BA6438">
        <w:t>%. Fats and oils, blood and viscera</w:t>
      </w:r>
      <w:r w:rsidR="00B432F1">
        <w:t>,</w:t>
      </w:r>
      <w:r w:rsidR="00AB01BF" w:rsidRPr="00BA6438">
        <w:t xml:space="preserve"> fishery waste</w:t>
      </w:r>
      <w:r w:rsidR="00892500">
        <w:t>, dairy waste and DAF sludge/waste water</w:t>
      </w:r>
      <w:r w:rsidR="00AB01BF" w:rsidRPr="00BA6438">
        <w:t xml:space="preserve"> complete the remaining proportion. Compared with 2019-20, this shows an increase in the proportion of digestate and a significant decrease in the use of blood and viscera.</w:t>
      </w:r>
    </w:p>
    <w:p w14:paraId="2C3AC721" w14:textId="62A64A22" w:rsidR="00AB01BF" w:rsidRPr="00C7253D" w:rsidRDefault="00382E03" w:rsidP="003B35B0">
      <w:r w:rsidRPr="003B35B0">
        <w:rPr>
          <w:b/>
        </w:rPr>
        <w:t>Figure 3.</w:t>
      </w:r>
      <w:r w:rsidR="00427FCB" w:rsidRPr="003B35B0">
        <w:rPr>
          <w:b/>
        </w:rPr>
        <w:t>3</w:t>
      </w:r>
      <w:r w:rsidRPr="003B35B0">
        <w:rPr>
          <w:b/>
        </w:rPr>
        <w:t xml:space="preserve">: </w:t>
      </w:r>
      <w:r w:rsidR="00FC6500" w:rsidRPr="003B35B0">
        <w:rPr>
          <w:b/>
        </w:rPr>
        <w:t>T</w:t>
      </w:r>
      <w:r w:rsidRPr="003B35B0">
        <w:rPr>
          <w:b/>
        </w:rPr>
        <w:t>ype of bioliquid used in bioliquid stations</w:t>
      </w:r>
      <w:r w:rsidRPr="00427FCB">
        <w:t xml:space="preserve"> </w:t>
      </w:r>
    </w:p>
    <w:p w14:paraId="30D5B5E3" w14:textId="32A98C5A" w:rsidR="00AB01BF" w:rsidRDefault="00893C2E" w:rsidP="00A27498">
      <w:pPr>
        <w:pStyle w:val="ListParagraph"/>
        <w:ind w:left="709" w:hanging="709"/>
        <w:jc w:val="both"/>
        <w:rPr>
          <w:b/>
          <w:bCs/>
        </w:rPr>
      </w:pPr>
      <w:r>
        <w:rPr>
          <w:noProof/>
        </w:rPr>
        <w:drawing>
          <wp:inline distT="0" distB="0" distL="0" distR="0" wp14:anchorId="0D742B5A" wp14:editId="48901C8E">
            <wp:extent cx="6120130" cy="2770505"/>
            <wp:effectExtent l="0" t="0" r="0" b="0"/>
            <wp:docPr id="232" name="Chart 232" descr="A pie chart showing the type of feedstocks used in bioliquid stations, by percentage of total litres burnt.&#10;&#10;The data used to produce this chart is published alongside this report on our website.">
              <a:extLst xmlns:a="http://schemas.openxmlformats.org/drawingml/2006/main">
                <a:ext uri="{FF2B5EF4-FFF2-40B4-BE49-F238E27FC236}">
                  <a16:creationId xmlns:a16="http://schemas.microsoft.com/office/drawing/2014/main" id="{C37659A1-89B6-49B5-8D47-52238C133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0A208F" w14:textId="2779460D" w:rsidR="00D07D7F" w:rsidRDefault="00D07D7F" w:rsidP="003B35B0">
      <w:pPr>
        <w:pStyle w:val="CH3normal"/>
        <w:ind w:left="567" w:hanging="567"/>
      </w:pPr>
      <w:r w:rsidRPr="00A307F0">
        <w:rPr>
          <w:b/>
          <w:bCs/>
        </w:rPr>
        <w:lastRenderedPageBreak/>
        <w:t>Solid biomass</w:t>
      </w:r>
      <w:r w:rsidRPr="00F87B68">
        <w:t xml:space="preserve"> </w:t>
      </w:r>
      <w:r>
        <w:t xml:space="preserve">- </w:t>
      </w:r>
      <w:r w:rsidRPr="00F87B68">
        <w:t xml:space="preserve">The </w:t>
      </w:r>
      <w:r w:rsidRPr="00C44DB6">
        <w:t>6</w:t>
      </w:r>
      <w:r w:rsidR="001C2D50" w:rsidRPr="00C44DB6">
        <w:t>8</w:t>
      </w:r>
      <w:r w:rsidRPr="00F87B68">
        <w:t xml:space="preserve"> stations that reported solid biomass con</w:t>
      </w:r>
      <w:r w:rsidRPr="00DD0DE1">
        <w:t>signments burnt 11.</w:t>
      </w:r>
      <w:r>
        <w:t>7</w:t>
      </w:r>
      <w:r w:rsidR="00C44DB6">
        <w:t>3</w:t>
      </w:r>
      <w:r w:rsidRPr="00DD0DE1">
        <w:t xml:space="preserve"> million tonnes in 2020-21; a 0.</w:t>
      </w:r>
      <w:r>
        <w:t>0</w:t>
      </w:r>
      <w:r w:rsidR="00F0131C">
        <w:t>4</w:t>
      </w:r>
      <w:r w:rsidRPr="00DD0DE1">
        <w:t xml:space="preserve"> million </w:t>
      </w:r>
      <w:r w:rsidR="00F0131C" w:rsidRPr="00DD0DE1">
        <w:t>tonnes</w:t>
      </w:r>
      <w:r w:rsidRPr="00DD0DE1">
        <w:t xml:space="preserve"> </w:t>
      </w:r>
      <w:r w:rsidR="00F0131C">
        <w:t>increase</w:t>
      </w:r>
      <w:r w:rsidRPr="00A27498">
        <w:rPr>
          <w:color w:val="548DD4" w:themeColor="text2" w:themeTint="99"/>
        </w:rPr>
        <w:t xml:space="preserve"> </w:t>
      </w:r>
      <w:r>
        <w:t>compared to 2019-20</w:t>
      </w:r>
      <w:r w:rsidRPr="0003550F">
        <w:t xml:space="preserve">. </w:t>
      </w:r>
      <w:r>
        <w:t>A</w:t>
      </w:r>
      <w:r w:rsidRPr="0003550F">
        <w:t>s</w:t>
      </w:r>
      <w:r>
        <w:t xml:space="preserve"> </w:t>
      </w:r>
      <w:r w:rsidRPr="0003550F">
        <w:t xml:space="preserve">shown in </w:t>
      </w:r>
      <w:r w:rsidRPr="00A27498">
        <w:rPr>
          <w:b/>
        </w:rPr>
        <w:t>Figure 3.</w:t>
      </w:r>
      <w:r w:rsidR="00427FCB">
        <w:rPr>
          <w:b/>
        </w:rPr>
        <w:t>4</w:t>
      </w:r>
      <w:r w:rsidRPr="00A307F0">
        <w:rPr>
          <w:bCs/>
        </w:rPr>
        <w:t>,</w:t>
      </w:r>
      <w:r w:rsidRPr="00A27498">
        <w:rPr>
          <w:b/>
        </w:rPr>
        <w:t xml:space="preserve"> </w:t>
      </w:r>
      <w:r w:rsidRPr="00C81C63">
        <w:t>the greatest</w:t>
      </w:r>
      <w:r w:rsidRPr="00A27498">
        <w:rPr>
          <w:b/>
        </w:rPr>
        <w:t xml:space="preserve"> </w:t>
      </w:r>
      <w:r w:rsidRPr="00F46B80">
        <w:t>cont</w:t>
      </w:r>
      <w:r>
        <w:t xml:space="preserve">ributions to this total were </w:t>
      </w:r>
      <w:r w:rsidRPr="00110C69">
        <w:t>from woody residues</w:t>
      </w:r>
      <w:r>
        <w:t>, which make up 33.</w:t>
      </w:r>
      <w:r w:rsidR="004A0A08">
        <w:t>86</w:t>
      </w:r>
      <w:r w:rsidRPr="00110C69">
        <w:t>%</w:t>
      </w:r>
      <w:r>
        <w:t>, followed by</w:t>
      </w:r>
      <w:r w:rsidRPr="00110C69">
        <w:t xml:space="preserve"> </w:t>
      </w:r>
      <w:r>
        <w:t>forestry residues</w:t>
      </w:r>
      <w:r w:rsidRPr="00110C69">
        <w:t xml:space="preserve"> </w:t>
      </w:r>
      <w:r>
        <w:t>at 26.</w:t>
      </w:r>
      <w:r w:rsidR="004A0A08">
        <w:t>17</w:t>
      </w:r>
      <w:r w:rsidRPr="00110C69">
        <w:t xml:space="preserve">% and </w:t>
      </w:r>
      <w:r>
        <w:t>waste wood</w:t>
      </w:r>
      <w:r w:rsidRPr="00110C69">
        <w:t xml:space="preserve"> </w:t>
      </w:r>
      <w:r>
        <w:t>at 20.</w:t>
      </w:r>
      <w:r w:rsidR="004A0A08">
        <w:t>46</w:t>
      </w:r>
      <w:r w:rsidRPr="00110C69">
        <w:t>%.</w:t>
      </w:r>
      <w:r w:rsidRPr="00A27498">
        <w:rPr>
          <w:b/>
        </w:rPr>
        <w:t xml:space="preserve"> </w:t>
      </w:r>
      <w:r w:rsidRPr="00803537">
        <w:rPr>
          <w:bCs/>
        </w:rPr>
        <w:t>Around</w:t>
      </w:r>
      <w:r>
        <w:rPr>
          <w:b/>
        </w:rPr>
        <w:t xml:space="preserve"> </w:t>
      </w:r>
      <w:r w:rsidRPr="00110C69">
        <w:t>8</w:t>
      </w:r>
      <w:r>
        <w:t>3</w:t>
      </w:r>
      <w:r w:rsidRPr="00110C69">
        <w:t>.</w:t>
      </w:r>
      <w:r>
        <w:t>6</w:t>
      </w:r>
      <w:r w:rsidR="004A0A08">
        <w:t>5</w:t>
      </w:r>
      <w:r w:rsidRPr="00110C69">
        <w:t>%</w:t>
      </w:r>
      <w:r w:rsidRPr="00A27498">
        <w:rPr>
          <w:b/>
        </w:rPr>
        <w:t xml:space="preserve"> </w:t>
      </w:r>
      <w:r w:rsidRPr="00110C69">
        <w:t xml:space="preserve">of solid biomass used in 2020-21 was of woody origin, including </w:t>
      </w:r>
      <w:proofErr w:type="spellStart"/>
      <w:r w:rsidRPr="00110C69">
        <w:t>arboricultural</w:t>
      </w:r>
      <w:proofErr w:type="spellEnd"/>
      <w:r w:rsidRPr="00110C69">
        <w:t xml:space="preserve"> residues and wood products. Crops, </w:t>
      </w:r>
      <w:r>
        <w:t>manures and slurries</w:t>
      </w:r>
      <w:r w:rsidRPr="00110C69">
        <w:t xml:space="preserve">, </w:t>
      </w:r>
      <w:r>
        <w:t xml:space="preserve">blood and viscera </w:t>
      </w:r>
      <w:r w:rsidRPr="00110C69">
        <w:t xml:space="preserve">and ‘other’ complete the remaining proportion. The ‘other’ feedstocks include </w:t>
      </w:r>
      <w:r>
        <w:t xml:space="preserve">wood products, DAF sludge/waste water, </w:t>
      </w:r>
      <w:r w:rsidRPr="00110C69">
        <w:t>brewery</w:t>
      </w:r>
      <w:r>
        <w:t xml:space="preserve"> and</w:t>
      </w:r>
      <w:r w:rsidRPr="00110C69">
        <w:t xml:space="preserve"> distillery waste</w:t>
      </w:r>
      <w:r>
        <w:t xml:space="preserve">, </w:t>
      </w:r>
      <w:r w:rsidRPr="00110C69">
        <w:t>food, garden and plant waste</w:t>
      </w:r>
      <w:r>
        <w:t xml:space="preserve">, and digestate. </w:t>
      </w:r>
    </w:p>
    <w:p w14:paraId="75BEB66A" w14:textId="5F607E22" w:rsidR="00D07D7F" w:rsidRPr="00A307F0" w:rsidRDefault="00D07D7F" w:rsidP="003B35B0">
      <w:pPr>
        <w:spacing w:line="276" w:lineRule="auto"/>
      </w:pPr>
      <w:r w:rsidRPr="00427FCB">
        <w:rPr>
          <w:b/>
          <w:bCs/>
        </w:rPr>
        <w:t>Figure 3.</w:t>
      </w:r>
      <w:r w:rsidR="00427FCB">
        <w:rPr>
          <w:b/>
          <w:bCs/>
        </w:rPr>
        <w:t>4</w:t>
      </w:r>
      <w:r w:rsidRPr="00427FCB">
        <w:rPr>
          <w:b/>
          <w:bCs/>
        </w:rPr>
        <w:t>: Type of solid biomass used in direct combustion stations</w:t>
      </w:r>
      <w:r w:rsidRPr="00A307F0">
        <w:t xml:space="preserve"> </w:t>
      </w:r>
    </w:p>
    <w:p w14:paraId="3068E6A3" w14:textId="57AB3813" w:rsidR="00D07D7F" w:rsidRPr="00CE5373" w:rsidRDefault="00893C2E" w:rsidP="003B35B0">
      <w:pPr>
        <w:spacing w:line="276" w:lineRule="auto"/>
        <w:ind w:left="709" w:hanging="709"/>
        <w:jc w:val="center"/>
      </w:pPr>
      <w:r w:rsidRPr="00893C2E">
        <w:rPr>
          <w:noProof/>
        </w:rPr>
        <w:t xml:space="preserve"> </w:t>
      </w:r>
      <w:r>
        <w:rPr>
          <w:noProof/>
        </w:rPr>
        <w:drawing>
          <wp:inline distT="0" distB="0" distL="0" distR="0" wp14:anchorId="453030AB" wp14:editId="439CAE14">
            <wp:extent cx="5561621" cy="3009900"/>
            <wp:effectExtent l="0" t="0" r="1270" b="0"/>
            <wp:docPr id="233" name="Chart 233" descr="A pie chart showing the type of solid biomass used in direct combustion stations, by percentage of total tonnage burnt.&#10;&#10;The data used to produce this chart is published alongside this report on our website.">
              <a:extLst xmlns:a="http://schemas.openxmlformats.org/drawingml/2006/main">
                <a:ext uri="{FF2B5EF4-FFF2-40B4-BE49-F238E27FC236}">
                  <a16:creationId xmlns:a16="http://schemas.microsoft.com/office/drawing/2014/main" id="{0F48E5AE-DF9F-48A4-BD2E-604ABEDEB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AF9711" w14:textId="1F49CE3B" w:rsidR="00382E03" w:rsidRDefault="00382E03" w:rsidP="003B35B0">
      <w:pPr>
        <w:pStyle w:val="Heading2"/>
        <w:spacing w:before="360"/>
      </w:pPr>
      <w:bookmarkStart w:id="116" w:name="_Toc64493538"/>
      <w:bookmarkStart w:id="117" w:name="_Toc98852155"/>
      <w:r>
        <w:rPr>
          <w:rFonts w:eastAsia="Times New Roman"/>
        </w:rPr>
        <w:t>Country of origin</w:t>
      </w:r>
      <w:bookmarkEnd w:id="116"/>
      <w:bookmarkEnd w:id="117"/>
    </w:p>
    <w:p w14:paraId="26CDAF2E" w14:textId="6E148984" w:rsidR="00720253" w:rsidRDefault="00720253" w:rsidP="003B35B0">
      <w:pPr>
        <w:pStyle w:val="CH3normal"/>
        <w:ind w:left="567" w:hanging="567"/>
      </w:pPr>
      <w:r>
        <w:t xml:space="preserve">As </w:t>
      </w:r>
      <w:r w:rsidRPr="00482E14">
        <w:t>shown</w:t>
      </w:r>
      <w:r>
        <w:t xml:space="preserve"> in </w:t>
      </w:r>
      <w:r>
        <w:rPr>
          <w:b/>
          <w:bCs/>
        </w:rPr>
        <w:t>Figure 3.5</w:t>
      </w:r>
      <w:r>
        <w:t>, during 2020-21 gasification and anaerobic digestion consignments were almost wholly sourced within UK and ROI</w:t>
      </w:r>
      <w:r w:rsidR="00431F03">
        <w:t>.</w:t>
      </w:r>
      <w:r>
        <w:rPr>
          <w:rStyle w:val="FootnoteReference"/>
        </w:rPr>
        <w:footnoteReference w:id="32"/>
      </w:r>
      <w:r>
        <w:t xml:space="preserve"> The portion of Bioliquids sourced from overseas (</w:t>
      </w:r>
      <w:r w:rsidR="00FC4B0F">
        <w:t>non-EU</w:t>
      </w:r>
      <w:r>
        <w:t>) continued to increase, reaching 8.6</w:t>
      </w:r>
      <w:r w:rsidR="00892500">
        <w:t>0</w:t>
      </w:r>
      <w:r>
        <w:t>% in 2020-21. Solid biomass stations are the only type to have significant proportions of consignments sourced from outside the UK and ROI.</w:t>
      </w:r>
    </w:p>
    <w:p w14:paraId="7AB211E9" w14:textId="77777777" w:rsidR="003D52BA" w:rsidRDefault="003D52BA">
      <w:pPr>
        <w:spacing w:line="276" w:lineRule="auto"/>
        <w:rPr>
          <w:b/>
          <w:bCs/>
        </w:rPr>
      </w:pPr>
      <w:r>
        <w:rPr>
          <w:b/>
          <w:bCs/>
        </w:rPr>
        <w:br w:type="page"/>
      </w:r>
    </w:p>
    <w:p w14:paraId="5F91FEFE" w14:textId="4BF46ACD" w:rsidR="00720253" w:rsidRPr="003B35B0" w:rsidRDefault="00720253">
      <w:pPr>
        <w:rPr>
          <w:b/>
          <w:bCs/>
        </w:rPr>
      </w:pPr>
      <w:r w:rsidRPr="003B35B0">
        <w:rPr>
          <w:b/>
          <w:bCs/>
        </w:rPr>
        <w:lastRenderedPageBreak/>
        <w:t>Figure 3.5: The origin of fuels used for fuelled generating stations during 2020-21</w:t>
      </w:r>
    </w:p>
    <w:p w14:paraId="26A3846C" w14:textId="701D250E" w:rsidR="00720253" w:rsidRDefault="00A00BA5" w:rsidP="003B35B0">
      <w:pPr>
        <w:pStyle w:val="ListParagraph"/>
        <w:ind w:left="0"/>
      </w:pPr>
      <w:r>
        <w:rPr>
          <w:noProof/>
        </w:rPr>
        <w:drawing>
          <wp:inline distT="0" distB="0" distL="0" distR="0" wp14:anchorId="7638E5DA" wp14:editId="72510240">
            <wp:extent cx="6339205" cy="2961640"/>
            <wp:effectExtent l="0" t="0" r="4445" b="0"/>
            <wp:docPr id="234" name="Chart 234" descr="A stacked column chart showing the origin of fuels used for fuelled generations stations during 2020-21. This chart gives the percentage of fuel burnt from 'UK and ROI', 'EU' and 'Overseas (non-EU) for Gasification, AD, Bioliquid and Solid Biomass stations. &#10;&#10;The data used to produce this chart is published alongside this report on our website.">
              <a:extLst xmlns:a="http://schemas.openxmlformats.org/drawingml/2006/main">
                <a:ext uri="{FF2B5EF4-FFF2-40B4-BE49-F238E27FC236}">
                  <a16:creationId xmlns:a16="http://schemas.microsoft.com/office/drawing/2014/main" id="{943EA1E8-9B8B-454C-9F3C-BA65E7892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FAA212" w14:textId="6CE256AB" w:rsidR="00AB01BF" w:rsidRPr="00A27498" w:rsidRDefault="00AB01BF" w:rsidP="003B35B0">
      <w:pPr>
        <w:pStyle w:val="CH3normal"/>
        <w:ind w:left="567" w:hanging="567"/>
        <w:rPr>
          <w:color w:val="548DD4" w:themeColor="text2" w:themeTint="99"/>
        </w:rPr>
      </w:pPr>
      <w:r w:rsidRPr="00A27498">
        <w:t xml:space="preserve">Gasification stations utilised </w:t>
      </w:r>
      <w:r w:rsidRPr="00963A6C">
        <w:t>1,</w:t>
      </w:r>
      <w:r w:rsidR="00892500">
        <w:t xml:space="preserve">055.82 </w:t>
      </w:r>
      <w:r w:rsidRPr="00A27498">
        <w:t xml:space="preserve">million </w:t>
      </w:r>
      <w:r w:rsidRPr="00963A6C">
        <w:t>m</w:t>
      </w:r>
      <w:r w:rsidRPr="00A27498">
        <w:rPr>
          <w:vertAlign w:val="superscript"/>
        </w:rPr>
        <w:t>3</w:t>
      </w:r>
      <w:r w:rsidRPr="00A27498">
        <w:t xml:space="preserve"> of syngas in 2020-21. Syngas from sources within UK and ROI accounted for 90.</w:t>
      </w:r>
      <w:r w:rsidR="00892500">
        <w:t>84</w:t>
      </w:r>
      <w:r w:rsidRPr="00A27498">
        <w:t xml:space="preserve">%, with </w:t>
      </w:r>
      <w:r w:rsidR="00892500">
        <w:t>8.82</w:t>
      </w:r>
      <w:r w:rsidRPr="00A27498">
        <w:t>% coming from the EU and 0.3</w:t>
      </w:r>
      <w:r w:rsidR="00892500">
        <w:t>4</w:t>
      </w:r>
      <w:r w:rsidRPr="00A27498">
        <w:t>% being sourced from overseas (non-EU)</w:t>
      </w:r>
      <w:r w:rsidRPr="00A27498">
        <w:rPr>
          <w:color w:val="000000" w:themeColor="text1"/>
        </w:rPr>
        <w:t xml:space="preserve">. </w:t>
      </w:r>
      <w:r w:rsidR="003552CC">
        <w:rPr>
          <w:color w:val="000000" w:themeColor="text1"/>
        </w:rPr>
        <w:t xml:space="preserve">The proportion of syngas derived from EU consignments has increase by 8.81% when compared to 2019-20. </w:t>
      </w:r>
      <w:r w:rsidRPr="00A27498">
        <w:t>Two consignments of wood pellets were sourced from Russia, and two consignments of waste wood came from France and the Netherlands. These are the only consignments to be sourced from outside UK and ROI</w:t>
      </w:r>
      <w:r w:rsidR="00A91870">
        <w:t xml:space="preserve"> and EU</w:t>
      </w:r>
      <w:r w:rsidRPr="00A27498">
        <w:t>.</w:t>
      </w:r>
    </w:p>
    <w:p w14:paraId="6D8FD1D1" w14:textId="73D996C6" w:rsidR="00AB01BF" w:rsidRPr="00A27498" w:rsidRDefault="00AB01BF" w:rsidP="003B35B0">
      <w:pPr>
        <w:pStyle w:val="CH3normal"/>
        <w:ind w:left="567" w:hanging="567"/>
        <w:rPr>
          <w:color w:val="548DD4" w:themeColor="text2" w:themeTint="99"/>
        </w:rPr>
      </w:pPr>
      <w:r w:rsidRPr="0003550F">
        <w:t xml:space="preserve">Anaerobic digestion stations used </w:t>
      </w:r>
      <w:r w:rsidRPr="00AF6BE9">
        <w:t>7</w:t>
      </w:r>
      <w:r w:rsidR="00892500">
        <w:t>5</w:t>
      </w:r>
      <w:r w:rsidRPr="00AF6BE9">
        <w:t>2.</w:t>
      </w:r>
      <w:r w:rsidR="00892500">
        <w:t>11</w:t>
      </w:r>
      <w:r w:rsidRPr="00963A6C">
        <w:t xml:space="preserve"> million m</w:t>
      </w:r>
      <w:r w:rsidRPr="00A27498">
        <w:rPr>
          <w:vertAlign w:val="superscript"/>
        </w:rPr>
        <w:t>3</w:t>
      </w:r>
      <w:r w:rsidRPr="00963A6C">
        <w:t xml:space="preserve"> of biogas in 2020-</w:t>
      </w:r>
      <w:r w:rsidRPr="0003550F">
        <w:t>2</w:t>
      </w:r>
      <w:r>
        <w:t>1</w:t>
      </w:r>
      <w:r w:rsidRPr="0003550F">
        <w:t xml:space="preserve">, </w:t>
      </w:r>
      <w:r w:rsidRPr="00963A6C">
        <w:t>99.74% of which</w:t>
      </w:r>
      <w:r w:rsidRPr="0003550F">
        <w:t xml:space="preserve"> </w:t>
      </w:r>
      <w:r w:rsidRPr="00A27498">
        <w:rPr>
          <w:color w:val="000000" w:themeColor="text1"/>
        </w:rPr>
        <w:t xml:space="preserve">was produced using feedstocks sourced within UK and ROI, 0.16% EU, and 0.1% overseas (non-EU). This </w:t>
      </w:r>
      <w:r w:rsidRPr="0003550F">
        <w:t xml:space="preserve">is consistent with the previous obligation periods. Outside the UK and ROI, </w:t>
      </w:r>
      <w:r w:rsidRPr="00963A6C">
        <w:t>feedstocks were sourced from</w:t>
      </w:r>
      <w:r>
        <w:t xml:space="preserve"> five EU countries </w:t>
      </w:r>
      <w:r w:rsidR="007136D3">
        <w:t xml:space="preserve">(France, Netherlands, Poland, Sweden, Romania) </w:t>
      </w:r>
      <w:r>
        <w:t>and six Overseas (Non-EU) countries</w:t>
      </w:r>
      <w:r w:rsidR="007136D3">
        <w:t>, consisting of Belarus, Belize, Canada, Guatemala, India and USA</w:t>
      </w:r>
      <w:r w:rsidRPr="00963A6C">
        <w:t>.</w:t>
      </w:r>
    </w:p>
    <w:p w14:paraId="417134CA" w14:textId="50CD8B51" w:rsidR="00AB01BF" w:rsidRPr="00A27498" w:rsidRDefault="00AB01BF" w:rsidP="003B35B0">
      <w:pPr>
        <w:pStyle w:val="CH3normal"/>
        <w:ind w:left="567" w:hanging="567"/>
        <w:rPr>
          <w:color w:val="548DD4" w:themeColor="text2" w:themeTint="99"/>
        </w:rPr>
      </w:pPr>
      <w:r w:rsidRPr="0003550F">
        <w:t xml:space="preserve">Bioliquid </w:t>
      </w:r>
      <w:r w:rsidRPr="00963A6C">
        <w:t>stations used 108.</w:t>
      </w:r>
      <w:r w:rsidR="00596FF4">
        <w:t>8</w:t>
      </w:r>
      <w:r w:rsidRPr="00963A6C">
        <w:t xml:space="preserve"> million litres</w:t>
      </w:r>
      <w:r w:rsidRPr="0003550F">
        <w:t xml:space="preserve"> of bioliquid in 20</w:t>
      </w:r>
      <w:r>
        <w:t>20</w:t>
      </w:r>
      <w:r w:rsidRPr="0003550F">
        <w:t>-</w:t>
      </w:r>
      <w:r w:rsidRPr="00963A6C">
        <w:t>21, 91.</w:t>
      </w:r>
      <w:r w:rsidR="00596FF4">
        <w:t>39</w:t>
      </w:r>
      <w:r w:rsidRPr="00963A6C">
        <w:t>% of</w:t>
      </w:r>
      <w:r w:rsidRPr="0003550F">
        <w:t xml:space="preserve"> this bioliquid was sourced within UK and ROI</w:t>
      </w:r>
      <w:r>
        <w:t xml:space="preserve"> </w:t>
      </w:r>
      <w:r w:rsidRPr="00183428">
        <w:t>and 8.6</w:t>
      </w:r>
      <w:r w:rsidR="00596FF4">
        <w:t>1</w:t>
      </w:r>
      <w:r w:rsidRPr="00183428">
        <w:t>% from overseas (non-EU). Outside the UK and ROI, bioliquid was sourced from Brazil and Canada. The</w:t>
      </w:r>
      <w:r w:rsidRPr="0003550F">
        <w:t xml:space="preserve"> proportion of </w:t>
      </w:r>
      <w:r w:rsidRPr="00183428">
        <w:t>bioliquid from overseas (non-EU) has increased since 2019-20 where it only accounted for 2.1% of</w:t>
      </w:r>
      <w:r>
        <w:t xml:space="preserve"> bioliquids used. </w:t>
      </w:r>
    </w:p>
    <w:p w14:paraId="39FF934E" w14:textId="1EF92B6C" w:rsidR="00717EB5" w:rsidRDefault="00331757" w:rsidP="003B35B0">
      <w:pPr>
        <w:pStyle w:val="CH3normal"/>
        <w:ind w:left="567" w:hanging="567"/>
        <w:rPr>
          <w:color w:val="548DD4" w:themeColor="text2" w:themeTint="99"/>
        </w:rPr>
      </w:pPr>
      <w:r>
        <w:t xml:space="preserve">Solid biomass stations burnt via direct combustion </w:t>
      </w:r>
      <w:r w:rsidR="00717EB5">
        <w:t>11.</w:t>
      </w:r>
      <w:r w:rsidR="00892500">
        <w:t>7</w:t>
      </w:r>
      <w:r w:rsidR="00596FF4">
        <w:t>3</w:t>
      </w:r>
      <w:r w:rsidR="00717EB5">
        <w:t xml:space="preserve"> million tonnes</w:t>
      </w:r>
      <w:r>
        <w:t xml:space="preserve"> of solid biomass</w:t>
      </w:r>
      <w:r w:rsidR="00717EB5">
        <w:t xml:space="preserve">. There has been a slight </w:t>
      </w:r>
      <w:r w:rsidR="00596FF4">
        <w:t>increase</w:t>
      </w:r>
      <w:r w:rsidR="00717EB5">
        <w:t xml:space="preserve"> in the quantity (6.</w:t>
      </w:r>
      <w:r w:rsidR="00892500">
        <w:t>7</w:t>
      </w:r>
      <w:r w:rsidR="00596FF4">
        <w:t>4</w:t>
      </w:r>
      <w:r w:rsidR="00717EB5">
        <w:t xml:space="preserve"> million tonnes)</w:t>
      </w:r>
      <w:r w:rsidR="00596FF4">
        <w:t>, but a slight decrease in the</w:t>
      </w:r>
      <w:r w:rsidR="00717EB5">
        <w:t xml:space="preserve"> proportion (5</w:t>
      </w:r>
      <w:r w:rsidR="00892500">
        <w:t>7</w:t>
      </w:r>
      <w:r w:rsidR="00717EB5">
        <w:t>.</w:t>
      </w:r>
      <w:r w:rsidR="00596FF4">
        <w:t>4</w:t>
      </w:r>
      <w:r w:rsidR="00892500">
        <w:t>6</w:t>
      </w:r>
      <w:r w:rsidR="00717EB5">
        <w:t xml:space="preserve">%) of biomass that was grown or obtained within the </w:t>
      </w:r>
      <w:r w:rsidR="00717EB5">
        <w:lastRenderedPageBreak/>
        <w:t>UK and ROI. The quantity of biomass sourced overseas (</w:t>
      </w:r>
      <w:r w:rsidR="00FC4B0F">
        <w:t>non-EU</w:t>
      </w:r>
      <w:r w:rsidR="00717EB5">
        <w:t>)</w:t>
      </w:r>
      <w:r>
        <w:t xml:space="preserve"> countries (Belarus, Brazil, Canada, Norway, Russia</w:t>
      </w:r>
      <w:r w:rsidR="00C5561B">
        <w:t>,</w:t>
      </w:r>
      <w:r>
        <w:t xml:space="preserve"> Ukraine</w:t>
      </w:r>
      <w:r w:rsidR="00C5561B">
        <w:t xml:space="preserve"> &amp; USA</w:t>
      </w:r>
      <w:r>
        <w:t>),</w:t>
      </w:r>
      <w:r w:rsidR="00717EB5">
        <w:t xml:space="preserve"> also fell slightly (4.14 million tonnes) but the proportion remained more or less consistent at 3</w:t>
      </w:r>
      <w:r w:rsidR="00892500">
        <w:t>5</w:t>
      </w:r>
      <w:r w:rsidR="00717EB5">
        <w:t>.</w:t>
      </w:r>
      <w:r w:rsidR="00596FF4">
        <w:t>32</w:t>
      </w:r>
      <w:r w:rsidR="00717EB5">
        <w:t xml:space="preserve">%. When looking at solid biomass sourced from within the EU </w:t>
      </w:r>
      <w:r>
        <w:t>(</w:t>
      </w:r>
      <w:r w:rsidR="00A0788C" w:rsidRPr="00A0788C">
        <w:t>Belgium, Estonia, Finland, France, Germany, Italy, Latvia,</w:t>
      </w:r>
      <w:r w:rsidR="00CC478D">
        <w:t xml:space="preserve"> </w:t>
      </w:r>
      <w:r w:rsidR="00A0788C" w:rsidRPr="00A0788C">
        <w:t>Lithuania,</w:t>
      </w:r>
      <w:r w:rsidR="00CC478D">
        <w:t xml:space="preserve"> </w:t>
      </w:r>
      <w:r w:rsidR="00A0788C" w:rsidRPr="00A0788C">
        <w:t>Netherlands, Poland, Portugal, Spain and Sweden</w:t>
      </w:r>
      <w:r w:rsidR="00A0788C">
        <w:t xml:space="preserve">) </w:t>
      </w:r>
      <w:r w:rsidR="00717EB5">
        <w:t>both the quantity (</w:t>
      </w:r>
      <w:r w:rsidR="00892500">
        <w:t>846</w:t>
      </w:r>
      <w:r w:rsidR="00717EB5">
        <w:t xml:space="preserve"> thousand tonnes) and proportion (7.2</w:t>
      </w:r>
      <w:r w:rsidR="00596FF4">
        <w:t>1</w:t>
      </w:r>
      <w:r w:rsidR="00717EB5">
        <w:t>%) have increased since 2019-20.</w:t>
      </w:r>
    </w:p>
    <w:p w14:paraId="1AAB07D4" w14:textId="6D79633B" w:rsidR="00E133D8" w:rsidRDefault="00E133D8">
      <w:pPr>
        <w:spacing w:line="276" w:lineRule="auto"/>
        <w:rPr>
          <w:b/>
          <w:bCs/>
        </w:rPr>
      </w:pPr>
      <w:r>
        <w:rPr>
          <w:b/>
          <w:bCs/>
        </w:rPr>
        <w:br w:type="page"/>
      </w:r>
    </w:p>
    <w:p w14:paraId="0A2E5305" w14:textId="64E0B84E" w:rsidR="0080177F" w:rsidRPr="007D43FF" w:rsidRDefault="0080177F" w:rsidP="003B35B0">
      <w:pPr>
        <w:pStyle w:val="Heading1"/>
        <w:rPr>
          <w:rStyle w:val="Heading2Char"/>
          <w:rFonts w:eastAsiaTheme="minorHAnsi" w:cstheme="minorBidi"/>
          <w:b/>
          <w:iCs/>
          <w:sz w:val="36"/>
          <w:szCs w:val="36"/>
        </w:rPr>
      </w:pPr>
      <w:bookmarkStart w:id="118" w:name="_Toc98852156"/>
      <w:r w:rsidRPr="00BE1C55">
        <w:rPr>
          <w:rStyle w:val="Heading2Char"/>
          <w:rFonts w:eastAsiaTheme="minorHAnsi" w:cstheme="minorBidi"/>
          <w:b/>
          <w:sz w:val="36"/>
          <w:szCs w:val="36"/>
        </w:rPr>
        <w:lastRenderedPageBreak/>
        <w:t>4. Compliance by licensed suppliers</w:t>
      </w:r>
      <w:bookmarkEnd w:id="118"/>
    </w:p>
    <w:p w14:paraId="7D6E77FD" w14:textId="77777777" w:rsidR="00A1389D" w:rsidRPr="003B35B0" w:rsidRDefault="00A1389D" w:rsidP="003B35B0">
      <w:pPr>
        <w:pStyle w:val="Chaptersummaryheading"/>
      </w:pPr>
      <w:r w:rsidRPr="003B35B0">
        <w:t>Chapter summary</w:t>
      </w:r>
    </w:p>
    <w:p w14:paraId="208CFD07" w14:textId="197E23D4" w:rsidR="00A1389D" w:rsidRPr="00482091" w:rsidRDefault="00A1389D" w:rsidP="00A1389D">
      <w:pPr>
        <w:rPr>
          <w:rFonts w:cstheme="minorHAnsi"/>
          <w:b/>
          <w:bCs/>
        </w:rPr>
      </w:pPr>
      <w:r w:rsidRPr="00482091">
        <w:rPr>
          <w:rFonts w:cstheme="minorHAnsi"/>
          <w:b/>
          <w:bCs/>
        </w:rPr>
        <w:t>In 2020-21, suppliers presented 105</w:t>
      </w:r>
      <w:r>
        <w:rPr>
          <w:rFonts w:cstheme="minorHAnsi"/>
          <w:b/>
          <w:bCs/>
        </w:rPr>
        <w:t>.26</w:t>
      </w:r>
      <w:r w:rsidRPr="00482091">
        <w:rPr>
          <w:rFonts w:cstheme="minorHAnsi"/>
          <w:b/>
          <w:bCs/>
        </w:rPr>
        <w:t xml:space="preserve"> million ROCs towards the total UK obligation of 119</w:t>
      </w:r>
      <w:r>
        <w:rPr>
          <w:rFonts w:cstheme="minorHAnsi"/>
          <w:b/>
          <w:bCs/>
        </w:rPr>
        <w:t>.09</w:t>
      </w:r>
      <w:r w:rsidRPr="00482091">
        <w:rPr>
          <w:rFonts w:cstheme="minorHAnsi"/>
          <w:b/>
          <w:bCs/>
        </w:rPr>
        <w:t xml:space="preserve"> million ROCs.</w:t>
      </w:r>
      <w:r w:rsidRPr="00482091">
        <w:rPr>
          <w:rStyle w:val="FootnoteReference"/>
          <w:rFonts w:eastAsiaTheme="minorEastAsia" w:cstheme="minorHAnsi"/>
          <w:b/>
          <w:bCs/>
          <w:color w:val="000000" w:themeColor="text1"/>
        </w:rPr>
        <w:footnoteReference w:id="33"/>
      </w:r>
      <w:r w:rsidRPr="00482091">
        <w:rPr>
          <w:rFonts w:cstheme="minorHAnsi"/>
          <w:b/>
          <w:bCs/>
        </w:rPr>
        <w:t xml:space="preserve"> Those suppliers who </w:t>
      </w:r>
      <w:r w:rsidR="00993232">
        <w:rPr>
          <w:rFonts w:cstheme="minorHAnsi"/>
          <w:b/>
          <w:bCs/>
        </w:rPr>
        <w:t>did</w:t>
      </w:r>
      <w:r w:rsidR="00993232" w:rsidRPr="00482091">
        <w:rPr>
          <w:rFonts w:cstheme="minorHAnsi"/>
          <w:b/>
          <w:bCs/>
        </w:rPr>
        <w:t xml:space="preserve"> </w:t>
      </w:r>
      <w:r w:rsidRPr="00482091">
        <w:rPr>
          <w:rFonts w:cstheme="minorHAnsi"/>
          <w:b/>
          <w:bCs/>
        </w:rPr>
        <w:t xml:space="preserve">not meet their obligation through presenting ROCs by the deadline of 1 September </w:t>
      </w:r>
      <w:r w:rsidR="006D7CE0">
        <w:rPr>
          <w:rFonts w:cstheme="minorHAnsi"/>
          <w:b/>
          <w:bCs/>
        </w:rPr>
        <w:t xml:space="preserve">2021 </w:t>
      </w:r>
      <w:r w:rsidR="00993232">
        <w:rPr>
          <w:rFonts w:cstheme="minorHAnsi"/>
          <w:b/>
          <w:bCs/>
        </w:rPr>
        <w:t>were</w:t>
      </w:r>
      <w:r w:rsidR="00993232" w:rsidRPr="00482091">
        <w:rPr>
          <w:rFonts w:cstheme="minorHAnsi"/>
          <w:b/>
          <w:bCs/>
        </w:rPr>
        <w:t xml:space="preserve"> </w:t>
      </w:r>
      <w:r w:rsidRPr="00482091">
        <w:rPr>
          <w:rFonts w:cstheme="minorHAnsi"/>
          <w:b/>
          <w:bCs/>
        </w:rPr>
        <w:t>required to make up the shortfall by making payments into the buy-out fund no later than 31 August</w:t>
      </w:r>
      <w:r w:rsidR="006D7CE0">
        <w:rPr>
          <w:rFonts w:cstheme="minorHAnsi"/>
          <w:b/>
          <w:bCs/>
        </w:rPr>
        <w:t xml:space="preserve"> 2021</w:t>
      </w:r>
      <w:r w:rsidRPr="00482091">
        <w:rPr>
          <w:rFonts w:cstheme="minorHAnsi"/>
          <w:b/>
          <w:bCs/>
        </w:rPr>
        <w:t xml:space="preserve">. Where this payment deadline </w:t>
      </w:r>
      <w:r w:rsidR="00993232">
        <w:rPr>
          <w:rFonts w:cstheme="minorHAnsi"/>
          <w:b/>
          <w:bCs/>
        </w:rPr>
        <w:t>was</w:t>
      </w:r>
      <w:r w:rsidRPr="00482091">
        <w:rPr>
          <w:rFonts w:cstheme="minorHAnsi"/>
          <w:b/>
          <w:bCs/>
        </w:rPr>
        <w:t xml:space="preserve"> missed</w:t>
      </w:r>
      <w:r w:rsidR="00785C2F">
        <w:rPr>
          <w:rFonts w:cstheme="minorHAnsi"/>
          <w:b/>
          <w:bCs/>
        </w:rPr>
        <w:t>,</w:t>
      </w:r>
      <w:r w:rsidRPr="00482091">
        <w:rPr>
          <w:rFonts w:cstheme="minorHAnsi"/>
          <w:b/>
          <w:bCs/>
        </w:rPr>
        <w:t xml:space="preserve"> suppliers ha</w:t>
      </w:r>
      <w:r w:rsidR="003C0102">
        <w:rPr>
          <w:rFonts w:cstheme="minorHAnsi"/>
          <w:b/>
          <w:bCs/>
        </w:rPr>
        <w:t>d</w:t>
      </w:r>
      <w:r w:rsidRPr="00482091">
        <w:rPr>
          <w:rFonts w:cstheme="minorHAnsi"/>
          <w:b/>
          <w:bCs/>
        </w:rPr>
        <w:t xml:space="preserve"> not met their obligations on time and </w:t>
      </w:r>
      <w:r w:rsidR="00993232">
        <w:rPr>
          <w:rFonts w:cstheme="minorHAnsi"/>
          <w:b/>
          <w:bCs/>
        </w:rPr>
        <w:t>were</w:t>
      </w:r>
      <w:r w:rsidR="00993232" w:rsidRPr="00482091">
        <w:rPr>
          <w:rFonts w:cstheme="minorHAnsi"/>
          <w:b/>
          <w:bCs/>
        </w:rPr>
        <w:t xml:space="preserve"> </w:t>
      </w:r>
      <w:r w:rsidRPr="00482091">
        <w:rPr>
          <w:rFonts w:cstheme="minorHAnsi"/>
          <w:b/>
          <w:bCs/>
        </w:rPr>
        <w:t xml:space="preserve">required to fulfil any remaining part of their obligation by paying into </w:t>
      </w:r>
      <w:r w:rsidR="00785C2F">
        <w:rPr>
          <w:rFonts w:cstheme="minorHAnsi"/>
          <w:b/>
          <w:bCs/>
        </w:rPr>
        <w:t xml:space="preserve">the </w:t>
      </w:r>
      <w:r w:rsidRPr="00482091">
        <w:rPr>
          <w:rFonts w:cstheme="minorHAnsi"/>
          <w:b/>
          <w:bCs/>
        </w:rPr>
        <w:t>late payment fund by 31 October</w:t>
      </w:r>
      <w:r w:rsidR="006D7CE0">
        <w:rPr>
          <w:rFonts w:cstheme="minorHAnsi"/>
          <w:b/>
          <w:bCs/>
        </w:rPr>
        <w:t xml:space="preserve"> 2021</w:t>
      </w:r>
      <w:r w:rsidRPr="00482091">
        <w:rPr>
          <w:rFonts w:cstheme="minorHAnsi"/>
          <w:b/>
          <w:bCs/>
        </w:rPr>
        <w:t>. The payments collected resulted in £465.</w:t>
      </w:r>
      <w:r>
        <w:rPr>
          <w:rFonts w:cstheme="minorHAnsi"/>
          <w:b/>
          <w:bCs/>
        </w:rPr>
        <w:t>9</w:t>
      </w:r>
      <w:r w:rsidRPr="00482091">
        <w:rPr>
          <w:rFonts w:cstheme="minorHAnsi"/>
          <w:b/>
          <w:bCs/>
        </w:rPr>
        <w:t xml:space="preserve"> million being redistributed to eligible suppliers from the buy-out fund and late payment fund. This was</w:t>
      </w:r>
      <w:r>
        <w:rPr>
          <w:rFonts w:cstheme="minorHAnsi"/>
          <w:b/>
          <w:bCs/>
        </w:rPr>
        <w:t xml:space="preserve"> </w:t>
      </w:r>
      <w:r w:rsidRPr="00B027B8">
        <w:rPr>
          <w:rFonts w:cstheme="minorHAnsi"/>
          <w:b/>
          <w:bCs/>
        </w:rPr>
        <w:t>substantially</w:t>
      </w:r>
      <w:r>
        <w:rPr>
          <w:rFonts w:cstheme="minorHAnsi"/>
          <w:b/>
          <w:bCs/>
        </w:rPr>
        <w:t xml:space="preserve"> </w:t>
      </w:r>
      <w:r w:rsidRPr="00482091">
        <w:rPr>
          <w:rFonts w:cstheme="minorHAnsi"/>
          <w:b/>
          <w:bCs/>
        </w:rPr>
        <w:t>less than the £</w:t>
      </w:r>
      <w:r w:rsidRPr="00237315">
        <w:rPr>
          <w:rFonts w:cstheme="minorHAnsi"/>
          <w:b/>
          <w:bCs/>
        </w:rPr>
        <w:t>654.6</w:t>
      </w:r>
      <w:r w:rsidRPr="00482091">
        <w:rPr>
          <w:rFonts w:cstheme="minorHAnsi"/>
          <w:b/>
          <w:bCs/>
        </w:rPr>
        <w:t xml:space="preserve"> million </w:t>
      </w:r>
      <w:r>
        <w:rPr>
          <w:rFonts w:cstheme="minorHAnsi"/>
          <w:b/>
          <w:bCs/>
        </w:rPr>
        <w:t>re</w:t>
      </w:r>
      <w:r w:rsidRPr="00482091">
        <w:rPr>
          <w:rFonts w:cstheme="minorHAnsi"/>
          <w:b/>
          <w:bCs/>
        </w:rPr>
        <w:t>distributed in 2019-20. Each ROC was notionally worth £</w:t>
      </w:r>
      <w:r w:rsidRPr="00F042F1">
        <w:rPr>
          <w:rFonts w:cstheme="minorHAnsi"/>
          <w:b/>
          <w:bCs/>
        </w:rPr>
        <w:t>54.47</w:t>
      </w:r>
      <w:r w:rsidRPr="00482091">
        <w:rPr>
          <w:rFonts w:cstheme="minorHAnsi"/>
          <w:b/>
          <w:bCs/>
        </w:rPr>
        <w:t>, giving a scheme value of approximately £5.73 billion.</w:t>
      </w:r>
    </w:p>
    <w:p w14:paraId="5BD3AD23" w14:textId="0A201059" w:rsidR="00A1389D" w:rsidRPr="00A22F1E" w:rsidRDefault="0012258A" w:rsidP="00A1389D">
      <w:pPr>
        <w:rPr>
          <w:rFonts w:eastAsiaTheme="minorEastAsia" w:cstheme="minorHAnsi"/>
          <w:b/>
          <w:bCs/>
          <w:color w:val="000000" w:themeColor="text1"/>
        </w:rPr>
      </w:pPr>
      <w:r>
        <w:rPr>
          <w:rFonts w:eastAsiaTheme="minorEastAsia" w:cstheme="minorHAnsi"/>
          <w:b/>
          <w:bCs/>
          <w:color w:val="000000" w:themeColor="text1"/>
        </w:rPr>
        <w:t>A</w:t>
      </w:r>
      <w:r w:rsidRPr="00A22F1E">
        <w:rPr>
          <w:rFonts w:eastAsiaTheme="minorEastAsia" w:cstheme="minorHAnsi"/>
          <w:b/>
          <w:bCs/>
          <w:color w:val="000000" w:themeColor="text1"/>
        </w:rPr>
        <w:t>s of the late payment deadline of 31 October 2021</w:t>
      </w:r>
      <w:r>
        <w:rPr>
          <w:rFonts w:eastAsiaTheme="minorEastAsia" w:cstheme="minorHAnsi"/>
          <w:b/>
          <w:bCs/>
          <w:color w:val="000000" w:themeColor="text1"/>
        </w:rPr>
        <w:t xml:space="preserve">, </w:t>
      </w:r>
      <w:r w:rsidR="00A1389D" w:rsidRPr="00A22F1E">
        <w:rPr>
          <w:rFonts w:eastAsiaTheme="minorEastAsia" w:cstheme="minorHAnsi"/>
          <w:b/>
          <w:bCs/>
          <w:color w:val="000000" w:themeColor="text1"/>
        </w:rPr>
        <w:t xml:space="preserve">28 suppliers </w:t>
      </w:r>
      <w:r w:rsidR="00993232">
        <w:rPr>
          <w:rFonts w:eastAsiaTheme="minorEastAsia" w:cstheme="minorHAnsi"/>
          <w:b/>
          <w:bCs/>
          <w:color w:val="000000" w:themeColor="text1"/>
        </w:rPr>
        <w:t>had</w:t>
      </w:r>
      <w:r w:rsidR="00993232" w:rsidRPr="00A22F1E">
        <w:rPr>
          <w:rFonts w:eastAsiaTheme="minorEastAsia" w:cstheme="minorHAnsi"/>
          <w:b/>
          <w:bCs/>
          <w:color w:val="000000" w:themeColor="text1"/>
        </w:rPr>
        <w:t xml:space="preserve"> </w:t>
      </w:r>
      <w:r w:rsidR="00A1389D" w:rsidRPr="00A22F1E">
        <w:rPr>
          <w:rFonts w:eastAsiaTheme="minorEastAsia" w:cstheme="minorHAnsi"/>
          <w:b/>
          <w:bCs/>
          <w:color w:val="000000" w:themeColor="text1"/>
        </w:rPr>
        <w:t>not met their obligations, resulting in a shortfall of £218</w:t>
      </w:r>
      <w:r w:rsidR="00A1389D">
        <w:rPr>
          <w:rFonts w:eastAsiaTheme="minorEastAsia" w:cstheme="minorHAnsi"/>
          <w:b/>
          <w:bCs/>
          <w:color w:val="000000" w:themeColor="text1"/>
        </w:rPr>
        <w:t>.3</w:t>
      </w:r>
      <w:r w:rsidR="00A1389D" w:rsidRPr="00A22F1E">
        <w:rPr>
          <w:rFonts w:eastAsiaTheme="minorEastAsia" w:cstheme="minorHAnsi"/>
          <w:b/>
          <w:bCs/>
          <w:color w:val="000000" w:themeColor="text1"/>
        </w:rPr>
        <w:t xml:space="preserve"> million (excluding interest) in the buy-out</w:t>
      </w:r>
      <w:r>
        <w:rPr>
          <w:rFonts w:eastAsiaTheme="minorEastAsia" w:cstheme="minorHAnsi"/>
          <w:b/>
          <w:bCs/>
          <w:color w:val="000000" w:themeColor="text1"/>
        </w:rPr>
        <w:t xml:space="preserve"> and </w:t>
      </w:r>
      <w:r w:rsidR="00A1389D" w:rsidRPr="00A22F1E">
        <w:rPr>
          <w:rFonts w:eastAsiaTheme="minorEastAsia" w:cstheme="minorHAnsi"/>
          <w:b/>
          <w:bCs/>
          <w:color w:val="000000" w:themeColor="text1"/>
        </w:rPr>
        <w:t>late payment funds. This resulted in mutualisation being triggered on the RO and ROS for the fourth successive year.</w:t>
      </w:r>
      <w:r w:rsidR="00A1389D" w:rsidRPr="00A22F1E">
        <w:rPr>
          <w:rFonts w:eastAsia="Times New Roman" w:cstheme="minorHAnsi"/>
          <w:b/>
          <w:bCs/>
          <w:vertAlign w:val="superscript"/>
        </w:rPr>
        <w:footnoteReference w:id="34"/>
      </w:r>
      <w:r w:rsidR="00A1389D" w:rsidRPr="00A22F1E">
        <w:rPr>
          <w:rFonts w:eastAsiaTheme="minorEastAsia" w:cstheme="minorHAnsi"/>
          <w:b/>
          <w:bCs/>
          <w:color w:val="000000" w:themeColor="text1"/>
        </w:rPr>
        <w:t xml:space="preserve"> </w:t>
      </w:r>
    </w:p>
    <w:p w14:paraId="45F3F45F" w14:textId="5DCEA492" w:rsidR="00662DE5" w:rsidRPr="007D43FF" w:rsidRDefault="00223041" w:rsidP="003B35B0">
      <w:pPr>
        <w:pStyle w:val="Heading2"/>
      </w:pPr>
      <w:bookmarkStart w:id="119" w:name="_Toc98852157"/>
      <w:r>
        <w:t>Supplier Obligation</w:t>
      </w:r>
      <w:bookmarkEnd w:id="119"/>
    </w:p>
    <w:p w14:paraId="62A60F60" w14:textId="00AABB63" w:rsidR="00A1389D" w:rsidRPr="00BE30D1" w:rsidRDefault="00A1389D" w:rsidP="003B35B0">
      <w:pPr>
        <w:pStyle w:val="CH4normal"/>
        <w:ind w:left="567" w:hanging="567"/>
      </w:pPr>
      <w:r w:rsidRPr="00192521">
        <w:t>The obligation level is set by the Secretary of State and published by BEIS six months before each obligation period begins.</w:t>
      </w:r>
      <w:r w:rsidRPr="0076464C">
        <w:rPr>
          <w:vertAlign w:val="superscript"/>
        </w:rPr>
        <w:footnoteReference w:id="35"/>
      </w:r>
      <w:r w:rsidRPr="00192521">
        <w:t xml:space="preserve"> On 1 September 2019, BEIS announced the 2020-21 obligation level applicable for suppliers</w:t>
      </w:r>
      <w:r w:rsidR="00105D43" w:rsidRPr="00105D43">
        <w:t xml:space="preserve"> </w:t>
      </w:r>
      <w:r w:rsidR="00105D43" w:rsidRPr="00192521">
        <w:t xml:space="preserve">as detailed in </w:t>
      </w:r>
      <w:r w:rsidR="00105D43" w:rsidRPr="00192521">
        <w:rPr>
          <w:b/>
          <w:bCs/>
        </w:rPr>
        <w:t>Table 4.1</w:t>
      </w:r>
      <w:r w:rsidR="00105D43">
        <w:t xml:space="preserve"> below</w:t>
      </w:r>
      <w:r w:rsidR="00105D43" w:rsidRPr="00A7112D">
        <w:t>.</w:t>
      </w:r>
      <w:r w:rsidRPr="0076464C">
        <w:rPr>
          <w:vertAlign w:val="superscript"/>
        </w:rPr>
        <w:footnoteReference w:id="36"/>
      </w:r>
      <w:r w:rsidRPr="00192521">
        <w:t xml:space="preserve"> </w:t>
      </w:r>
    </w:p>
    <w:p w14:paraId="17A8B2CA" w14:textId="2CFB6986" w:rsidR="00A1389D" w:rsidRPr="006B3AC6" w:rsidRDefault="00A1389D" w:rsidP="00A1389D">
      <w:pPr>
        <w:rPr>
          <w:rFonts w:eastAsiaTheme="minorEastAsia" w:cstheme="minorHAnsi"/>
          <w:b/>
          <w:bCs/>
          <w:color w:val="000000" w:themeColor="text1"/>
        </w:rPr>
      </w:pPr>
      <w:r w:rsidRPr="006B3AC6">
        <w:rPr>
          <w:rFonts w:eastAsiaTheme="minorEastAsia" w:cstheme="minorHAnsi"/>
          <w:b/>
          <w:bCs/>
          <w:color w:val="000000" w:themeColor="text1"/>
        </w:rPr>
        <w:t>Table 4.1: Obligation level</w:t>
      </w:r>
      <w:r w:rsidR="00993232">
        <w:rPr>
          <w:rFonts w:eastAsiaTheme="minorEastAsia" w:cstheme="minorHAnsi"/>
          <w:b/>
          <w:bCs/>
          <w:color w:val="000000" w:themeColor="text1"/>
        </w:rPr>
        <w:t>s</w:t>
      </w:r>
      <w:r w:rsidRPr="006B3AC6">
        <w:rPr>
          <w:rFonts w:eastAsiaTheme="minorEastAsia" w:cstheme="minorHAnsi"/>
          <w:b/>
          <w:bCs/>
          <w:color w:val="000000" w:themeColor="text1"/>
        </w:rPr>
        <w:t xml:space="preserve"> 2020-21</w:t>
      </w:r>
    </w:p>
    <w:tbl>
      <w:tblPr>
        <w:tblStyle w:val="TableGrid"/>
        <w:tblW w:w="10144" w:type="dxa"/>
        <w:tblLayout w:type="fixed"/>
        <w:tblLook w:val="04A0" w:firstRow="1" w:lastRow="0" w:firstColumn="1" w:lastColumn="0" w:noHBand="0" w:noVBand="1"/>
      </w:tblPr>
      <w:tblGrid>
        <w:gridCol w:w="2835"/>
        <w:gridCol w:w="2436"/>
        <w:gridCol w:w="2436"/>
        <w:gridCol w:w="2437"/>
      </w:tblGrid>
      <w:tr w:rsidR="00A1389D" w:rsidRPr="006B3AC6" w14:paraId="2353BC97" w14:textId="77777777" w:rsidTr="003B35B0">
        <w:trPr>
          <w:trHeight w:val="125"/>
        </w:trPr>
        <w:tc>
          <w:tcPr>
            <w:tcW w:w="2835" w:type="dxa"/>
            <w:tcBorders>
              <w:top w:val="nil"/>
              <w:left w:val="nil"/>
              <w:bottom w:val="single" w:sz="4" w:space="0" w:color="auto"/>
              <w:right w:val="single" w:sz="4" w:space="0" w:color="auto"/>
            </w:tcBorders>
          </w:tcPr>
          <w:p w14:paraId="3DDFABDA" w14:textId="77777777" w:rsidR="00A1389D" w:rsidRPr="002E3196" w:rsidRDefault="00A1389D" w:rsidP="00A1389D">
            <w:pPr>
              <w:rPr>
                <w:rFonts w:eastAsiaTheme="minorEastAsia" w:cstheme="minorHAnsi"/>
                <w:color w:val="000000" w:themeColor="text1"/>
                <w:sz w:val="16"/>
                <w:szCs w:val="16"/>
              </w:rPr>
            </w:pPr>
          </w:p>
        </w:tc>
        <w:tc>
          <w:tcPr>
            <w:tcW w:w="2436" w:type="dxa"/>
            <w:tcBorders>
              <w:left w:val="single" w:sz="4" w:space="0" w:color="auto"/>
            </w:tcBorders>
            <w:shd w:val="clear" w:color="auto" w:fill="2363AF"/>
          </w:tcPr>
          <w:p w14:paraId="054969B9" w14:textId="77777777" w:rsidR="00993232"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 xml:space="preserve">England &amp; Wales </w:t>
            </w:r>
          </w:p>
          <w:p w14:paraId="48D09413" w14:textId="591E9510" w:rsidR="00A1389D" w:rsidRPr="00E92A9D"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(RO)</w:t>
            </w:r>
          </w:p>
        </w:tc>
        <w:tc>
          <w:tcPr>
            <w:tcW w:w="2436" w:type="dxa"/>
            <w:shd w:val="clear" w:color="auto" w:fill="2363AF"/>
          </w:tcPr>
          <w:p w14:paraId="7A23917D" w14:textId="77777777" w:rsidR="00B83F14"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 xml:space="preserve">Scotland </w:t>
            </w:r>
          </w:p>
          <w:p w14:paraId="04CD7A7E" w14:textId="77E7292D" w:rsidR="00A1389D" w:rsidRPr="00E92A9D"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(ROS)</w:t>
            </w:r>
          </w:p>
        </w:tc>
        <w:tc>
          <w:tcPr>
            <w:tcW w:w="2437" w:type="dxa"/>
            <w:shd w:val="clear" w:color="auto" w:fill="2363AF"/>
          </w:tcPr>
          <w:p w14:paraId="27ADC7C4" w14:textId="77777777" w:rsidR="00993232"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 xml:space="preserve">Northern Ireland </w:t>
            </w:r>
          </w:p>
          <w:p w14:paraId="59E0E23A" w14:textId="6C6988B0" w:rsidR="00A1389D" w:rsidRPr="00E92A9D" w:rsidRDefault="00A1389D" w:rsidP="003B35B0">
            <w:pPr>
              <w:spacing w:line="288" w:lineRule="auto"/>
              <w:jc w:val="right"/>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(NIRO)</w:t>
            </w:r>
          </w:p>
        </w:tc>
      </w:tr>
      <w:tr w:rsidR="00A1389D" w:rsidRPr="006B3AC6" w14:paraId="1C7F5326" w14:textId="77777777" w:rsidTr="003B35B0">
        <w:trPr>
          <w:trHeight w:val="513"/>
        </w:trPr>
        <w:tc>
          <w:tcPr>
            <w:tcW w:w="2835" w:type="dxa"/>
            <w:tcBorders>
              <w:top w:val="single" w:sz="4" w:space="0" w:color="auto"/>
            </w:tcBorders>
            <w:shd w:val="clear" w:color="auto" w:fill="2363AF"/>
            <w:vAlign w:val="center"/>
          </w:tcPr>
          <w:p w14:paraId="57286C6A" w14:textId="77777777" w:rsidR="00B83F14" w:rsidRDefault="00A1389D" w:rsidP="003B35B0">
            <w:pPr>
              <w:rPr>
                <w:rFonts w:eastAsiaTheme="minorEastAsia" w:cstheme="minorHAnsi"/>
                <w:color w:val="FFFFFF" w:themeColor="background1"/>
                <w:sz w:val="16"/>
                <w:szCs w:val="16"/>
              </w:rPr>
            </w:pPr>
            <w:r w:rsidRPr="00E92A9D">
              <w:rPr>
                <w:rFonts w:eastAsiaTheme="minorEastAsia" w:cstheme="minorHAnsi"/>
                <w:color w:val="FFFFFF" w:themeColor="background1"/>
                <w:sz w:val="16"/>
                <w:szCs w:val="16"/>
              </w:rPr>
              <w:t xml:space="preserve">Obligation level </w:t>
            </w:r>
          </w:p>
          <w:p w14:paraId="5E76A773" w14:textId="2791A8AB" w:rsidR="00A1389D" w:rsidRPr="00E92A9D" w:rsidRDefault="00B83F14" w:rsidP="003B35B0">
            <w:pPr>
              <w:spacing w:line="288" w:lineRule="auto"/>
              <w:rPr>
                <w:rFonts w:eastAsiaTheme="minorEastAsia" w:cstheme="minorHAnsi"/>
                <w:color w:val="FFFFFF" w:themeColor="background1"/>
                <w:sz w:val="16"/>
                <w:szCs w:val="16"/>
              </w:rPr>
            </w:pPr>
            <w:r>
              <w:rPr>
                <w:rFonts w:eastAsiaTheme="minorEastAsia" w:cstheme="minorHAnsi"/>
                <w:color w:val="FFFFFF" w:themeColor="background1"/>
                <w:sz w:val="16"/>
                <w:szCs w:val="16"/>
              </w:rPr>
              <w:t>(</w:t>
            </w:r>
            <w:r w:rsidRPr="00B83F14">
              <w:rPr>
                <w:rFonts w:eastAsiaTheme="minorEastAsia" w:cstheme="minorHAnsi"/>
                <w:color w:val="FFFFFF" w:themeColor="background1"/>
                <w:sz w:val="16"/>
                <w:szCs w:val="16"/>
              </w:rPr>
              <w:t>ROCs to present per MWh supplied to customer</w:t>
            </w:r>
            <w:r>
              <w:rPr>
                <w:rFonts w:eastAsiaTheme="minorEastAsia" w:cstheme="minorHAnsi"/>
                <w:color w:val="FFFFFF" w:themeColor="background1"/>
                <w:sz w:val="16"/>
                <w:szCs w:val="16"/>
              </w:rPr>
              <w:t>s)</w:t>
            </w:r>
          </w:p>
        </w:tc>
        <w:tc>
          <w:tcPr>
            <w:tcW w:w="2436" w:type="dxa"/>
            <w:vAlign w:val="center"/>
          </w:tcPr>
          <w:p w14:paraId="0902C245" w14:textId="77777777" w:rsidR="00A1389D" w:rsidRPr="002E3196" w:rsidRDefault="00A1389D" w:rsidP="003B35B0">
            <w:pPr>
              <w:jc w:val="right"/>
              <w:rPr>
                <w:rFonts w:eastAsiaTheme="minorEastAsia" w:cstheme="minorHAnsi"/>
                <w:color w:val="000000" w:themeColor="text1"/>
                <w:sz w:val="16"/>
                <w:szCs w:val="16"/>
              </w:rPr>
            </w:pPr>
            <w:r w:rsidRPr="002E3196">
              <w:rPr>
                <w:rFonts w:eastAsiaTheme="minorEastAsia" w:cstheme="minorHAnsi"/>
                <w:color w:val="000000" w:themeColor="text1"/>
                <w:sz w:val="16"/>
                <w:szCs w:val="16"/>
              </w:rPr>
              <w:t>0.471</w:t>
            </w:r>
          </w:p>
        </w:tc>
        <w:tc>
          <w:tcPr>
            <w:tcW w:w="2436" w:type="dxa"/>
            <w:vAlign w:val="center"/>
          </w:tcPr>
          <w:p w14:paraId="49E37C3A" w14:textId="77777777" w:rsidR="00A1389D" w:rsidRPr="002E3196" w:rsidRDefault="00A1389D" w:rsidP="003B35B0">
            <w:pPr>
              <w:jc w:val="right"/>
              <w:rPr>
                <w:rFonts w:eastAsiaTheme="minorEastAsia" w:cstheme="minorHAnsi"/>
                <w:color w:val="000000" w:themeColor="text1"/>
                <w:sz w:val="16"/>
                <w:szCs w:val="16"/>
              </w:rPr>
            </w:pPr>
            <w:r w:rsidRPr="002E3196">
              <w:rPr>
                <w:rFonts w:eastAsiaTheme="minorEastAsia" w:cstheme="minorHAnsi"/>
                <w:color w:val="000000" w:themeColor="text1"/>
                <w:sz w:val="16"/>
                <w:szCs w:val="16"/>
              </w:rPr>
              <w:t>0.471</w:t>
            </w:r>
          </w:p>
        </w:tc>
        <w:tc>
          <w:tcPr>
            <w:tcW w:w="2437" w:type="dxa"/>
            <w:vAlign w:val="center"/>
          </w:tcPr>
          <w:p w14:paraId="37218886" w14:textId="77777777" w:rsidR="00A1389D" w:rsidRPr="002E3196" w:rsidRDefault="00A1389D" w:rsidP="003B35B0">
            <w:pPr>
              <w:jc w:val="right"/>
              <w:rPr>
                <w:rFonts w:eastAsiaTheme="minorEastAsia" w:cstheme="minorHAnsi"/>
                <w:color w:val="000000" w:themeColor="text1"/>
                <w:sz w:val="16"/>
                <w:szCs w:val="16"/>
              </w:rPr>
            </w:pPr>
            <w:r w:rsidRPr="002E3196">
              <w:rPr>
                <w:rFonts w:eastAsiaTheme="minorEastAsia" w:cstheme="minorHAnsi"/>
                <w:color w:val="000000" w:themeColor="text1"/>
                <w:sz w:val="16"/>
                <w:szCs w:val="16"/>
              </w:rPr>
              <w:t>0.185</w:t>
            </w:r>
          </w:p>
        </w:tc>
      </w:tr>
    </w:tbl>
    <w:p w14:paraId="5BA5A3CE" w14:textId="77777777" w:rsidR="00A1389D" w:rsidRPr="006B3AC6" w:rsidRDefault="00A1389D" w:rsidP="00A1389D">
      <w:pPr>
        <w:rPr>
          <w:rFonts w:eastAsiaTheme="minorEastAsia" w:cstheme="minorHAnsi"/>
          <w:color w:val="000000" w:themeColor="text1"/>
        </w:rPr>
      </w:pPr>
    </w:p>
    <w:p w14:paraId="1A664D3C" w14:textId="1AA85993" w:rsidR="006827D0" w:rsidRPr="003B35B0" w:rsidRDefault="00A1389D" w:rsidP="003B35B0">
      <w:pPr>
        <w:pStyle w:val="CH4normal"/>
        <w:ind w:left="567" w:hanging="567"/>
        <w:rPr>
          <w:rFonts w:eastAsiaTheme="minorEastAsia" w:cstheme="minorHAnsi"/>
          <w:color w:val="000000" w:themeColor="text1"/>
        </w:rPr>
      </w:pPr>
      <w:r w:rsidRPr="00192521">
        <w:t>The obligation level by RO jurisdiction</w:t>
      </w:r>
      <w:r w:rsidRPr="0076464C">
        <w:rPr>
          <w:vertAlign w:val="superscript"/>
        </w:rPr>
        <w:footnoteReference w:id="37"/>
      </w:r>
      <w:r w:rsidR="003A78E0">
        <w:t xml:space="preserve"> </w:t>
      </w:r>
      <w:r w:rsidR="006827D0">
        <w:t>(</w:t>
      </w:r>
      <w:r w:rsidR="003A78E0">
        <w:t xml:space="preserve">expressed as the number of ROCs </w:t>
      </w:r>
      <w:r w:rsidR="006827D0">
        <w:t>to</w:t>
      </w:r>
      <w:r w:rsidR="003A78E0">
        <w:t xml:space="preserve"> be presented for each MWh of electricity </w:t>
      </w:r>
      <w:r w:rsidR="006827D0">
        <w:t>supplied)</w:t>
      </w:r>
      <w:r w:rsidRPr="00192521">
        <w:t xml:space="preserve"> is used by Ofgem to calculate the total UK obligation</w:t>
      </w:r>
      <w:r w:rsidR="006827D0">
        <w:t>:</w:t>
      </w:r>
    </w:p>
    <w:p w14:paraId="7F596DF8" w14:textId="1D147383" w:rsidR="006827D0" w:rsidRPr="003B35B0" w:rsidRDefault="006827D0" w:rsidP="003B35B0">
      <w:pPr>
        <w:pStyle w:val="ListParagraph"/>
        <w:ind w:left="1418"/>
        <w:rPr>
          <w:i/>
          <w:iCs/>
        </w:rPr>
      </w:pPr>
      <w:r>
        <w:rPr>
          <w:i/>
          <w:iCs/>
        </w:rPr>
        <w:t>O</w:t>
      </w:r>
      <w:r w:rsidRPr="00FC6414">
        <w:rPr>
          <w:i/>
          <w:iCs/>
        </w:rPr>
        <w:t>bligation level by RO jurisdiction</w:t>
      </w:r>
      <w:r>
        <w:rPr>
          <w:i/>
          <w:iCs/>
        </w:rPr>
        <w:t xml:space="preserve"> </w:t>
      </w:r>
      <w:r w:rsidRPr="003B35B0">
        <w:rPr>
          <w:b/>
          <w:bCs/>
          <w:i/>
          <w:iCs/>
        </w:rPr>
        <w:t>x</w:t>
      </w:r>
      <w:r>
        <w:rPr>
          <w:i/>
          <w:iCs/>
        </w:rPr>
        <w:t xml:space="preserve"> E</w:t>
      </w:r>
      <w:r w:rsidR="00A1389D" w:rsidRPr="003B35B0">
        <w:rPr>
          <w:i/>
          <w:iCs/>
        </w:rPr>
        <w:t>lectricity supplied</w:t>
      </w:r>
      <w:r>
        <w:rPr>
          <w:i/>
          <w:iCs/>
        </w:rPr>
        <w:t xml:space="preserve"> per </w:t>
      </w:r>
      <w:r w:rsidRPr="00FC6414">
        <w:rPr>
          <w:i/>
          <w:iCs/>
        </w:rPr>
        <w:t>jurisdiction</w:t>
      </w:r>
      <w:r w:rsidRPr="0076464C">
        <w:rPr>
          <w:vertAlign w:val="superscript"/>
        </w:rPr>
        <w:footnoteReference w:id="38"/>
      </w:r>
      <w:r w:rsidRPr="00192521">
        <w:t xml:space="preserve"> </w:t>
      </w:r>
    </w:p>
    <w:p w14:paraId="7C8A0F37" w14:textId="1EC56C3E" w:rsidR="00A1389D" w:rsidRPr="003B35B0" w:rsidRDefault="00A1389D" w:rsidP="003B35B0">
      <w:pPr>
        <w:pStyle w:val="CH4normal"/>
        <w:ind w:left="567" w:hanging="567"/>
      </w:pPr>
      <w:r w:rsidRPr="00105D43">
        <w:t xml:space="preserve">In 2020-21, the </w:t>
      </w:r>
      <w:r w:rsidR="004B5378" w:rsidRPr="00105D43">
        <w:t xml:space="preserve">overall </w:t>
      </w:r>
      <w:r w:rsidRPr="00105D43">
        <w:t>supply was</w:t>
      </w:r>
      <w:r w:rsidR="007264F0" w:rsidRPr="00105D43">
        <w:t xml:space="preserve"> calculated as</w:t>
      </w:r>
      <w:r w:rsidRPr="00105D43">
        <w:t xml:space="preserve"> 249.96 </w:t>
      </w:r>
      <w:proofErr w:type="spellStart"/>
      <w:r w:rsidRPr="00105D43">
        <w:t>TWh</w:t>
      </w:r>
      <w:proofErr w:type="spellEnd"/>
      <w:r w:rsidR="006827D0" w:rsidRPr="00105D43">
        <w:t xml:space="preserve"> </w:t>
      </w:r>
      <w:r w:rsidRPr="00105D43">
        <w:t xml:space="preserve">to customers in GB and 7.34 </w:t>
      </w:r>
      <w:proofErr w:type="spellStart"/>
      <w:r w:rsidRPr="00105D43">
        <w:t>TWh</w:t>
      </w:r>
      <w:proofErr w:type="spellEnd"/>
      <w:r w:rsidRPr="00105D43">
        <w:t xml:space="preserve"> in NI. Using the 2020-21 obligation level</w:t>
      </w:r>
      <w:r w:rsidR="006827D0" w:rsidRPr="00105D43">
        <w:t>s</w:t>
      </w:r>
      <w:r w:rsidRPr="00105D43">
        <w:t xml:space="preserve"> and the 2020-21 electricity supplied figures, this gave a total UK obligation of 119.09 million ROCs. This is a decrease of 11.09 million ROCs (8.5%) from the total UK obligation level of 130.18 million ROCs in 2019-2</w:t>
      </w:r>
      <w:r w:rsidRPr="003B35B0">
        <w:t>0.</w:t>
      </w:r>
    </w:p>
    <w:p w14:paraId="5776BB12" w14:textId="16D658DF" w:rsidR="00A1389D" w:rsidRPr="00192521" w:rsidRDefault="00A1389D" w:rsidP="003B35B0">
      <w:pPr>
        <w:pStyle w:val="CH4normal"/>
        <w:ind w:left="567" w:hanging="567"/>
      </w:pPr>
      <w:r w:rsidRPr="00192521">
        <w:t>We set the buy-out price before each obligation period by taking the buy-out price from the previous obligation period and adjusting it in line with the change in the Retail Price Index (RPI)</w:t>
      </w:r>
      <w:r w:rsidRPr="0076464C">
        <w:rPr>
          <w:vertAlign w:val="superscript"/>
        </w:rPr>
        <w:footnoteReference w:id="39"/>
      </w:r>
      <w:r w:rsidRPr="00192521">
        <w:t xml:space="preserve"> during the previous calendar year. For the obligation period 2020-21 the price was set at £50.05 per ROC – an increase of 2.</w:t>
      </w:r>
      <w:r w:rsidR="003F5601">
        <w:t>6</w:t>
      </w:r>
      <w:r w:rsidRPr="00192521">
        <w:t xml:space="preserve">% from the 2019-20 value of £48.78. </w:t>
      </w:r>
    </w:p>
    <w:p w14:paraId="00F398C1" w14:textId="427D7124" w:rsidR="00A1389D" w:rsidRPr="00BE30D1" w:rsidRDefault="00A1389D" w:rsidP="003B35B0">
      <w:pPr>
        <w:pStyle w:val="CH4normal"/>
        <w:ind w:left="567" w:hanging="567"/>
        <w:rPr>
          <w:rFonts w:cstheme="minorHAnsi"/>
        </w:rPr>
      </w:pPr>
      <w:bookmarkStart w:id="120" w:name="_Hlk96435359"/>
      <w:bookmarkStart w:id="121" w:name="_Hlk96325544"/>
      <w:r w:rsidRPr="00192521">
        <w:t>The obligation for all 12</w:t>
      </w:r>
      <w:r w:rsidR="004B5378">
        <w:t>6</w:t>
      </w:r>
      <w:r w:rsidRPr="00192521">
        <w:t xml:space="preserve"> suppliers that supplied electricity during the obligation period</w:t>
      </w:r>
      <w:r w:rsidR="004B5378">
        <w:t>,</w:t>
      </w:r>
      <w:r w:rsidRPr="00192521">
        <w:t xml:space="preserve"> </w:t>
      </w:r>
      <w:r w:rsidR="004B5378">
        <w:t>which w</w:t>
      </w:r>
      <w:r w:rsidR="00A131B6">
        <w:t>ere</w:t>
      </w:r>
      <w:r w:rsidR="004B5378">
        <w:t xml:space="preserve"> not exempt from costs of the RO scheme</w:t>
      </w:r>
      <w:bookmarkEnd w:id="120"/>
      <w:r w:rsidR="004B5378">
        <w:t xml:space="preserve">, </w:t>
      </w:r>
      <w:r w:rsidRPr="00192521">
        <w:t>was set based on their overall supply volumes by RO jurisdiction. Suppliers with an obligation under the RO are not the complete group of licensed suppliers in the UK. Some licensed suppliers did not supply electricity in 2020-21 and so did not have an obligation. A full list of all electricity supply licences in GB is available from the Electronic Public Register on our Licensing website.</w:t>
      </w:r>
      <w:r w:rsidRPr="0076464C">
        <w:rPr>
          <w:vertAlign w:val="superscript"/>
        </w:rPr>
        <w:footnoteReference w:id="40"/>
      </w:r>
      <w:r w:rsidRPr="00192521">
        <w:t xml:space="preserve"> An equivalent list for NI is on the </w:t>
      </w:r>
      <w:r w:rsidR="00073DB1">
        <w:t>NIAUR</w:t>
      </w:r>
      <w:r w:rsidRPr="00192521">
        <w:t xml:space="preserve"> website</w:t>
      </w:r>
      <w:r w:rsidRPr="00BE30D1">
        <w:rPr>
          <w:rFonts w:eastAsiaTheme="minorEastAsia" w:cstheme="minorHAnsi"/>
          <w:color w:val="000000" w:themeColor="text1"/>
        </w:rPr>
        <w:t>.</w:t>
      </w:r>
      <w:r w:rsidRPr="006B3AC6">
        <w:rPr>
          <w:vertAlign w:val="superscript"/>
        </w:rPr>
        <w:footnoteReference w:id="41"/>
      </w:r>
    </w:p>
    <w:p w14:paraId="25482E2D" w14:textId="7881C220" w:rsidR="00A1389D" w:rsidRPr="00C04006" w:rsidRDefault="00A1389D" w:rsidP="003B35B0">
      <w:pPr>
        <w:pStyle w:val="Heading2"/>
        <w:rPr>
          <w:rStyle w:val="Heading3Char"/>
          <w:rFonts w:cstheme="minorHAnsi"/>
        </w:rPr>
      </w:pPr>
      <w:bookmarkStart w:id="122" w:name="_Toc98852158"/>
      <w:bookmarkEnd w:id="121"/>
      <w:r w:rsidRPr="00C04006">
        <w:rPr>
          <w:rStyle w:val="Heading3Char"/>
          <w:rFonts w:cstheme="minorHAnsi"/>
        </w:rPr>
        <w:t xml:space="preserve">Compliance </w:t>
      </w:r>
      <w:r w:rsidR="00662DE5">
        <w:rPr>
          <w:rStyle w:val="Heading3Char"/>
          <w:rFonts w:cstheme="minorHAnsi"/>
        </w:rPr>
        <w:t>and Enforcement</w:t>
      </w:r>
      <w:bookmarkEnd w:id="122"/>
    </w:p>
    <w:p w14:paraId="5D20477B" w14:textId="0337D2EE" w:rsidR="00A1389D" w:rsidRDefault="00A1389D" w:rsidP="003B35B0">
      <w:pPr>
        <w:pStyle w:val="CH4normal"/>
        <w:ind w:left="567" w:hanging="567"/>
        <w:rPr>
          <w:rStyle w:val="Heading3Char"/>
          <w:rFonts w:cstheme="minorHAnsi"/>
          <w:b/>
          <w:color w:val="000000" w:themeColor="text1"/>
          <w:sz w:val="20"/>
          <w:szCs w:val="20"/>
        </w:rPr>
      </w:pPr>
      <w:bookmarkStart w:id="123" w:name="_Toc89892438"/>
      <w:r w:rsidRPr="00192521">
        <w:t xml:space="preserve">Suppliers had a total of 232 obligations across the three Orders, 119 on the RO, 103 on the ROS and 10 on the NIRO. </w:t>
      </w:r>
      <w:r w:rsidR="000E3B7D">
        <w:t xml:space="preserve">As outlined in </w:t>
      </w:r>
      <w:r w:rsidR="000E3B7D">
        <w:rPr>
          <w:b/>
          <w:bCs/>
        </w:rPr>
        <w:t>T</w:t>
      </w:r>
      <w:r w:rsidR="000E3B7D" w:rsidRPr="003B35B0">
        <w:rPr>
          <w:b/>
          <w:bCs/>
        </w:rPr>
        <w:t>able 4.2</w:t>
      </w:r>
      <w:r w:rsidR="000E3B7D">
        <w:t xml:space="preserve"> below, </w:t>
      </w:r>
      <w:r w:rsidRPr="00192521">
        <w:t>178 obligations were met, 91 on the RO, 77 on the ROS and 10 on the NIRO.</w:t>
      </w:r>
      <w:bookmarkEnd w:id="123"/>
      <w:r w:rsidRPr="00BE30D1">
        <w:rPr>
          <w:rStyle w:val="Heading3Char"/>
          <w:rFonts w:cstheme="minorHAnsi"/>
          <w:color w:val="000000" w:themeColor="text1"/>
          <w:sz w:val="20"/>
          <w:szCs w:val="20"/>
        </w:rPr>
        <w:t xml:space="preserve"> </w:t>
      </w:r>
    </w:p>
    <w:p w14:paraId="4FC9C6C7" w14:textId="77777777" w:rsidR="00B83F14" w:rsidRDefault="00B83F14">
      <w:pPr>
        <w:spacing w:line="276" w:lineRule="auto"/>
        <w:rPr>
          <w:b/>
        </w:rPr>
      </w:pPr>
      <w:r>
        <w:rPr>
          <w:b/>
        </w:rPr>
        <w:br w:type="page"/>
      </w:r>
    </w:p>
    <w:p w14:paraId="22095137" w14:textId="2F0FCF0C" w:rsidR="000E3B7D" w:rsidRPr="003B35B0" w:rsidRDefault="000E3B7D" w:rsidP="003B35B0">
      <w:pPr>
        <w:spacing w:before="240" w:after="240"/>
        <w:rPr>
          <w:b/>
        </w:rPr>
      </w:pPr>
      <w:r w:rsidRPr="003B35B0">
        <w:rPr>
          <w:b/>
        </w:rPr>
        <w:lastRenderedPageBreak/>
        <w:t xml:space="preserve">Table </w:t>
      </w:r>
      <w:r w:rsidRPr="000E3B7D">
        <w:rPr>
          <w:b/>
        </w:rPr>
        <w:t>4.2</w:t>
      </w:r>
      <w:r w:rsidRPr="003B35B0">
        <w:rPr>
          <w:b/>
        </w:rPr>
        <w:t xml:space="preserve">: </w:t>
      </w:r>
      <w:r>
        <w:rPr>
          <w:b/>
        </w:rPr>
        <w:t xml:space="preserve">Suppliers and obligations </w:t>
      </w:r>
    </w:p>
    <w:tbl>
      <w:tblPr>
        <w:tblStyle w:val="GridTable4"/>
        <w:tblW w:w="9781"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5E0" w:firstRow="1" w:lastRow="1" w:firstColumn="1" w:lastColumn="1" w:noHBand="0" w:noVBand="1"/>
        <w:tblCaption w:val="Table A1.1: ROCs issued during 2018/19 by country and technology"/>
      </w:tblPr>
      <w:tblGrid>
        <w:gridCol w:w="1363"/>
        <w:gridCol w:w="1339"/>
        <w:gridCol w:w="1731"/>
        <w:gridCol w:w="1731"/>
        <w:gridCol w:w="1886"/>
        <w:gridCol w:w="1731"/>
      </w:tblGrid>
      <w:tr w:rsidR="00420E62" w:rsidRPr="001A184F" w14:paraId="4706BDB6" w14:textId="77777777" w:rsidTr="003B35B0">
        <w:trPr>
          <w:cnfStyle w:val="100000000000" w:firstRow="1" w:lastRow="0" w:firstColumn="0" w:lastColumn="0" w:oddVBand="0" w:evenVBand="0" w:oddHBand="0" w:evenHBand="0" w:firstRowFirstColumn="0" w:firstRowLastColumn="0" w:lastRowFirstColumn="0" w:lastRowLastColumn="0"/>
          <w:trHeight w:val="1085"/>
          <w:tblHeader/>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5A7D68F2" w14:textId="6130209D" w:rsidR="000E3B7D" w:rsidRPr="00450B49" w:rsidRDefault="00D051C6" w:rsidP="00266664">
            <w:pPr>
              <w:rPr>
                <w:b w:val="0"/>
                <w:bCs w:val="0"/>
                <w:sz w:val="16"/>
                <w:szCs w:val="16"/>
              </w:rPr>
            </w:pPr>
            <w:r w:rsidRPr="00450B49">
              <w:rPr>
                <w:b w:val="0"/>
                <w:bCs w:val="0"/>
                <w:sz w:val="16"/>
                <w:szCs w:val="16"/>
              </w:rPr>
              <w:t xml:space="preserve">RO Jurisdiction </w:t>
            </w:r>
          </w:p>
        </w:tc>
        <w:tc>
          <w:tcPr>
            <w:tcW w:w="1339"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182FEE13" w14:textId="0E601795" w:rsidR="000E3B7D" w:rsidRPr="00450B49" w:rsidRDefault="000E3B7D">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450B49">
              <w:rPr>
                <w:b w:val="0"/>
                <w:bCs w:val="0"/>
                <w:sz w:val="16"/>
                <w:szCs w:val="16"/>
              </w:rPr>
              <w:t>Total</w:t>
            </w:r>
            <w:r w:rsidR="00D051C6" w:rsidRPr="00450B49">
              <w:rPr>
                <w:b w:val="0"/>
                <w:bCs w:val="0"/>
                <w:sz w:val="16"/>
                <w:szCs w:val="16"/>
              </w:rPr>
              <w:t xml:space="preserve"> number of</w:t>
            </w:r>
            <w:r w:rsidRPr="00450B49">
              <w:rPr>
                <w:b w:val="0"/>
                <w:bCs w:val="0"/>
                <w:sz w:val="16"/>
                <w:szCs w:val="16"/>
              </w:rPr>
              <w:t xml:space="preserve"> Obligations</w:t>
            </w:r>
            <w:r w:rsidR="008A6818" w:rsidRPr="00450B49">
              <w:rPr>
                <w:b w:val="0"/>
                <w:bCs w:val="0"/>
                <w:sz w:val="16"/>
                <w:szCs w:val="16"/>
              </w:rPr>
              <w:t xml:space="preserve"> </w:t>
            </w:r>
          </w:p>
        </w:tc>
        <w:tc>
          <w:tcPr>
            <w:tcW w:w="1731"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01CD006F" w14:textId="0C51F1A0" w:rsidR="000E3B7D" w:rsidRPr="00450B49" w:rsidRDefault="00420E62">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450B49">
              <w:rPr>
                <w:b w:val="0"/>
                <w:bCs w:val="0"/>
                <w:sz w:val="16"/>
                <w:szCs w:val="16"/>
              </w:rPr>
              <w:t xml:space="preserve">Obligations met - </w:t>
            </w:r>
            <w:r w:rsidR="000E3B7D" w:rsidRPr="00450B49">
              <w:rPr>
                <w:b w:val="0"/>
                <w:bCs w:val="0"/>
                <w:sz w:val="16"/>
                <w:szCs w:val="16"/>
              </w:rPr>
              <w:t>ROCs alone</w:t>
            </w:r>
          </w:p>
        </w:tc>
        <w:tc>
          <w:tcPr>
            <w:tcW w:w="1731"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30965846" w14:textId="616E0E60" w:rsidR="000E3B7D" w:rsidRPr="00450B49" w:rsidRDefault="00420E62">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450B49">
              <w:rPr>
                <w:b w:val="0"/>
                <w:bCs w:val="0"/>
                <w:sz w:val="16"/>
                <w:szCs w:val="16"/>
              </w:rPr>
              <w:t xml:space="preserve">Obligations met - </w:t>
            </w:r>
            <w:r w:rsidR="000E3B7D" w:rsidRPr="00450B49">
              <w:rPr>
                <w:b w:val="0"/>
                <w:bCs w:val="0"/>
                <w:sz w:val="16"/>
                <w:szCs w:val="16"/>
              </w:rPr>
              <w:t>Buyout and/or Late Payments alone</w:t>
            </w:r>
          </w:p>
        </w:tc>
        <w:tc>
          <w:tcPr>
            <w:tcW w:w="1886"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12C546E2" w14:textId="35D88CEC" w:rsidR="000E3B7D" w:rsidRPr="00450B49" w:rsidRDefault="00420E62">
            <w:pPr>
              <w:contextualSpacing/>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450B49">
              <w:rPr>
                <w:b w:val="0"/>
                <w:bCs w:val="0"/>
                <w:sz w:val="16"/>
                <w:szCs w:val="16"/>
              </w:rPr>
              <w:t xml:space="preserve">Obligations met - </w:t>
            </w:r>
            <w:r w:rsidR="000E3B7D" w:rsidRPr="00450B49">
              <w:rPr>
                <w:b w:val="0"/>
                <w:bCs w:val="0"/>
                <w:sz w:val="16"/>
                <w:szCs w:val="16"/>
              </w:rPr>
              <w:t>Combination of ROCs and payments</w:t>
            </w:r>
          </w:p>
        </w:tc>
        <w:tc>
          <w:tcPr>
            <w:cnfStyle w:val="000100000000" w:firstRow="0" w:lastRow="0" w:firstColumn="0" w:lastColumn="1" w:oddVBand="0" w:evenVBand="0" w:oddHBand="0" w:evenHBand="0" w:firstRowFirstColumn="0" w:firstRowLastColumn="0" w:lastRowFirstColumn="0" w:lastRowLastColumn="0"/>
            <w:tcW w:w="1731" w:type="dxa"/>
            <w:tcBorders>
              <w:top w:val="single" w:sz="4" w:space="0" w:color="auto"/>
              <w:left w:val="single" w:sz="4" w:space="0" w:color="auto"/>
              <w:bottom w:val="single" w:sz="4" w:space="0" w:color="auto"/>
              <w:right w:val="single" w:sz="4" w:space="0" w:color="auto"/>
            </w:tcBorders>
            <w:shd w:val="clear" w:color="auto" w:fill="2363AF"/>
            <w:vAlign w:val="center"/>
          </w:tcPr>
          <w:p w14:paraId="353D013A" w14:textId="51C408A5" w:rsidR="000E3B7D" w:rsidRPr="00450B49" w:rsidRDefault="000E3B7D">
            <w:pPr>
              <w:contextualSpacing/>
              <w:jc w:val="right"/>
              <w:rPr>
                <w:b w:val="0"/>
                <w:bCs w:val="0"/>
                <w:sz w:val="16"/>
                <w:szCs w:val="16"/>
              </w:rPr>
            </w:pPr>
            <w:r w:rsidRPr="00450B49">
              <w:rPr>
                <w:b w:val="0"/>
                <w:bCs w:val="0"/>
                <w:sz w:val="16"/>
                <w:szCs w:val="16"/>
              </w:rPr>
              <w:t>Total</w:t>
            </w:r>
            <w:r w:rsidR="00D051C6" w:rsidRPr="00450B49">
              <w:rPr>
                <w:b w:val="0"/>
                <w:bCs w:val="0"/>
                <w:sz w:val="16"/>
                <w:szCs w:val="16"/>
              </w:rPr>
              <w:t xml:space="preserve"> number of</w:t>
            </w:r>
            <w:r w:rsidRPr="00450B49">
              <w:rPr>
                <w:b w:val="0"/>
                <w:bCs w:val="0"/>
                <w:sz w:val="16"/>
                <w:szCs w:val="16"/>
              </w:rPr>
              <w:t xml:space="preserve"> Obligations met</w:t>
            </w:r>
          </w:p>
        </w:tc>
      </w:tr>
      <w:tr w:rsidR="00420E62" w:rsidRPr="001A184F" w14:paraId="06B6E36A"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95AC" w14:textId="31C8AAD5" w:rsidR="000E3B7D" w:rsidRPr="00450B49" w:rsidRDefault="000E3B7D" w:rsidP="00266664">
            <w:pPr>
              <w:rPr>
                <w:b w:val="0"/>
                <w:bCs w:val="0"/>
                <w:sz w:val="16"/>
                <w:szCs w:val="16"/>
              </w:rPr>
            </w:pPr>
            <w:r w:rsidRPr="00450B49">
              <w:rPr>
                <w:b w:val="0"/>
                <w:bCs w:val="0"/>
                <w:sz w:val="16"/>
                <w:szCs w:val="16"/>
              </w:rPr>
              <w:t>RO</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4BDF3" w14:textId="76ED1601"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119</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81308" w14:textId="4497D838"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39</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EE821" w14:textId="22FE1001"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w:t>
            </w:r>
          </w:p>
        </w:tc>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C2C1A" w14:textId="0D70323C"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w:t>
            </w:r>
          </w:p>
        </w:tc>
        <w:tc>
          <w:tcPr>
            <w:cnfStyle w:val="000100000000" w:firstRow="0" w:lastRow="0" w:firstColumn="0" w:lastColumn="1" w:oddVBand="0" w:evenVBand="0" w:oddHBand="0" w:evenHBand="0" w:firstRowFirstColumn="0" w:firstRowLastColumn="0" w:lastRowFirstColumn="0" w:lastRowLastColumn="0"/>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7564D3DC" w14:textId="33D307F1" w:rsidR="000E3B7D" w:rsidRPr="00A61EF7" w:rsidRDefault="000E3B7D">
            <w:pPr>
              <w:jc w:val="right"/>
              <w:rPr>
                <w:rFonts w:cs="Calibri"/>
                <w:b w:val="0"/>
                <w:bCs w:val="0"/>
                <w:color w:val="262626"/>
                <w:sz w:val="16"/>
                <w:szCs w:val="16"/>
              </w:rPr>
            </w:pPr>
            <w:r>
              <w:rPr>
                <w:rFonts w:cs="Calibri"/>
                <w:b w:val="0"/>
                <w:bCs w:val="0"/>
                <w:color w:val="262626"/>
                <w:sz w:val="16"/>
                <w:szCs w:val="16"/>
              </w:rPr>
              <w:t>91</w:t>
            </w:r>
          </w:p>
        </w:tc>
      </w:tr>
      <w:tr w:rsidR="00420E62" w:rsidRPr="001A184F" w14:paraId="6AC8B4AB" w14:textId="77777777" w:rsidTr="003B35B0">
        <w:trPr>
          <w:trHeight w:val="238"/>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20A46" w14:textId="77070E48" w:rsidR="000E3B7D" w:rsidRPr="00450B49" w:rsidRDefault="000E3B7D" w:rsidP="00266664">
            <w:pPr>
              <w:rPr>
                <w:b w:val="0"/>
                <w:bCs w:val="0"/>
                <w:sz w:val="16"/>
                <w:szCs w:val="16"/>
              </w:rPr>
            </w:pPr>
            <w:r w:rsidRPr="00450B49">
              <w:rPr>
                <w:b w:val="0"/>
                <w:bCs w:val="0"/>
                <w:sz w:val="16"/>
                <w:szCs w:val="16"/>
              </w:rPr>
              <w:t>ROS</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0F84B" w14:textId="3CC4EE4D" w:rsidR="000E3B7D" w:rsidRPr="00A61EF7" w:rsidRDefault="000E3B7D">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103</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23F6B" w14:textId="38FD403C" w:rsidR="000E3B7D" w:rsidRPr="00A61EF7" w:rsidRDefault="000E3B7D">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7D479" w14:textId="54F630A5" w:rsidR="000E3B7D" w:rsidRPr="00A61EF7" w:rsidRDefault="000E3B7D">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w:t>
            </w:r>
          </w:p>
        </w:tc>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EEF4F" w14:textId="2443D821" w:rsidR="000E3B7D" w:rsidRPr="00A61EF7" w:rsidRDefault="000E3B7D">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560FA33B" w14:textId="72BF1249" w:rsidR="000E3B7D" w:rsidRPr="00A61EF7" w:rsidRDefault="000E3B7D">
            <w:pPr>
              <w:jc w:val="right"/>
              <w:rPr>
                <w:rFonts w:cs="Calibri"/>
                <w:b w:val="0"/>
                <w:bCs w:val="0"/>
                <w:color w:val="262626"/>
                <w:sz w:val="16"/>
                <w:szCs w:val="16"/>
              </w:rPr>
            </w:pPr>
            <w:r>
              <w:rPr>
                <w:rFonts w:cs="Calibri"/>
                <w:b w:val="0"/>
                <w:bCs w:val="0"/>
                <w:color w:val="262626"/>
                <w:sz w:val="16"/>
                <w:szCs w:val="16"/>
              </w:rPr>
              <w:t>77</w:t>
            </w:r>
          </w:p>
        </w:tc>
      </w:tr>
      <w:tr w:rsidR="00420E62" w:rsidRPr="001A184F" w14:paraId="4BC1C500" w14:textId="77777777" w:rsidTr="003B35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6DB7" w14:textId="73A9A4A3" w:rsidR="000E3B7D" w:rsidRPr="00450B49" w:rsidRDefault="000E3B7D" w:rsidP="00266664">
            <w:pPr>
              <w:rPr>
                <w:b w:val="0"/>
                <w:bCs w:val="0"/>
                <w:sz w:val="16"/>
                <w:szCs w:val="16"/>
              </w:rPr>
            </w:pPr>
            <w:r w:rsidRPr="00450B49">
              <w:rPr>
                <w:b w:val="0"/>
                <w:bCs w:val="0"/>
                <w:sz w:val="16"/>
                <w:szCs w:val="16"/>
              </w:rPr>
              <w:t>NIRO</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1F6D9" w14:textId="3EB2AADD"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7B5DA" w14:textId="6696165C"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84FEE" w14:textId="03B50236"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F07DE" w14:textId="59C72388" w:rsidR="000E3B7D" w:rsidRPr="00A61EF7" w:rsidRDefault="000E3B7D">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cnfStyle w:val="000100000000" w:firstRow="0" w:lastRow="0" w:firstColumn="0" w:lastColumn="1" w:oddVBand="0" w:evenVBand="0" w:oddHBand="0" w:evenHBand="0" w:firstRowFirstColumn="0" w:firstRowLastColumn="0" w:lastRowFirstColumn="0" w:lastRowLastColumn="0"/>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0EDDC883" w14:textId="17737567" w:rsidR="000E3B7D" w:rsidRPr="00A61EF7" w:rsidRDefault="000E3B7D">
            <w:pPr>
              <w:jc w:val="right"/>
              <w:rPr>
                <w:rFonts w:cs="Calibri"/>
                <w:b w:val="0"/>
                <w:bCs w:val="0"/>
                <w:color w:val="262626"/>
                <w:sz w:val="16"/>
                <w:szCs w:val="16"/>
              </w:rPr>
            </w:pPr>
            <w:r>
              <w:rPr>
                <w:rFonts w:cs="Calibri"/>
                <w:b w:val="0"/>
                <w:bCs w:val="0"/>
                <w:color w:val="262626"/>
                <w:sz w:val="16"/>
                <w:szCs w:val="16"/>
              </w:rPr>
              <w:t>10</w:t>
            </w:r>
          </w:p>
        </w:tc>
      </w:tr>
      <w:tr w:rsidR="009E7F4C" w:rsidRPr="001A184F" w14:paraId="184C6CBA" w14:textId="77777777" w:rsidTr="009E7F4C">
        <w:trPr>
          <w:cnfStyle w:val="010000000000" w:firstRow="0" w:lastRow="1"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6325079F" w14:textId="3B9DBF0B" w:rsidR="000E3B7D" w:rsidRPr="00450B49" w:rsidRDefault="000E3B7D" w:rsidP="00266664">
            <w:pPr>
              <w:rPr>
                <w:b w:val="0"/>
                <w:bCs w:val="0"/>
                <w:color w:val="FFFFFF" w:themeColor="background1"/>
                <w:sz w:val="16"/>
                <w:szCs w:val="16"/>
              </w:rPr>
            </w:pPr>
            <w:r w:rsidRPr="00450B49">
              <w:rPr>
                <w:b w:val="0"/>
                <w:bCs w:val="0"/>
                <w:color w:val="FFFFFF" w:themeColor="background1"/>
                <w:sz w:val="16"/>
                <w:szCs w:val="16"/>
              </w:rPr>
              <w:t>Total</w:t>
            </w:r>
          </w:p>
        </w:tc>
        <w:tc>
          <w:tcPr>
            <w:tcW w:w="1339"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1EA250E1" w14:textId="1DCE9652" w:rsidR="000E3B7D" w:rsidRPr="00450B49" w:rsidRDefault="000E3B7D">
            <w:pPr>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450B49">
              <w:rPr>
                <w:b w:val="0"/>
                <w:bCs w:val="0"/>
                <w:color w:val="FFFFFF" w:themeColor="background1"/>
                <w:sz w:val="16"/>
                <w:szCs w:val="16"/>
              </w:rPr>
              <w:t>232</w:t>
            </w:r>
          </w:p>
        </w:tc>
        <w:tc>
          <w:tcPr>
            <w:tcW w:w="1731"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540593B7" w14:textId="30106AB7" w:rsidR="000E3B7D" w:rsidRPr="00450B49" w:rsidRDefault="000E3B7D">
            <w:pPr>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450B49">
              <w:rPr>
                <w:b w:val="0"/>
                <w:bCs w:val="0"/>
                <w:color w:val="FFFFFF" w:themeColor="background1"/>
                <w:sz w:val="16"/>
                <w:szCs w:val="16"/>
              </w:rPr>
              <w:t>89</w:t>
            </w:r>
          </w:p>
        </w:tc>
        <w:tc>
          <w:tcPr>
            <w:tcW w:w="1731"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7500B45C" w14:textId="6191E27F" w:rsidR="000E3B7D" w:rsidRPr="00450B49" w:rsidRDefault="000E3B7D">
            <w:pPr>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450B49">
              <w:rPr>
                <w:b w:val="0"/>
                <w:bCs w:val="0"/>
                <w:color w:val="FFFFFF" w:themeColor="background1"/>
                <w:sz w:val="16"/>
                <w:szCs w:val="16"/>
              </w:rPr>
              <w:t>69</w:t>
            </w:r>
          </w:p>
        </w:tc>
        <w:tc>
          <w:tcPr>
            <w:tcW w:w="1886" w:type="dxa"/>
            <w:tcBorders>
              <w:top w:val="single" w:sz="4" w:space="0" w:color="auto"/>
              <w:left w:val="single" w:sz="4" w:space="0" w:color="auto"/>
              <w:bottom w:val="single" w:sz="4" w:space="0" w:color="auto"/>
              <w:right w:val="single" w:sz="4" w:space="0" w:color="auto"/>
            </w:tcBorders>
            <w:shd w:val="clear" w:color="auto" w:fill="2363AF"/>
            <w:noWrap/>
            <w:vAlign w:val="center"/>
          </w:tcPr>
          <w:p w14:paraId="3714284E" w14:textId="11307D34" w:rsidR="000E3B7D" w:rsidRPr="00450B49" w:rsidRDefault="000E3B7D">
            <w:pPr>
              <w:jc w:val="right"/>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16"/>
                <w:szCs w:val="16"/>
              </w:rPr>
            </w:pPr>
            <w:r w:rsidRPr="00450B49">
              <w:rPr>
                <w:b w:val="0"/>
                <w:bCs w:val="0"/>
                <w:color w:val="FFFFFF" w:themeColor="background1"/>
                <w:sz w:val="16"/>
                <w:szCs w:val="16"/>
              </w:rPr>
              <w:t>20</w:t>
            </w:r>
          </w:p>
        </w:tc>
        <w:tc>
          <w:tcPr>
            <w:cnfStyle w:val="000100000000" w:firstRow="0" w:lastRow="0" w:firstColumn="0" w:lastColumn="1" w:oddVBand="0" w:evenVBand="0" w:oddHBand="0" w:evenHBand="0" w:firstRowFirstColumn="0" w:firstRowLastColumn="0" w:lastRowFirstColumn="0" w:lastRowLastColumn="0"/>
            <w:tcW w:w="1731" w:type="dxa"/>
            <w:tcBorders>
              <w:top w:val="single" w:sz="4" w:space="0" w:color="auto"/>
              <w:left w:val="single" w:sz="4" w:space="0" w:color="auto"/>
              <w:bottom w:val="single" w:sz="4" w:space="0" w:color="auto"/>
              <w:right w:val="single" w:sz="4" w:space="0" w:color="auto"/>
            </w:tcBorders>
            <w:shd w:val="clear" w:color="auto" w:fill="2363AF"/>
            <w:vAlign w:val="center"/>
          </w:tcPr>
          <w:p w14:paraId="1B5B0DFB" w14:textId="0E50275A" w:rsidR="000E3B7D" w:rsidRPr="00450B49" w:rsidRDefault="000E3B7D">
            <w:pPr>
              <w:jc w:val="right"/>
              <w:rPr>
                <w:b w:val="0"/>
                <w:bCs w:val="0"/>
                <w:color w:val="FFFFFF" w:themeColor="background1"/>
                <w:sz w:val="16"/>
                <w:szCs w:val="16"/>
              </w:rPr>
            </w:pPr>
            <w:r w:rsidRPr="00450B49">
              <w:rPr>
                <w:b w:val="0"/>
                <w:bCs w:val="0"/>
                <w:color w:val="FFFFFF" w:themeColor="background1"/>
                <w:sz w:val="16"/>
                <w:szCs w:val="16"/>
              </w:rPr>
              <w:t>178</w:t>
            </w:r>
          </w:p>
        </w:tc>
      </w:tr>
    </w:tbl>
    <w:p w14:paraId="180BE6F3" w14:textId="1C0B7B81" w:rsidR="00AB49AD" w:rsidRPr="003B35B0" w:rsidRDefault="00AB49AD" w:rsidP="003B35B0"/>
    <w:p w14:paraId="1E5C98B2" w14:textId="7F8DBE4E" w:rsidR="00A1389D" w:rsidRPr="00BE1C55" w:rsidRDefault="00A1389D" w:rsidP="003B35B0">
      <w:pPr>
        <w:pStyle w:val="Heading3"/>
        <w:rPr>
          <w:rStyle w:val="Heading3Char"/>
        </w:rPr>
      </w:pPr>
      <w:r w:rsidRPr="00BE1C55">
        <w:rPr>
          <w:rStyle w:val="Heading3Char"/>
        </w:rPr>
        <w:t>Non-Compli</w:t>
      </w:r>
      <w:r w:rsidRPr="003B35B0">
        <w:rPr>
          <w:rStyle w:val="Heading3Char"/>
        </w:rPr>
        <w:t xml:space="preserve">ance   </w:t>
      </w:r>
    </w:p>
    <w:p w14:paraId="5E00E8DE" w14:textId="43292FC5" w:rsidR="00A1389D" w:rsidRPr="00BE30D1" w:rsidRDefault="00D42191" w:rsidP="003B35B0">
      <w:pPr>
        <w:pStyle w:val="CH4normal"/>
        <w:ind w:left="567" w:hanging="567"/>
      </w:pPr>
      <w:r>
        <w:t xml:space="preserve">In 2020-21, </w:t>
      </w:r>
      <w:r w:rsidR="00A1389D" w:rsidRPr="00BE30D1">
        <w:t xml:space="preserve">28 suppliers with </w:t>
      </w:r>
      <w:r w:rsidR="00A131B6">
        <w:t>54 obligations equating to</w:t>
      </w:r>
      <w:r w:rsidR="00A1389D" w:rsidRPr="00BE30D1">
        <w:t xml:space="preserve"> 4,587,983 ROCs</w:t>
      </w:r>
      <w:r w:rsidR="00A131B6">
        <w:t>,</w:t>
      </w:r>
      <w:r w:rsidR="00A1389D" w:rsidRPr="00BE30D1">
        <w:t xml:space="preserve"> did not </w:t>
      </w:r>
      <w:r w:rsidR="00A131B6">
        <w:t>present ROCs or make payments sufficient to meet</w:t>
      </w:r>
      <w:r w:rsidR="00A1389D" w:rsidRPr="00BE30D1">
        <w:t xml:space="preserve"> their obligations.</w:t>
      </w:r>
    </w:p>
    <w:p w14:paraId="4F101A83" w14:textId="6FD18624" w:rsidR="007C51DA" w:rsidRDefault="00D42191" w:rsidP="003B35B0">
      <w:pPr>
        <w:pStyle w:val="CH4normal"/>
        <w:ind w:left="567" w:hanging="567"/>
      </w:pPr>
      <w:r>
        <w:t xml:space="preserve">In total, </w:t>
      </w:r>
      <w:r w:rsidR="00A1389D" w:rsidRPr="00BE30D1">
        <w:t>2</w:t>
      </w:r>
      <w:r w:rsidR="006B43A0">
        <w:t>1</w:t>
      </w:r>
      <w:r w:rsidR="00A1389D" w:rsidRPr="00BE30D1">
        <w:t xml:space="preserve"> suppliers with a total obligation of </w:t>
      </w:r>
      <w:r w:rsidR="00AB52A9" w:rsidRPr="00AB52A9">
        <w:t>4,214,392</w:t>
      </w:r>
      <w:r w:rsidR="00BE65F7">
        <w:t xml:space="preserve"> </w:t>
      </w:r>
      <w:r w:rsidR="00A1389D" w:rsidRPr="00BE30D1">
        <w:t>ROCs did not make the full required buyout or late payments</w:t>
      </w:r>
      <w:r w:rsidR="00FC4B0F">
        <w:t>,</w:t>
      </w:r>
      <w:r w:rsidR="00A1389D" w:rsidRPr="00BE30D1">
        <w:t xml:space="preserve"> or present the necessary </w:t>
      </w:r>
      <w:r w:rsidR="00136150" w:rsidRPr="00BE30D1">
        <w:t>number</w:t>
      </w:r>
      <w:r w:rsidR="00A1389D" w:rsidRPr="00BE30D1">
        <w:t xml:space="preserve"> of ROCs towards their obligations and ceased trading </w:t>
      </w:r>
      <w:r w:rsidR="00D7322E">
        <w:t xml:space="preserve">before or </w:t>
      </w:r>
      <w:r w:rsidR="00A1389D" w:rsidRPr="00BE30D1">
        <w:t>during the 2020-21 Compliance Round up to the late payment deadline of 31 October 2021.</w:t>
      </w:r>
      <w:r w:rsidR="00A1389D" w:rsidRPr="006B3AC6">
        <w:rPr>
          <w:rStyle w:val="FootnoteReference"/>
          <w:rFonts w:eastAsiaTheme="minorEastAsia" w:cstheme="minorHAnsi"/>
          <w:color w:val="000000" w:themeColor="text1"/>
        </w:rPr>
        <w:footnoteReference w:id="42"/>
      </w:r>
      <w:r w:rsidR="00A1389D" w:rsidRPr="00BE30D1">
        <w:t xml:space="preserve">  </w:t>
      </w:r>
      <w:r w:rsidR="007D4D05">
        <w:t>The suppliers are:</w:t>
      </w:r>
    </w:p>
    <w:p w14:paraId="66CE4C8E" w14:textId="6DADC17D"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Avro Energy Ltd</w:t>
      </w:r>
      <w:r w:rsidR="007D4D05">
        <w:rPr>
          <w:rFonts w:eastAsiaTheme="minorEastAsia" w:cstheme="minorHAnsi"/>
          <w:color w:val="000000" w:themeColor="text1"/>
        </w:rPr>
        <w:t>.</w:t>
      </w:r>
    </w:p>
    <w:p w14:paraId="135BDD92" w14:textId="30CE194F"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Colorado Energy</w:t>
      </w:r>
      <w:r w:rsidR="007D4D05">
        <w:rPr>
          <w:rFonts w:eastAsiaTheme="minorEastAsia" w:cstheme="minorHAnsi"/>
          <w:color w:val="000000" w:themeColor="text1"/>
        </w:rPr>
        <w:t>.</w:t>
      </w:r>
    </w:p>
    <w:p w14:paraId="464FF8CA" w14:textId="6437192F"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Daisy Energy Supply Limited</w:t>
      </w:r>
      <w:r w:rsidR="007D4D05">
        <w:rPr>
          <w:rFonts w:eastAsiaTheme="minorEastAsia" w:cstheme="minorHAnsi"/>
          <w:color w:val="000000" w:themeColor="text1"/>
        </w:rPr>
        <w:t>.</w:t>
      </w:r>
    </w:p>
    <w:p w14:paraId="0508338E" w14:textId="38F6841D"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Effortless Energy Ltd</w:t>
      </w:r>
      <w:r w:rsidR="007D4D05">
        <w:rPr>
          <w:rFonts w:eastAsiaTheme="minorEastAsia" w:cstheme="minorHAnsi"/>
          <w:color w:val="000000" w:themeColor="text1"/>
        </w:rPr>
        <w:t>.</w:t>
      </w:r>
    </w:p>
    <w:p w14:paraId="26AE7DB8" w14:textId="640FD7E9"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Electraphase</w:t>
      </w:r>
      <w:proofErr w:type="spellEnd"/>
      <w:r w:rsidRPr="006B3AC6">
        <w:rPr>
          <w:rFonts w:eastAsiaTheme="minorEastAsia" w:cstheme="minorHAnsi"/>
          <w:color w:val="000000" w:themeColor="text1"/>
        </w:rPr>
        <w:t xml:space="preserve"> Limited</w:t>
      </w:r>
      <w:r w:rsidR="007D4D05">
        <w:rPr>
          <w:rFonts w:eastAsiaTheme="minorEastAsia" w:cstheme="minorHAnsi"/>
          <w:color w:val="000000" w:themeColor="text1"/>
        </w:rPr>
        <w:t>.</w:t>
      </w:r>
    </w:p>
    <w:p w14:paraId="0F19B8FD" w14:textId="4EDAF97C"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Enstroga</w:t>
      </w:r>
      <w:proofErr w:type="spellEnd"/>
      <w:r w:rsidRPr="006B3AC6">
        <w:rPr>
          <w:rFonts w:eastAsiaTheme="minorEastAsia" w:cstheme="minorHAnsi"/>
          <w:color w:val="000000" w:themeColor="text1"/>
        </w:rPr>
        <w:t xml:space="preserve"> Ltd</w:t>
      </w:r>
      <w:r w:rsidR="007D4D05">
        <w:rPr>
          <w:rFonts w:eastAsiaTheme="minorEastAsia" w:cstheme="minorHAnsi"/>
          <w:color w:val="000000" w:themeColor="text1"/>
        </w:rPr>
        <w:t>.</w:t>
      </w:r>
    </w:p>
    <w:p w14:paraId="68DA7DC7" w14:textId="45E70FB1"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Gas and Power Ltd T/A HUB Energy</w:t>
      </w:r>
      <w:r w:rsidR="007D4D05">
        <w:rPr>
          <w:rFonts w:eastAsiaTheme="minorEastAsia" w:cstheme="minorHAnsi"/>
          <w:color w:val="000000" w:themeColor="text1"/>
        </w:rPr>
        <w:t>.</w:t>
      </w:r>
    </w:p>
    <w:p w14:paraId="21181A28" w14:textId="7F539E26"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Goto</w:t>
      </w:r>
      <w:proofErr w:type="spellEnd"/>
      <w:r w:rsidRPr="006B3AC6">
        <w:rPr>
          <w:rFonts w:eastAsiaTheme="minorEastAsia" w:cstheme="minorHAnsi"/>
          <w:color w:val="000000" w:themeColor="text1"/>
        </w:rPr>
        <w:t xml:space="preserve"> Energy (UK) Ltd</w:t>
      </w:r>
      <w:r w:rsidR="007D4D05">
        <w:rPr>
          <w:rFonts w:eastAsiaTheme="minorEastAsia" w:cstheme="minorHAnsi"/>
          <w:color w:val="000000" w:themeColor="text1"/>
        </w:rPr>
        <w:t>.</w:t>
      </w:r>
    </w:p>
    <w:p w14:paraId="34B0225C" w14:textId="432F0EB2"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Green Network Energy LTD</w:t>
      </w:r>
      <w:r w:rsidR="007D4D05">
        <w:rPr>
          <w:rFonts w:eastAsiaTheme="minorEastAsia" w:cstheme="minorHAnsi"/>
          <w:color w:val="000000" w:themeColor="text1"/>
        </w:rPr>
        <w:t>.</w:t>
      </w:r>
    </w:p>
    <w:p w14:paraId="6422F53E" w14:textId="644EEEE1"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Green Supplier Ltd</w:t>
      </w:r>
      <w:r w:rsidR="007D4D05">
        <w:rPr>
          <w:rFonts w:eastAsiaTheme="minorEastAsia" w:cstheme="minorHAnsi"/>
          <w:color w:val="000000" w:themeColor="text1"/>
        </w:rPr>
        <w:t>.</w:t>
      </w:r>
    </w:p>
    <w:p w14:paraId="2C2732DA" w14:textId="699DC301" w:rsidR="007C51DA"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Igloo Energy Supply Ltd</w:t>
      </w:r>
      <w:r w:rsidR="007D4D05">
        <w:rPr>
          <w:rFonts w:eastAsiaTheme="minorEastAsia" w:cstheme="minorHAnsi"/>
          <w:color w:val="000000" w:themeColor="text1"/>
        </w:rPr>
        <w:t>.</w:t>
      </w:r>
    </w:p>
    <w:p w14:paraId="14C32B5A" w14:textId="5A73940C"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MoneyPlus</w:t>
      </w:r>
      <w:proofErr w:type="spellEnd"/>
      <w:r w:rsidRPr="006B3AC6">
        <w:rPr>
          <w:rFonts w:eastAsiaTheme="minorEastAsia" w:cstheme="minorHAnsi"/>
          <w:color w:val="000000" w:themeColor="text1"/>
        </w:rPr>
        <w:t xml:space="preserve"> Energy</w:t>
      </w:r>
      <w:r w:rsidR="007D4D05">
        <w:rPr>
          <w:rFonts w:eastAsiaTheme="minorEastAsia" w:cstheme="minorHAnsi"/>
          <w:color w:val="000000" w:themeColor="text1"/>
        </w:rPr>
        <w:t>.</w:t>
      </w:r>
    </w:p>
    <w:p w14:paraId="417102FD" w14:textId="2CBD2B36"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Nabuh</w:t>
      </w:r>
      <w:proofErr w:type="spellEnd"/>
      <w:r w:rsidRPr="006B3AC6">
        <w:rPr>
          <w:rFonts w:eastAsiaTheme="minorEastAsia" w:cstheme="minorHAnsi"/>
          <w:color w:val="000000" w:themeColor="text1"/>
        </w:rPr>
        <w:t xml:space="preserve"> Energy Ltd</w:t>
      </w:r>
      <w:r w:rsidR="007D4D05">
        <w:rPr>
          <w:rFonts w:eastAsiaTheme="minorEastAsia" w:cstheme="minorHAnsi"/>
          <w:color w:val="000000" w:themeColor="text1"/>
        </w:rPr>
        <w:t>.</w:t>
      </w:r>
    </w:p>
    <w:p w14:paraId="278C88EA" w14:textId="6BB8D480"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People's Energy (Supply) Ltd</w:t>
      </w:r>
      <w:r w:rsidR="007D4D05">
        <w:rPr>
          <w:rFonts w:eastAsiaTheme="minorEastAsia" w:cstheme="minorHAnsi"/>
          <w:color w:val="000000" w:themeColor="text1"/>
        </w:rPr>
        <w:t>.</w:t>
      </w:r>
    </w:p>
    <w:p w14:paraId="556D4D27" w14:textId="55DF1F19"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PFP Energy Supplies Ltd</w:t>
      </w:r>
      <w:r w:rsidR="007D4D05">
        <w:rPr>
          <w:rFonts w:eastAsiaTheme="minorEastAsia" w:cstheme="minorHAnsi"/>
          <w:color w:val="000000" w:themeColor="text1"/>
        </w:rPr>
        <w:t>.</w:t>
      </w:r>
    </w:p>
    <w:p w14:paraId="5D35AA55" w14:textId="4A5FBCE9"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lastRenderedPageBreak/>
        <w:t>Pure Planet Ltd</w:t>
      </w:r>
      <w:r w:rsidR="007D4D05">
        <w:rPr>
          <w:rFonts w:eastAsiaTheme="minorEastAsia" w:cstheme="minorHAnsi"/>
          <w:color w:val="000000" w:themeColor="text1"/>
        </w:rPr>
        <w:t>.</w:t>
      </w:r>
    </w:p>
    <w:p w14:paraId="6ED45E8F" w14:textId="02F9F605"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Robin Hood Energy Ltd</w:t>
      </w:r>
      <w:r w:rsidR="007D4D05">
        <w:rPr>
          <w:rFonts w:eastAsiaTheme="minorEastAsia" w:cstheme="minorHAnsi"/>
          <w:color w:val="000000" w:themeColor="text1"/>
        </w:rPr>
        <w:t>.</w:t>
      </w:r>
    </w:p>
    <w:p w14:paraId="643C926D" w14:textId="7AED76F8"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r w:rsidRPr="006B3AC6">
        <w:rPr>
          <w:rFonts w:eastAsiaTheme="minorEastAsia" w:cstheme="minorHAnsi"/>
          <w:color w:val="000000" w:themeColor="text1"/>
        </w:rPr>
        <w:t>Simplicity Energy Limited</w:t>
      </w:r>
      <w:r w:rsidR="007D4D05">
        <w:rPr>
          <w:rFonts w:eastAsiaTheme="minorEastAsia" w:cstheme="minorHAnsi"/>
          <w:color w:val="000000" w:themeColor="text1"/>
        </w:rPr>
        <w:t>.</w:t>
      </w:r>
    </w:p>
    <w:p w14:paraId="02CA50D2" w14:textId="3F60AD84" w:rsidR="007C51DA" w:rsidRPr="006B3AC6"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6B3AC6">
        <w:rPr>
          <w:rFonts w:eastAsiaTheme="minorEastAsia" w:cstheme="minorHAnsi"/>
          <w:color w:val="000000" w:themeColor="text1"/>
        </w:rPr>
        <w:t>Symbio</w:t>
      </w:r>
      <w:proofErr w:type="spellEnd"/>
      <w:r w:rsidRPr="006B3AC6">
        <w:rPr>
          <w:rFonts w:eastAsiaTheme="minorEastAsia" w:cstheme="minorHAnsi"/>
          <w:color w:val="000000" w:themeColor="text1"/>
        </w:rPr>
        <w:t xml:space="preserve"> Energy Ltd</w:t>
      </w:r>
      <w:r w:rsidR="007D4D05">
        <w:rPr>
          <w:rFonts w:eastAsiaTheme="minorEastAsia" w:cstheme="minorHAnsi"/>
          <w:color w:val="000000" w:themeColor="text1"/>
        </w:rPr>
        <w:t>.</w:t>
      </w:r>
    </w:p>
    <w:p w14:paraId="2C1E0846" w14:textId="3B8383B6" w:rsidR="007C51DA" w:rsidRDefault="007C51DA" w:rsidP="003B35B0">
      <w:pPr>
        <w:pStyle w:val="ListParagraph"/>
        <w:numPr>
          <w:ilvl w:val="0"/>
          <w:numId w:val="43"/>
        </w:numPr>
        <w:spacing w:after="240"/>
        <w:ind w:left="1135" w:hanging="284"/>
        <w:contextualSpacing/>
        <w:rPr>
          <w:rFonts w:eastAsiaTheme="minorEastAsia" w:cstheme="minorHAnsi"/>
          <w:color w:val="000000" w:themeColor="text1"/>
        </w:rPr>
      </w:pPr>
      <w:proofErr w:type="spellStart"/>
      <w:r w:rsidRPr="007C51DA">
        <w:rPr>
          <w:rFonts w:eastAsiaTheme="minorEastAsia" w:cstheme="minorHAnsi"/>
          <w:color w:val="000000" w:themeColor="text1"/>
        </w:rPr>
        <w:t>Tonik</w:t>
      </w:r>
      <w:proofErr w:type="spellEnd"/>
      <w:r w:rsidRPr="007C51DA">
        <w:rPr>
          <w:rFonts w:eastAsiaTheme="minorEastAsia" w:cstheme="minorHAnsi"/>
          <w:color w:val="000000" w:themeColor="text1"/>
        </w:rPr>
        <w:t xml:space="preserve"> Energy Limited</w:t>
      </w:r>
      <w:r w:rsidR="007D4D05">
        <w:rPr>
          <w:rFonts w:eastAsiaTheme="minorEastAsia" w:cstheme="minorHAnsi"/>
          <w:color w:val="000000" w:themeColor="text1"/>
        </w:rPr>
        <w:t>.</w:t>
      </w:r>
    </w:p>
    <w:p w14:paraId="7ED68843" w14:textId="466C158C" w:rsidR="007C51DA" w:rsidRPr="007C51DA" w:rsidRDefault="007C51DA" w:rsidP="007C51DA">
      <w:pPr>
        <w:pStyle w:val="ListParagraph"/>
        <w:numPr>
          <w:ilvl w:val="0"/>
          <w:numId w:val="43"/>
        </w:numPr>
        <w:spacing w:after="240"/>
        <w:ind w:left="1134" w:hanging="283"/>
        <w:rPr>
          <w:rFonts w:eastAsiaTheme="minorEastAsia" w:cstheme="minorHAnsi"/>
          <w:color w:val="000000" w:themeColor="text1"/>
        </w:rPr>
      </w:pPr>
      <w:r w:rsidRPr="007C51DA">
        <w:rPr>
          <w:rFonts w:eastAsiaTheme="minorEastAsia" w:cstheme="minorHAnsi"/>
          <w:color w:val="000000" w:themeColor="text1"/>
        </w:rPr>
        <w:t>Utility Point Ltd</w:t>
      </w:r>
      <w:r w:rsidR="007D4D05">
        <w:rPr>
          <w:rFonts w:eastAsiaTheme="minorEastAsia" w:cstheme="minorHAnsi"/>
          <w:color w:val="000000" w:themeColor="text1"/>
        </w:rPr>
        <w:t>.</w:t>
      </w:r>
    </w:p>
    <w:p w14:paraId="1E62CE0D" w14:textId="576C90DE" w:rsidR="00A1389D" w:rsidRPr="00BE30D1" w:rsidRDefault="001914AF" w:rsidP="003B35B0">
      <w:pPr>
        <w:pStyle w:val="CH4normal"/>
        <w:ind w:left="567" w:hanging="567"/>
      </w:pPr>
      <w:r>
        <w:t xml:space="preserve">In </w:t>
      </w:r>
      <w:r w:rsidR="00A1389D" w:rsidRPr="00BE30D1">
        <w:t xml:space="preserve">addition there were </w:t>
      </w:r>
      <w:r w:rsidR="006B43A0">
        <w:t>two suppliers</w:t>
      </w:r>
      <w:r w:rsidR="00A1389D" w:rsidRPr="00BE30D1">
        <w:t xml:space="preserve"> </w:t>
      </w:r>
      <w:r w:rsidR="007C51DA">
        <w:t>(</w:t>
      </w:r>
      <w:r w:rsidR="00A1389D" w:rsidRPr="00BE30D1">
        <w:t>I Supply Energy and Bristol Energy</w:t>
      </w:r>
      <w:r w:rsidR="007C51DA">
        <w:t>)</w:t>
      </w:r>
      <w:r w:rsidR="00A1389D" w:rsidRPr="00BE30D1">
        <w:t xml:space="preserve"> with a total obligation of </w:t>
      </w:r>
      <w:r w:rsidR="00E03A27" w:rsidRPr="00E03A27">
        <w:t>80,659</w:t>
      </w:r>
      <w:r w:rsidR="00BE65F7">
        <w:t xml:space="preserve"> </w:t>
      </w:r>
      <w:r w:rsidR="00A1389D" w:rsidRPr="00BE30D1">
        <w:t xml:space="preserve">ROCs </w:t>
      </w:r>
      <w:r w:rsidR="007C51DA">
        <w:t>which</w:t>
      </w:r>
      <w:r w:rsidR="006B43A0">
        <w:t xml:space="preserve"> we supported ahead of the </w:t>
      </w:r>
      <w:r w:rsidR="00A1389D" w:rsidRPr="00BE30D1">
        <w:t>2020-21 Compliance Round</w:t>
      </w:r>
      <w:r w:rsidR="006B43A0">
        <w:t xml:space="preserve"> to make a controlled exit from the market. Hence, they </w:t>
      </w:r>
      <w:r w:rsidR="00A1389D" w:rsidRPr="00BE30D1">
        <w:t>met their obligation</w:t>
      </w:r>
      <w:r w:rsidR="006B43A0">
        <w:t>s</w:t>
      </w:r>
      <w:r w:rsidR="00A1389D" w:rsidRPr="00BE30D1">
        <w:t xml:space="preserve"> in full before the 31</w:t>
      </w:r>
      <w:r w:rsidR="00A1389D" w:rsidRPr="00BE30D1">
        <w:rPr>
          <w:vertAlign w:val="superscript"/>
        </w:rPr>
        <w:t xml:space="preserve"> </w:t>
      </w:r>
      <w:r w:rsidR="00A1389D" w:rsidRPr="00BE30D1">
        <w:t>October deadline</w:t>
      </w:r>
      <w:r w:rsidR="006B43A0">
        <w:t xml:space="preserve"> and before their licences were revoked</w:t>
      </w:r>
      <w:r w:rsidR="00A1389D" w:rsidRPr="00BE30D1">
        <w:t>.</w:t>
      </w:r>
    </w:p>
    <w:p w14:paraId="606CB0CF" w14:textId="0CC4EFE4" w:rsidR="00A1389D" w:rsidRPr="00BE30D1" w:rsidRDefault="00A1389D" w:rsidP="003B35B0">
      <w:pPr>
        <w:pStyle w:val="CH4normal"/>
        <w:ind w:left="567" w:hanging="567"/>
        <w:rPr>
          <w:rFonts w:eastAsiaTheme="minorEastAsia" w:cstheme="minorHAnsi"/>
          <w:color w:val="000000" w:themeColor="text1"/>
        </w:rPr>
      </w:pPr>
      <w:r w:rsidRPr="00BE30D1">
        <w:rPr>
          <w:rFonts w:eastAsiaTheme="minorEastAsia" w:cstheme="minorHAnsi"/>
          <w:color w:val="000000" w:themeColor="text1"/>
        </w:rPr>
        <w:t>We are pursuing outstanding balances for suppliers who have ceased trading through their administrators.</w:t>
      </w:r>
    </w:p>
    <w:p w14:paraId="545787E5" w14:textId="13D82F62" w:rsidR="00BE30D1" w:rsidRDefault="00272700" w:rsidP="003B35B0">
      <w:pPr>
        <w:pStyle w:val="CH4normal"/>
        <w:ind w:left="567" w:hanging="567"/>
        <w:rPr>
          <w:rFonts w:eastAsiaTheme="minorEastAsia" w:cstheme="minorHAnsi"/>
          <w:color w:val="000000" w:themeColor="text1"/>
        </w:rPr>
      </w:pPr>
      <w:bookmarkStart w:id="124" w:name="_Hlk93565950"/>
      <w:r>
        <w:rPr>
          <w:rFonts w:eastAsiaTheme="minorEastAsia" w:cstheme="minorHAnsi"/>
          <w:color w:val="000000" w:themeColor="text1"/>
        </w:rPr>
        <w:t>Seven</w:t>
      </w:r>
      <w:r w:rsidRPr="00BE30D1">
        <w:rPr>
          <w:rFonts w:eastAsiaTheme="minorEastAsia" w:cstheme="minorHAnsi"/>
          <w:color w:val="000000" w:themeColor="text1"/>
        </w:rPr>
        <w:t xml:space="preserve"> </w:t>
      </w:r>
      <w:r w:rsidR="00A1389D" w:rsidRPr="00BE30D1">
        <w:rPr>
          <w:rFonts w:eastAsiaTheme="minorEastAsia" w:cstheme="minorHAnsi"/>
          <w:color w:val="000000" w:themeColor="text1"/>
        </w:rPr>
        <w:t>suppliers (</w:t>
      </w:r>
      <w:proofErr w:type="spellStart"/>
      <w:r w:rsidR="00A1389D" w:rsidRPr="00BE30D1">
        <w:rPr>
          <w:rFonts w:cstheme="minorHAnsi"/>
        </w:rPr>
        <w:t>Ampower</w:t>
      </w:r>
      <w:r w:rsidR="009F06EC">
        <w:rPr>
          <w:rFonts w:cstheme="minorHAnsi"/>
        </w:rPr>
        <w:t>uk</w:t>
      </w:r>
      <w:proofErr w:type="spellEnd"/>
      <w:r w:rsidR="00A1389D" w:rsidRPr="00BE30D1">
        <w:rPr>
          <w:rFonts w:cstheme="minorHAnsi"/>
        </w:rPr>
        <w:t>, Delta, Simply Your Energy</w:t>
      </w:r>
      <w:r w:rsidR="006B43A0">
        <w:rPr>
          <w:rFonts w:cstheme="minorHAnsi"/>
        </w:rPr>
        <w:t>/Entice</w:t>
      </w:r>
      <w:r w:rsidR="00A1389D" w:rsidRPr="00BE30D1">
        <w:rPr>
          <w:rFonts w:cstheme="minorHAnsi"/>
        </w:rPr>
        <w:t>, Go Effortless</w:t>
      </w:r>
      <w:r w:rsidR="006B43A0">
        <w:rPr>
          <w:rFonts w:cstheme="minorHAnsi"/>
        </w:rPr>
        <w:t>/Whoop</w:t>
      </w:r>
      <w:r w:rsidR="00A1389D" w:rsidRPr="00BE30D1">
        <w:rPr>
          <w:rFonts w:cstheme="minorHAnsi"/>
        </w:rPr>
        <w:t xml:space="preserve">, </w:t>
      </w:r>
      <w:r>
        <w:rPr>
          <w:rFonts w:cstheme="minorHAnsi"/>
        </w:rPr>
        <w:t xml:space="preserve">MA Energy, </w:t>
      </w:r>
      <w:r w:rsidR="00A1389D" w:rsidRPr="00BE30D1">
        <w:rPr>
          <w:rFonts w:cstheme="minorHAnsi"/>
        </w:rPr>
        <w:t>Neon Reef and Together Energy</w:t>
      </w:r>
      <w:r w:rsidR="00A1389D" w:rsidRPr="00BE30D1">
        <w:rPr>
          <w:rFonts w:eastAsiaTheme="minorEastAsia" w:cstheme="minorHAnsi"/>
          <w:color w:val="000000" w:themeColor="text1"/>
        </w:rPr>
        <w:t>) with a total obligation of</w:t>
      </w:r>
      <w:r w:rsidR="00A1389D" w:rsidRPr="00BE30D1">
        <w:rPr>
          <w:rFonts w:cstheme="minorHAnsi"/>
        </w:rPr>
        <w:t xml:space="preserve"> 3</w:t>
      </w:r>
      <w:r>
        <w:rPr>
          <w:rFonts w:cstheme="minorHAnsi"/>
        </w:rPr>
        <w:t>73</w:t>
      </w:r>
      <w:r w:rsidR="00A1389D" w:rsidRPr="00BE30D1">
        <w:rPr>
          <w:rFonts w:cstheme="minorHAnsi"/>
        </w:rPr>
        <w:t>,</w:t>
      </w:r>
      <w:r>
        <w:rPr>
          <w:rFonts w:cstheme="minorHAnsi"/>
        </w:rPr>
        <w:t>591</w:t>
      </w:r>
      <w:r w:rsidR="00A1389D" w:rsidRPr="00BE30D1">
        <w:rPr>
          <w:rFonts w:cstheme="minorHAnsi"/>
        </w:rPr>
        <w:t xml:space="preserve"> ROCs</w:t>
      </w:r>
      <w:r w:rsidR="00A1389D" w:rsidRPr="00BE30D1">
        <w:rPr>
          <w:rFonts w:eastAsiaTheme="minorEastAsia" w:cstheme="minorHAnsi"/>
          <w:color w:val="000000" w:themeColor="text1"/>
        </w:rPr>
        <w:t xml:space="preserve">, were active </w:t>
      </w:r>
      <w:r>
        <w:rPr>
          <w:rFonts w:eastAsiaTheme="minorEastAsia" w:cstheme="minorHAnsi"/>
          <w:color w:val="000000" w:themeColor="text1"/>
        </w:rPr>
        <w:t xml:space="preserve">as of 31 October </w:t>
      </w:r>
      <w:r w:rsidR="00A1389D" w:rsidRPr="00BE30D1">
        <w:rPr>
          <w:rFonts w:eastAsiaTheme="minorEastAsia" w:cstheme="minorHAnsi"/>
          <w:color w:val="000000" w:themeColor="text1"/>
        </w:rPr>
        <w:t xml:space="preserve">and failed to discharge their obligations in full by the 31 October legislative deadline. </w:t>
      </w:r>
      <w:proofErr w:type="spellStart"/>
      <w:r w:rsidR="00A1389D" w:rsidRPr="00BE30D1">
        <w:rPr>
          <w:rFonts w:eastAsiaTheme="minorEastAsia" w:cstheme="minorHAnsi"/>
          <w:color w:val="000000" w:themeColor="text1"/>
        </w:rPr>
        <w:t>Ampower</w:t>
      </w:r>
      <w:r w:rsidR="00456867">
        <w:rPr>
          <w:rFonts w:eastAsiaTheme="minorEastAsia" w:cstheme="minorHAnsi"/>
          <w:color w:val="000000" w:themeColor="text1"/>
        </w:rPr>
        <w:t>uk</w:t>
      </w:r>
      <w:proofErr w:type="spellEnd"/>
      <w:r w:rsidR="00A1389D" w:rsidRPr="00BE30D1">
        <w:rPr>
          <w:rFonts w:eastAsiaTheme="minorEastAsia" w:cstheme="minorHAnsi"/>
          <w:color w:val="000000" w:themeColor="text1"/>
        </w:rPr>
        <w:t xml:space="preserve"> presented 5,099 ROCs </w:t>
      </w:r>
      <w:r>
        <w:rPr>
          <w:rFonts w:eastAsiaTheme="minorEastAsia" w:cstheme="minorHAnsi"/>
          <w:color w:val="000000" w:themeColor="text1"/>
        </w:rPr>
        <w:t xml:space="preserve">and MA Energy made payments totalling £400,644.50 </w:t>
      </w:r>
      <w:r w:rsidR="00A1389D" w:rsidRPr="00BE30D1">
        <w:rPr>
          <w:rFonts w:eastAsiaTheme="minorEastAsia" w:cstheme="minorHAnsi"/>
          <w:color w:val="000000" w:themeColor="text1"/>
        </w:rPr>
        <w:t xml:space="preserve">to partially meet their </w:t>
      </w:r>
      <w:r>
        <w:rPr>
          <w:rFonts w:eastAsiaTheme="minorEastAsia" w:cstheme="minorHAnsi"/>
          <w:color w:val="000000" w:themeColor="text1"/>
        </w:rPr>
        <w:t>respective</w:t>
      </w:r>
      <w:r w:rsidRPr="00BE30D1">
        <w:rPr>
          <w:rFonts w:eastAsiaTheme="minorEastAsia" w:cstheme="minorHAnsi"/>
          <w:color w:val="000000" w:themeColor="text1"/>
        </w:rPr>
        <w:t xml:space="preserve"> </w:t>
      </w:r>
      <w:r w:rsidR="00A1389D" w:rsidRPr="00BE30D1">
        <w:rPr>
          <w:rFonts w:eastAsiaTheme="minorEastAsia" w:cstheme="minorHAnsi"/>
          <w:color w:val="000000" w:themeColor="text1"/>
        </w:rPr>
        <w:t>obligation</w:t>
      </w:r>
      <w:r>
        <w:rPr>
          <w:rFonts w:eastAsiaTheme="minorEastAsia" w:cstheme="minorHAnsi"/>
          <w:color w:val="000000" w:themeColor="text1"/>
        </w:rPr>
        <w:t>s.</w:t>
      </w:r>
      <w:r w:rsidR="00A1389D" w:rsidRPr="00BE30D1">
        <w:rPr>
          <w:rFonts w:eastAsiaTheme="minorEastAsia" w:cstheme="minorHAnsi"/>
          <w:color w:val="000000" w:themeColor="text1"/>
        </w:rPr>
        <w:t xml:space="preserve"> </w:t>
      </w:r>
      <w:r>
        <w:rPr>
          <w:rFonts w:eastAsiaTheme="minorEastAsia" w:cstheme="minorHAnsi"/>
          <w:color w:val="000000" w:themeColor="text1"/>
        </w:rPr>
        <w:t xml:space="preserve">No </w:t>
      </w:r>
      <w:r w:rsidR="00A1389D" w:rsidRPr="00BE30D1">
        <w:rPr>
          <w:rFonts w:eastAsiaTheme="minorEastAsia" w:cstheme="minorHAnsi"/>
          <w:color w:val="000000" w:themeColor="text1"/>
        </w:rPr>
        <w:t>other ROCs</w:t>
      </w:r>
      <w:r w:rsidR="006B0B43">
        <w:rPr>
          <w:rFonts w:eastAsiaTheme="minorEastAsia" w:cstheme="minorHAnsi"/>
          <w:color w:val="000000" w:themeColor="text1"/>
        </w:rPr>
        <w:t xml:space="preserve"> </w:t>
      </w:r>
      <w:r>
        <w:rPr>
          <w:rFonts w:eastAsiaTheme="minorEastAsia" w:cstheme="minorHAnsi"/>
          <w:color w:val="000000" w:themeColor="text1"/>
        </w:rPr>
        <w:t xml:space="preserve">were </w:t>
      </w:r>
      <w:r w:rsidR="00FC4B0F">
        <w:rPr>
          <w:rFonts w:eastAsiaTheme="minorEastAsia" w:cstheme="minorHAnsi"/>
          <w:color w:val="000000" w:themeColor="text1"/>
        </w:rPr>
        <w:t>presented,</w:t>
      </w:r>
      <w:r>
        <w:rPr>
          <w:rFonts w:eastAsiaTheme="minorEastAsia" w:cstheme="minorHAnsi"/>
          <w:color w:val="000000" w:themeColor="text1"/>
        </w:rPr>
        <w:t xml:space="preserve"> or</w:t>
      </w:r>
      <w:r w:rsidR="00A1389D" w:rsidRPr="00BE30D1">
        <w:rPr>
          <w:rFonts w:eastAsiaTheme="minorEastAsia" w:cstheme="minorHAnsi"/>
          <w:color w:val="000000" w:themeColor="text1"/>
        </w:rPr>
        <w:t xml:space="preserve"> buyout</w:t>
      </w:r>
      <w:r>
        <w:rPr>
          <w:rFonts w:eastAsiaTheme="minorEastAsia" w:cstheme="minorHAnsi"/>
          <w:color w:val="000000" w:themeColor="text1"/>
        </w:rPr>
        <w:t>/</w:t>
      </w:r>
      <w:r w:rsidR="00A1389D" w:rsidRPr="00BE30D1">
        <w:rPr>
          <w:rFonts w:eastAsiaTheme="minorEastAsia" w:cstheme="minorHAnsi"/>
          <w:color w:val="000000" w:themeColor="text1"/>
        </w:rPr>
        <w:t>late payments made across the</w:t>
      </w:r>
      <w:r>
        <w:rPr>
          <w:rFonts w:eastAsiaTheme="minorEastAsia" w:cstheme="minorHAnsi"/>
          <w:color w:val="000000" w:themeColor="text1"/>
        </w:rPr>
        <w:t>se</w:t>
      </w:r>
      <w:r w:rsidR="00A1389D" w:rsidRPr="00BE30D1">
        <w:rPr>
          <w:rFonts w:eastAsiaTheme="minorEastAsia" w:cstheme="minorHAnsi"/>
          <w:color w:val="000000" w:themeColor="text1"/>
        </w:rPr>
        <w:t xml:space="preserve"> suppliers by the 31 October</w:t>
      </w:r>
      <w:r>
        <w:rPr>
          <w:rFonts w:eastAsiaTheme="minorEastAsia" w:cstheme="minorHAnsi"/>
          <w:color w:val="000000" w:themeColor="text1"/>
        </w:rPr>
        <w:t xml:space="preserve"> deadline</w:t>
      </w:r>
      <w:r w:rsidR="00A1389D" w:rsidRPr="00BE30D1">
        <w:rPr>
          <w:rFonts w:eastAsiaTheme="minorEastAsia" w:cstheme="minorHAnsi"/>
          <w:color w:val="000000" w:themeColor="text1"/>
        </w:rPr>
        <w:t>.</w:t>
      </w:r>
    </w:p>
    <w:bookmarkEnd w:id="124"/>
    <w:p w14:paraId="44FBEF27" w14:textId="5B428B1E" w:rsidR="00A1389D" w:rsidRPr="00BE30D1" w:rsidRDefault="00A1389D" w:rsidP="003B35B0">
      <w:pPr>
        <w:pStyle w:val="CH4normal"/>
        <w:ind w:left="567" w:hanging="567"/>
        <w:rPr>
          <w:rFonts w:eastAsiaTheme="minorEastAsia" w:cstheme="minorHAnsi"/>
          <w:color w:val="000000" w:themeColor="text1"/>
        </w:rPr>
      </w:pPr>
      <w:r w:rsidRPr="00BE30D1">
        <w:rPr>
          <w:rFonts w:eastAsiaTheme="minorEastAsia" w:cstheme="minorHAnsi"/>
          <w:color w:val="000000" w:themeColor="text1"/>
        </w:rPr>
        <w:t>All instances of non-compliance will be added to the Supplier Performance Report (SPR)</w:t>
      </w:r>
      <w:r w:rsidR="00790A77">
        <w:rPr>
          <w:rFonts w:eastAsiaTheme="minorEastAsia" w:cstheme="minorHAnsi"/>
          <w:color w:val="000000" w:themeColor="text1"/>
        </w:rPr>
        <w:t>.</w:t>
      </w:r>
      <w:r w:rsidRPr="006B3AC6">
        <w:rPr>
          <w:rStyle w:val="FootnoteReference"/>
          <w:rFonts w:eastAsiaTheme="minorEastAsia" w:cstheme="minorHAnsi"/>
          <w:color w:val="000000" w:themeColor="text1"/>
        </w:rPr>
        <w:footnoteReference w:id="43"/>
      </w:r>
    </w:p>
    <w:p w14:paraId="2FCCC4F4" w14:textId="6E9ECB1A" w:rsidR="00A1389D" w:rsidRPr="00482E14" w:rsidRDefault="00A1389D" w:rsidP="003B35B0">
      <w:pPr>
        <w:pStyle w:val="Heading3"/>
        <w:rPr>
          <w:rStyle w:val="Heading3Char"/>
        </w:rPr>
      </w:pPr>
      <w:r w:rsidRPr="003313AF">
        <w:t>Enforcement</w:t>
      </w:r>
    </w:p>
    <w:p w14:paraId="263B2085" w14:textId="13018185" w:rsidR="00A1389D" w:rsidRPr="006B3AC6" w:rsidRDefault="00A1389D" w:rsidP="003B35B0">
      <w:pPr>
        <w:pStyle w:val="CH4normal"/>
        <w:ind w:left="567" w:hanging="567"/>
      </w:pPr>
      <w:r w:rsidRPr="006B3AC6">
        <w:t xml:space="preserve">We take non-compliance with scheme obligations very seriously. </w:t>
      </w:r>
      <w:r w:rsidR="00AD1665">
        <w:t>As in previous years, w</w:t>
      </w:r>
      <w:r w:rsidRPr="006B3AC6">
        <w:t xml:space="preserve">e took a robust and proactive approach to compliance and enforcement on the RO scheme. We maintained a high level of engagement with obligated suppliers in order to ensure deadlines and amounts due were </w:t>
      </w:r>
      <w:r w:rsidR="00AD1665" w:rsidRPr="006B3AC6">
        <w:t>clear and</w:t>
      </w:r>
      <w:r w:rsidRPr="006B3AC6">
        <w:t xml:space="preserve"> set out the consequences of non-compliance to them. </w:t>
      </w:r>
    </w:p>
    <w:p w14:paraId="518036A6" w14:textId="549EFC18" w:rsidR="00B06484" w:rsidRDefault="00A1389D" w:rsidP="003B35B0">
      <w:pPr>
        <w:pStyle w:val="CH4normal"/>
        <w:ind w:left="567" w:hanging="567"/>
      </w:pPr>
      <w:r w:rsidRPr="006B3AC6">
        <w:t xml:space="preserve">This included early communication with suppliers to seek assurances that they would be able to discharge their obligations under the RO this compliance round. This was </w:t>
      </w:r>
      <w:r w:rsidR="00AD1665">
        <w:t>supplemented</w:t>
      </w:r>
      <w:r w:rsidR="00AD1665" w:rsidRPr="006B3AC6">
        <w:t xml:space="preserve"> </w:t>
      </w:r>
      <w:r w:rsidRPr="006B3AC6">
        <w:t xml:space="preserve">by requests to suppliers who failed to discharge their obligations by the 1 September 2021 deadline for assurances and evidence of their ability to meet their obligation in full by the 31 October 2021 late payment deadline. Where </w:t>
      </w:r>
      <w:r w:rsidR="00AD1665">
        <w:t xml:space="preserve">adequate </w:t>
      </w:r>
      <w:r w:rsidRPr="006B3AC6">
        <w:lastRenderedPageBreak/>
        <w:t xml:space="preserve">assurances were not </w:t>
      </w:r>
      <w:r w:rsidR="00FC4B0F" w:rsidRPr="006B3AC6">
        <w:t>provided,</w:t>
      </w:r>
      <w:r w:rsidRPr="006B3AC6">
        <w:t xml:space="preserve"> we</w:t>
      </w:r>
      <w:r w:rsidR="00036B8A">
        <w:t xml:space="preserve"> consulted on our proposals to</w:t>
      </w:r>
      <w:r w:rsidRPr="006B3AC6">
        <w:t xml:space="preserve"> issue Final Orders</w:t>
      </w:r>
      <w:r w:rsidRPr="00790A77">
        <w:rPr>
          <w:vertAlign w:val="superscript"/>
        </w:rPr>
        <w:footnoteReference w:id="44"/>
      </w:r>
      <w:r w:rsidR="004513EB">
        <w:t>,</w:t>
      </w:r>
      <w:r w:rsidR="001F0DA3">
        <w:rPr>
          <w:vertAlign w:val="superscript"/>
        </w:rPr>
        <w:t xml:space="preserve"> </w:t>
      </w:r>
      <w:r w:rsidR="004513EB">
        <w:t>d</w:t>
      </w:r>
      <w:r w:rsidR="001F0DA3">
        <w:t xml:space="preserve">etails </w:t>
      </w:r>
      <w:r w:rsidR="004513EB">
        <w:t xml:space="preserve">of which </w:t>
      </w:r>
      <w:r w:rsidR="001F0DA3">
        <w:t xml:space="preserve">can be seen in </w:t>
      </w:r>
      <w:r w:rsidR="001F0DA3" w:rsidRPr="003B35B0">
        <w:rPr>
          <w:b/>
          <w:bCs/>
        </w:rPr>
        <w:t>Table 4.3</w:t>
      </w:r>
      <w:r w:rsidR="001F0DA3">
        <w:t xml:space="preserve"> below:</w:t>
      </w:r>
    </w:p>
    <w:p w14:paraId="3BFC24D2" w14:textId="0B91FF75" w:rsidR="004513EB" w:rsidRPr="003B35B0" w:rsidRDefault="004513EB" w:rsidP="003B35B0">
      <w:pPr>
        <w:rPr>
          <w:rFonts w:eastAsiaTheme="minorEastAsia" w:cstheme="minorHAnsi"/>
          <w:b/>
          <w:bCs/>
          <w:color w:val="000000" w:themeColor="text1"/>
        </w:rPr>
      </w:pPr>
      <w:r w:rsidRPr="003B35B0">
        <w:rPr>
          <w:rFonts w:eastAsiaTheme="minorEastAsia" w:cstheme="minorHAnsi"/>
          <w:b/>
          <w:bCs/>
          <w:color w:val="000000" w:themeColor="text1"/>
        </w:rPr>
        <w:t>Table 4.</w:t>
      </w:r>
      <w:r>
        <w:rPr>
          <w:rFonts w:eastAsiaTheme="minorEastAsia" w:cstheme="minorHAnsi"/>
          <w:b/>
          <w:bCs/>
          <w:color w:val="000000" w:themeColor="text1"/>
        </w:rPr>
        <w:t>3</w:t>
      </w:r>
      <w:r w:rsidRPr="003B35B0">
        <w:rPr>
          <w:rFonts w:eastAsiaTheme="minorEastAsia" w:cstheme="minorHAnsi"/>
          <w:b/>
          <w:bCs/>
          <w:color w:val="000000" w:themeColor="text1"/>
        </w:rPr>
        <w:t xml:space="preserve">: </w:t>
      </w:r>
      <w:r>
        <w:rPr>
          <w:rFonts w:eastAsiaTheme="minorEastAsia" w:cstheme="minorHAnsi"/>
          <w:b/>
          <w:bCs/>
          <w:color w:val="000000" w:themeColor="text1"/>
        </w:rPr>
        <w:t xml:space="preserve">Suppliers included in </w:t>
      </w:r>
      <w:r w:rsidR="009F06EC">
        <w:rPr>
          <w:rFonts w:eastAsiaTheme="minorEastAsia" w:cstheme="minorHAnsi"/>
          <w:b/>
          <w:bCs/>
          <w:color w:val="000000" w:themeColor="text1"/>
        </w:rPr>
        <w:t xml:space="preserve">the </w:t>
      </w:r>
      <w:r>
        <w:rPr>
          <w:rFonts w:eastAsiaTheme="minorEastAsia" w:cstheme="minorHAnsi"/>
          <w:b/>
          <w:bCs/>
          <w:color w:val="000000" w:themeColor="text1"/>
        </w:rPr>
        <w:t>RO Final Order consultation</w:t>
      </w:r>
    </w:p>
    <w:tbl>
      <w:tblPr>
        <w:tblStyle w:val="TableGrid"/>
        <w:tblW w:w="9922" w:type="dxa"/>
        <w:tblInd w:w="-5" w:type="dxa"/>
        <w:tblLayout w:type="fixed"/>
        <w:tblLook w:val="04A0" w:firstRow="1" w:lastRow="0" w:firstColumn="1" w:lastColumn="0" w:noHBand="0" w:noVBand="1"/>
      </w:tblPr>
      <w:tblGrid>
        <w:gridCol w:w="3118"/>
        <w:gridCol w:w="2411"/>
        <w:gridCol w:w="4393"/>
      </w:tblGrid>
      <w:tr w:rsidR="00036B8A" w:rsidRPr="006B3AC6" w14:paraId="15E5221C" w14:textId="1766A261" w:rsidTr="00450B49">
        <w:trPr>
          <w:trHeight w:val="238"/>
        </w:trPr>
        <w:tc>
          <w:tcPr>
            <w:tcW w:w="3118" w:type="dxa"/>
            <w:shd w:val="clear" w:color="auto" w:fill="2363AF"/>
          </w:tcPr>
          <w:p w14:paraId="5F6C19D6" w14:textId="493940DA" w:rsidR="00036B8A" w:rsidRPr="00E92A9D" w:rsidRDefault="00036B8A" w:rsidP="003B35B0">
            <w:pPr>
              <w:rPr>
                <w:rFonts w:eastAsiaTheme="minorEastAsia" w:cstheme="minorHAnsi"/>
                <w:color w:val="FFFFFF" w:themeColor="background1"/>
                <w:sz w:val="16"/>
                <w:szCs w:val="16"/>
              </w:rPr>
            </w:pPr>
            <w:r>
              <w:rPr>
                <w:rFonts w:eastAsiaTheme="minorEastAsia" w:cstheme="minorHAnsi"/>
                <w:color w:val="FFFFFF" w:themeColor="background1"/>
                <w:sz w:val="16"/>
                <w:szCs w:val="16"/>
              </w:rPr>
              <w:t>Supplier</w:t>
            </w:r>
          </w:p>
        </w:tc>
        <w:tc>
          <w:tcPr>
            <w:tcW w:w="2411" w:type="dxa"/>
            <w:shd w:val="clear" w:color="auto" w:fill="2363AF"/>
          </w:tcPr>
          <w:p w14:paraId="41FCAF7D" w14:textId="0EF315A5" w:rsidR="00036B8A" w:rsidRPr="00E92A9D" w:rsidRDefault="00036B8A" w:rsidP="003B35B0">
            <w:pPr>
              <w:rPr>
                <w:rFonts w:eastAsiaTheme="minorEastAsia" w:cstheme="minorHAnsi"/>
                <w:color w:val="FFFFFF" w:themeColor="background1"/>
                <w:sz w:val="16"/>
                <w:szCs w:val="16"/>
              </w:rPr>
            </w:pPr>
            <w:r>
              <w:rPr>
                <w:rFonts w:eastAsiaTheme="minorEastAsia" w:cstheme="minorHAnsi"/>
                <w:color w:val="FFFFFF" w:themeColor="background1"/>
                <w:sz w:val="16"/>
                <w:szCs w:val="16"/>
              </w:rPr>
              <w:t>Final Order issued?</w:t>
            </w:r>
          </w:p>
        </w:tc>
        <w:tc>
          <w:tcPr>
            <w:tcW w:w="4393" w:type="dxa"/>
            <w:shd w:val="clear" w:color="auto" w:fill="2363AF"/>
          </w:tcPr>
          <w:p w14:paraId="4C6A7973" w14:textId="7A970F6E" w:rsidR="00036B8A" w:rsidRDefault="00036B8A" w:rsidP="00036B8A">
            <w:pPr>
              <w:rPr>
                <w:rFonts w:eastAsiaTheme="minorEastAsia" w:cstheme="minorHAnsi"/>
                <w:color w:val="FFFFFF" w:themeColor="background1"/>
                <w:sz w:val="16"/>
                <w:szCs w:val="16"/>
              </w:rPr>
            </w:pPr>
            <w:r>
              <w:rPr>
                <w:rFonts w:eastAsiaTheme="minorEastAsia" w:cstheme="minorHAnsi"/>
                <w:color w:val="FFFFFF" w:themeColor="background1"/>
                <w:sz w:val="16"/>
                <w:szCs w:val="16"/>
              </w:rPr>
              <w:t>Outcome</w:t>
            </w:r>
          </w:p>
        </w:tc>
      </w:tr>
      <w:tr w:rsidR="00036B8A" w:rsidRPr="006B3AC6" w14:paraId="0283D4EC" w14:textId="27264D75" w:rsidTr="00450B49">
        <w:trPr>
          <w:trHeight w:val="238"/>
        </w:trPr>
        <w:tc>
          <w:tcPr>
            <w:tcW w:w="3118" w:type="dxa"/>
            <w:vAlign w:val="center"/>
          </w:tcPr>
          <w:p w14:paraId="32D20013" w14:textId="20B18DEC" w:rsidR="00036B8A" w:rsidRPr="004513EB" w:rsidRDefault="00036B8A">
            <w:pPr>
              <w:rPr>
                <w:rFonts w:eastAsiaTheme="minorEastAsia" w:cstheme="minorHAnsi"/>
                <w:color w:val="000000" w:themeColor="text1"/>
                <w:sz w:val="16"/>
                <w:szCs w:val="16"/>
              </w:rPr>
            </w:pPr>
            <w:r w:rsidRPr="00FC6414">
              <w:rPr>
                <w:sz w:val="16"/>
                <w:szCs w:val="16"/>
              </w:rPr>
              <w:t>Home Energy Trading</w:t>
            </w:r>
          </w:p>
        </w:tc>
        <w:tc>
          <w:tcPr>
            <w:tcW w:w="2411" w:type="dxa"/>
          </w:tcPr>
          <w:p w14:paraId="35D33422" w14:textId="12F35B63" w:rsidR="00036B8A" w:rsidRPr="004513EB" w:rsidRDefault="00036B8A">
            <w:pPr>
              <w:rPr>
                <w:rFonts w:eastAsiaTheme="minorEastAsia" w:cstheme="minorHAnsi"/>
                <w:color w:val="000000" w:themeColor="text1"/>
                <w:sz w:val="16"/>
                <w:szCs w:val="16"/>
              </w:rPr>
            </w:pPr>
            <w:r w:rsidRPr="00FC6414">
              <w:rPr>
                <w:sz w:val="16"/>
                <w:szCs w:val="16"/>
              </w:rPr>
              <w:t>No</w:t>
            </w:r>
          </w:p>
        </w:tc>
        <w:tc>
          <w:tcPr>
            <w:tcW w:w="4393" w:type="dxa"/>
          </w:tcPr>
          <w:p w14:paraId="284DC452" w14:textId="1037D910" w:rsidR="00036B8A" w:rsidRPr="00FC6414" w:rsidRDefault="00036B8A">
            <w:pPr>
              <w:rPr>
                <w:sz w:val="16"/>
                <w:szCs w:val="16"/>
              </w:rPr>
            </w:pPr>
            <w:r w:rsidRPr="00FC6414">
              <w:rPr>
                <w:sz w:val="16"/>
                <w:szCs w:val="16"/>
              </w:rPr>
              <w:t>Obligation met</w:t>
            </w:r>
          </w:p>
        </w:tc>
      </w:tr>
      <w:tr w:rsidR="00036B8A" w:rsidRPr="006B3AC6" w14:paraId="28599043" w14:textId="73984847" w:rsidTr="00450B49">
        <w:trPr>
          <w:trHeight w:val="238"/>
        </w:trPr>
        <w:tc>
          <w:tcPr>
            <w:tcW w:w="3118" w:type="dxa"/>
            <w:vAlign w:val="center"/>
          </w:tcPr>
          <w:p w14:paraId="42880EBA" w14:textId="173038B0" w:rsidR="00036B8A" w:rsidRPr="004513EB" w:rsidRDefault="00036B8A">
            <w:pPr>
              <w:rPr>
                <w:rFonts w:eastAsiaTheme="minorEastAsia" w:cstheme="minorHAnsi"/>
                <w:color w:val="000000" w:themeColor="text1"/>
                <w:sz w:val="16"/>
                <w:szCs w:val="16"/>
              </w:rPr>
            </w:pPr>
            <w:proofErr w:type="spellStart"/>
            <w:r w:rsidRPr="003B35B0">
              <w:rPr>
                <w:sz w:val="16"/>
                <w:szCs w:val="16"/>
              </w:rPr>
              <w:t>Goto</w:t>
            </w:r>
            <w:proofErr w:type="spellEnd"/>
            <w:r w:rsidRPr="003B35B0">
              <w:rPr>
                <w:sz w:val="16"/>
                <w:szCs w:val="16"/>
              </w:rPr>
              <w:t xml:space="preserve"> Energy</w:t>
            </w:r>
          </w:p>
        </w:tc>
        <w:tc>
          <w:tcPr>
            <w:tcW w:w="2411" w:type="dxa"/>
          </w:tcPr>
          <w:p w14:paraId="24533D0B" w14:textId="5CD8A1B8" w:rsidR="00036B8A" w:rsidRPr="004513EB" w:rsidRDefault="00036B8A">
            <w:pPr>
              <w:rPr>
                <w:rFonts w:eastAsiaTheme="minorEastAsia" w:cstheme="minorHAnsi"/>
                <w:color w:val="000000" w:themeColor="text1"/>
                <w:sz w:val="16"/>
                <w:szCs w:val="16"/>
              </w:rPr>
            </w:pPr>
            <w:r w:rsidRPr="003B35B0">
              <w:rPr>
                <w:sz w:val="16"/>
                <w:szCs w:val="16"/>
              </w:rPr>
              <w:t>No</w:t>
            </w:r>
          </w:p>
        </w:tc>
        <w:tc>
          <w:tcPr>
            <w:tcW w:w="4393" w:type="dxa"/>
          </w:tcPr>
          <w:p w14:paraId="0C659A10" w14:textId="498EF615" w:rsidR="00036B8A" w:rsidRPr="004513EB" w:rsidRDefault="00036B8A">
            <w:pPr>
              <w:rPr>
                <w:sz w:val="16"/>
                <w:szCs w:val="16"/>
              </w:rPr>
            </w:pPr>
            <w:r w:rsidRPr="004003D8">
              <w:rPr>
                <w:sz w:val="16"/>
                <w:szCs w:val="16"/>
              </w:rPr>
              <w:t>ceased trading</w:t>
            </w:r>
          </w:p>
        </w:tc>
      </w:tr>
      <w:tr w:rsidR="00036B8A" w:rsidRPr="006B3AC6" w14:paraId="053A559C" w14:textId="78DF8575" w:rsidTr="00450B49">
        <w:trPr>
          <w:trHeight w:val="238"/>
        </w:trPr>
        <w:tc>
          <w:tcPr>
            <w:tcW w:w="3118" w:type="dxa"/>
            <w:vAlign w:val="center"/>
          </w:tcPr>
          <w:p w14:paraId="4CC588A6" w14:textId="05FC6675" w:rsidR="00036B8A" w:rsidRPr="004513EB" w:rsidRDefault="00036B8A">
            <w:pPr>
              <w:rPr>
                <w:rFonts w:eastAsiaTheme="minorEastAsia" w:cstheme="minorHAnsi"/>
                <w:color w:val="000000" w:themeColor="text1"/>
                <w:sz w:val="16"/>
                <w:szCs w:val="16"/>
              </w:rPr>
            </w:pPr>
            <w:r w:rsidRPr="003B35B0">
              <w:rPr>
                <w:sz w:val="16"/>
                <w:szCs w:val="16"/>
              </w:rPr>
              <w:t>Colorado Energy</w:t>
            </w:r>
          </w:p>
        </w:tc>
        <w:tc>
          <w:tcPr>
            <w:tcW w:w="2411" w:type="dxa"/>
          </w:tcPr>
          <w:p w14:paraId="28133DE6" w14:textId="158C9DD1" w:rsidR="00036B8A" w:rsidRPr="004513EB" w:rsidRDefault="00036B8A">
            <w:pPr>
              <w:rPr>
                <w:rFonts w:eastAsiaTheme="minorEastAsia" w:cstheme="minorHAnsi"/>
                <w:color w:val="000000" w:themeColor="text1"/>
                <w:sz w:val="16"/>
                <w:szCs w:val="16"/>
              </w:rPr>
            </w:pPr>
            <w:r w:rsidRPr="003B35B0">
              <w:rPr>
                <w:sz w:val="16"/>
                <w:szCs w:val="16"/>
              </w:rPr>
              <w:t>No</w:t>
            </w:r>
          </w:p>
        </w:tc>
        <w:tc>
          <w:tcPr>
            <w:tcW w:w="4393" w:type="dxa"/>
          </w:tcPr>
          <w:p w14:paraId="4DB695D5" w14:textId="0C83511C" w:rsidR="00036B8A" w:rsidRPr="004513EB" w:rsidRDefault="00036B8A">
            <w:pPr>
              <w:rPr>
                <w:sz w:val="16"/>
                <w:szCs w:val="16"/>
              </w:rPr>
            </w:pPr>
            <w:r w:rsidRPr="004003D8">
              <w:rPr>
                <w:sz w:val="16"/>
                <w:szCs w:val="16"/>
              </w:rPr>
              <w:t>ceased trading</w:t>
            </w:r>
          </w:p>
        </w:tc>
      </w:tr>
      <w:tr w:rsidR="00036B8A" w:rsidRPr="006B3AC6" w14:paraId="5C17848C" w14:textId="5EDAEB30" w:rsidTr="00450B49">
        <w:trPr>
          <w:trHeight w:val="238"/>
        </w:trPr>
        <w:tc>
          <w:tcPr>
            <w:tcW w:w="3118" w:type="dxa"/>
            <w:vAlign w:val="center"/>
          </w:tcPr>
          <w:p w14:paraId="51E3E203" w14:textId="2AFC4538" w:rsidR="00036B8A" w:rsidRPr="004513EB" w:rsidRDefault="00036B8A">
            <w:pPr>
              <w:rPr>
                <w:sz w:val="16"/>
                <w:szCs w:val="16"/>
              </w:rPr>
            </w:pPr>
            <w:proofErr w:type="spellStart"/>
            <w:r w:rsidRPr="00FC6414">
              <w:rPr>
                <w:sz w:val="16"/>
                <w:szCs w:val="16"/>
              </w:rPr>
              <w:t>Ampoweruk</w:t>
            </w:r>
            <w:proofErr w:type="spellEnd"/>
          </w:p>
        </w:tc>
        <w:tc>
          <w:tcPr>
            <w:tcW w:w="2411" w:type="dxa"/>
          </w:tcPr>
          <w:p w14:paraId="1313079B" w14:textId="0F95D732" w:rsidR="00036B8A" w:rsidRPr="004513EB" w:rsidRDefault="00036B8A">
            <w:pPr>
              <w:rPr>
                <w:sz w:val="16"/>
                <w:szCs w:val="16"/>
              </w:rPr>
            </w:pPr>
            <w:r w:rsidRPr="00FC6414">
              <w:rPr>
                <w:sz w:val="16"/>
                <w:szCs w:val="16"/>
              </w:rPr>
              <w:t>Yes</w:t>
            </w:r>
          </w:p>
        </w:tc>
        <w:tc>
          <w:tcPr>
            <w:tcW w:w="4393" w:type="dxa"/>
          </w:tcPr>
          <w:p w14:paraId="19B42ACF" w14:textId="24CB4B9B" w:rsidR="00036B8A" w:rsidRPr="00FC6414" w:rsidRDefault="00036B8A">
            <w:pPr>
              <w:rPr>
                <w:sz w:val="16"/>
                <w:szCs w:val="16"/>
              </w:rPr>
            </w:pPr>
            <w:r>
              <w:rPr>
                <w:sz w:val="16"/>
                <w:szCs w:val="16"/>
              </w:rPr>
              <w:t>ceased trading</w:t>
            </w:r>
          </w:p>
        </w:tc>
      </w:tr>
      <w:tr w:rsidR="00036B8A" w:rsidRPr="006B3AC6" w14:paraId="444029D2" w14:textId="11252F7D" w:rsidTr="00450B49">
        <w:trPr>
          <w:trHeight w:val="238"/>
        </w:trPr>
        <w:tc>
          <w:tcPr>
            <w:tcW w:w="3118" w:type="dxa"/>
            <w:vAlign w:val="center"/>
          </w:tcPr>
          <w:p w14:paraId="275ADEBB" w14:textId="026D4321" w:rsidR="00036B8A" w:rsidRPr="004513EB" w:rsidRDefault="00036B8A">
            <w:pPr>
              <w:rPr>
                <w:sz w:val="16"/>
                <w:szCs w:val="16"/>
              </w:rPr>
            </w:pPr>
            <w:r w:rsidRPr="00FC6414">
              <w:rPr>
                <w:sz w:val="16"/>
                <w:szCs w:val="16"/>
              </w:rPr>
              <w:t>Whoop Energy</w:t>
            </w:r>
          </w:p>
        </w:tc>
        <w:tc>
          <w:tcPr>
            <w:tcW w:w="2411" w:type="dxa"/>
          </w:tcPr>
          <w:p w14:paraId="2467FC20" w14:textId="1CA84588" w:rsidR="00036B8A" w:rsidRPr="004513EB" w:rsidRDefault="00036B8A">
            <w:pPr>
              <w:rPr>
                <w:sz w:val="16"/>
                <w:szCs w:val="16"/>
              </w:rPr>
            </w:pPr>
            <w:r w:rsidRPr="00FC6414">
              <w:rPr>
                <w:sz w:val="16"/>
                <w:szCs w:val="16"/>
              </w:rPr>
              <w:t>Yes</w:t>
            </w:r>
          </w:p>
        </w:tc>
        <w:tc>
          <w:tcPr>
            <w:tcW w:w="4393" w:type="dxa"/>
          </w:tcPr>
          <w:p w14:paraId="1B2701C2" w14:textId="17BEACB0" w:rsidR="00036B8A" w:rsidRPr="00FC6414" w:rsidRDefault="00036B8A">
            <w:pPr>
              <w:rPr>
                <w:sz w:val="16"/>
                <w:szCs w:val="16"/>
              </w:rPr>
            </w:pPr>
            <w:r w:rsidRPr="00FC6414">
              <w:rPr>
                <w:sz w:val="16"/>
                <w:szCs w:val="16"/>
              </w:rPr>
              <w:t xml:space="preserve">Obligation </w:t>
            </w:r>
            <w:r w:rsidR="00FC4B0F" w:rsidRPr="00FC6414">
              <w:rPr>
                <w:sz w:val="16"/>
                <w:szCs w:val="16"/>
              </w:rPr>
              <w:t>not met</w:t>
            </w:r>
            <w:r w:rsidR="00FC4B0F">
              <w:rPr>
                <w:sz w:val="16"/>
                <w:szCs w:val="16"/>
              </w:rPr>
              <w:t>;</w:t>
            </w:r>
            <w:r>
              <w:rPr>
                <w:sz w:val="16"/>
                <w:szCs w:val="16"/>
              </w:rPr>
              <w:t xml:space="preserve"> enforcement action on-going</w:t>
            </w:r>
          </w:p>
        </w:tc>
      </w:tr>
    </w:tbl>
    <w:p w14:paraId="2235824D" w14:textId="77777777" w:rsidR="004513EB" w:rsidRDefault="004513EB" w:rsidP="003B35B0">
      <w:pPr>
        <w:pStyle w:val="ListParagraph"/>
        <w:ind w:left="709"/>
        <w:rPr>
          <w:rFonts w:eastAsiaTheme="minorEastAsia" w:cstheme="minorHAnsi"/>
          <w:color w:val="000000" w:themeColor="text1"/>
        </w:rPr>
      </w:pPr>
    </w:p>
    <w:p w14:paraId="65CF5E47" w14:textId="2C28B4B7" w:rsidR="00A1389D" w:rsidRPr="00BE30D1" w:rsidRDefault="00A1389D" w:rsidP="003B35B0">
      <w:pPr>
        <w:pStyle w:val="CH4normal"/>
        <w:ind w:left="567" w:hanging="567"/>
      </w:pPr>
      <w:r w:rsidRPr="00BE30D1">
        <w:t xml:space="preserve">Colorado Energy and </w:t>
      </w:r>
      <w:proofErr w:type="spellStart"/>
      <w:r w:rsidRPr="00BE30D1">
        <w:t>GoTo</w:t>
      </w:r>
      <w:proofErr w:type="spellEnd"/>
      <w:r w:rsidRPr="00BE30D1">
        <w:t xml:space="preserve"> Energy subsequently ceased trading, so </w:t>
      </w:r>
      <w:r w:rsidR="00F9602C">
        <w:t>we</w:t>
      </w:r>
      <w:r w:rsidRPr="00BE30D1">
        <w:t xml:space="preserve"> took the decision not to proceed with issuing a Final Order. Home Energy </w:t>
      </w:r>
      <w:r w:rsidR="00B06484">
        <w:t xml:space="preserve">Trading </w:t>
      </w:r>
      <w:r w:rsidRPr="00BE30D1">
        <w:t xml:space="preserve">met their </w:t>
      </w:r>
      <w:r w:rsidR="00FC4B0F" w:rsidRPr="00BE30D1">
        <w:t>obligation,</w:t>
      </w:r>
      <w:r w:rsidRPr="00BE30D1">
        <w:t xml:space="preserve"> so </w:t>
      </w:r>
      <w:r w:rsidR="00F9602C">
        <w:t>we</w:t>
      </w:r>
      <w:r w:rsidRPr="00BE30D1">
        <w:t xml:space="preserve"> decided to not make the Final Order. We proceeded to make Final Orders to </w:t>
      </w:r>
      <w:proofErr w:type="spellStart"/>
      <w:r w:rsidRPr="00BE30D1">
        <w:t>Ampoweruk</w:t>
      </w:r>
      <w:proofErr w:type="spellEnd"/>
      <w:r w:rsidR="009F06EC">
        <w:rPr>
          <w:rStyle w:val="FootnoteReference"/>
        </w:rPr>
        <w:footnoteReference w:id="45"/>
      </w:r>
      <w:r w:rsidRPr="00BE30D1">
        <w:t xml:space="preserve"> and Whoop Energy</w:t>
      </w:r>
      <w:r w:rsidR="006B0B43">
        <w:t>/Go Effortless</w:t>
      </w:r>
      <w:r w:rsidR="00105D43" w:rsidRPr="00BE30D1">
        <w:t>.</w:t>
      </w:r>
      <w:r w:rsidR="009F06EC">
        <w:rPr>
          <w:rStyle w:val="FootnoteReference"/>
        </w:rPr>
        <w:footnoteReference w:id="46"/>
      </w:r>
    </w:p>
    <w:p w14:paraId="35C93EE3" w14:textId="3AD316C6" w:rsidR="001F0DA3" w:rsidRDefault="004F73A8" w:rsidP="003B35B0">
      <w:pPr>
        <w:pStyle w:val="CH4normal"/>
        <w:ind w:left="567" w:hanging="567"/>
      </w:pPr>
      <w:r>
        <w:t>S</w:t>
      </w:r>
      <w:r w:rsidR="00A1389D" w:rsidRPr="00BE30D1">
        <w:t>uppliers</w:t>
      </w:r>
      <w:r w:rsidR="009F06EC">
        <w:t xml:space="preserve"> </w:t>
      </w:r>
      <w:r w:rsidR="009F06EC" w:rsidRPr="006B3AC6">
        <w:rPr>
          <w:rFonts w:eastAsiaTheme="minorEastAsia" w:cstheme="minorHAnsi"/>
          <w:color w:val="000000" w:themeColor="text1"/>
        </w:rPr>
        <w:t>who failed to discharge their obligations by the 1 September 2021 deadline</w:t>
      </w:r>
      <w:r>
        <w:rPr>
          <w:rFonts w:eastAsiaTheme="minorEastAsia" w:cstheme="minorHAnsi"/>
          <w:color w:val="000000" w:themeColor="text1"/>
        </w:rPr>
        <w:t xml:space="preserve"> but</w:t>
      </w:r>
      <w:r w:rsidR="009F06EC">
        <w:rPr>
          <w:rFonts w:eastAsiaTheme="minorEastAsia" w:cstheme="minorHAnsi"/>
          <w:color w:val="000000" w:themeColor="text1"/>
        </w:rPr>
        <w:t xml:space="preserve"> did</w:t>
      </w:r>
      <w:r>
        <w:rPr>
          <w:rFonts w:eastAsiaTheme="minorEastAsia" w:cstheme="minorHAnsi"/>
          <w:color w:val="000000" w:themeColor="text1"/>
        </w:rPr>
        <w:t xml:space="preserve"> initially</w:t>
      </w:r>
      <w:r w:rsidR="00A1389D" w:rsidRPr="00BE30D1">
        <w:t xml:space="preserve"> provide </w:t>
      </w:r>
      <w:r w:rsidR="009218D7">
        <w:t xml:space="preserve">us with </w:t>
      </w:r>
      <w:r w:rsidR="00A1389D" w:rsidRPr="00BE30D1">
        <w:t xml:space="preserve">robust assurance, </w:t>
      </w:r>
      <w:r w:rsidR="009F06EC">
        <w:t>w</w:t>
      </w:r>
      <w:r>
        <w:t xml:space="preserve">ere asked </w:t>
      </w:r>
      <w:r w:rsidR="009218D7">
        <w:t xml:space="preserve">in </w:t>
      </w:r>
      <w:r w:rsidR="00FC4B0F">
        <w:t>mid-October</w:t>
      </w:r>
      <w:r w:rsidR="009218D7">
        <w:t xml:space="preserve"> </w:t>
      </w:r>
      <w:r>
        <w:t xml:space="preserve">for </w:t>
      </w:r>
      <w:r w:rsidR="00A1389D" w:rsidRPr="00BE30D1">
        <w:t>confirmation</w:t>
      </w:r>
      <w:r w:rsidR="009218D7">
        <w:t xml:space="preserve"> </w:t>
      </w:r>
      <w:r w:rsidR="009218D7" w:rsidRPr="00BE30D1">
        <w:t>that the</w:t>
      </w:r>
      <w:r w:rsidR="009218D7">
        <w:t>y</w:t>
      </w:r>
      <w:r w:rsidR="009218D7" w:rsidRPr="00BE30D1">
        <w:t xml:space="preserve"> </w:t>
      </w:r>
      <w:r w:rsidR="009218D7">
        <w:t xml:space="preserve">were </w:t>
      </w:r>
      <w:r w:rsidR="009218D7" w:rsidRPr="00BE30D1">
        <w:t xml:space="preserve">still </w:t>
      </w:r>
      <w:r w:rsidR="00FC4B0F" w:rsidRPr="00BE30D1">
        <w:t>able</w:t>
      </w:r>
      <w:r w:rsidR="009218D7" w:rsidRPr="00BE30D1">
        <w:t xml:space="preserve"> to </w:t>
      </w:r>
      <w:r w:rsidR="009218D7">
        <w:t xml:space="preserve">meet these </w:t>
      </w:r>
      <w:r w:rsidR="00FC4B0F">
        <w:t>assurances and</w:t>
      </w:r>
      <w:r w:rsidR="009218D7">
        <w:t xml:space="preserve"> make</w:t>
      </w:r>
      <w:r w:rsidR="009218D7" w:rsidRPr="00BE30D1">
        <w:t xml:space="preserve"> the</w:t>
      </w:r>
      <w:r w:rsidR="009218D7">
        <w:t xml:space="preserve"> relevant</w:t>
      </w:r>
      <w:r w:rsidR="009218D7" w:rsidRPr="00BE30D1">
        <w:t xml:space="preserve"> payment</w:t>
      </w:r>
      <w:r w:rsidR="009218D7">
        <w:t xml:space="preserve"> by the 31 October deadline</w:t>
      </w:r>
      <w:r w:rsidR="00A1389D" w:rsidRPr="00BE30D1">
        <w:t xml:space="preserve">. Where a supplier was not able to evidence </w:t>
      </w:r>
      <w:r w:rsidR="009218D7">
        <w:t xml:space="preserve">this </w:t>
      </w:r>
      <w:r w:rsidR="00A1389D" w:rsidRPr="00BE30D1">
        <w:t>or informed us they could not meet the deadline, Provisional Orders were issued. Provisional Orders were made to</w:t>
      </w:r>
      <w:r w:rsidR="001F0DA3">
        <w:t>:</w:t>
      </w:r>
    </w:p>
    <w:p w14:paraId="0557F09A" w14:textId="4A87A1F2" w:rsidR="001F0DA3" w:rsidRDefault="00A1389D" w:rsidP="003B35B0">
      <w:pPr>
        <w:pStyle w:val="ListParagraph"/>
        <w:numPr>
          <w:ilvl w:val="0"/>
          <w:numId w:val="51"/>
        </w:numPr>
        <w:spacing w:after="240"/>
        <w:ind w:hanging="357"/>
        <w:contextualSpacing/>
      </w:pPr>
      <w:r w:rsidRPr="00BE30D1">
        <w:t>Together Energy</w:t>
      </w:r>
      <w:r w:rsidR="007D4D05">
        <w:t>.</w:t>
      </w:r>
    </w:p>
    <w:p w14:paraId="7415A516" w14:textId="0A92DC55" w:rsidR="001F0DA3" w:rsidRDefault="00A1389D" w:rsidP="003B35B0">
      <w:pPr>
        <w:pStyle w:val="ListParagraph"/>
        <w:numPr>
          <w:ilvl w:val="0"/>
          <w:numId w:val="51"/>
        </w:numPr>
        <w:spacing w:after="240"/>
        <w:ind w:hanging="357"/>
        <w:contextualSpacing/>
      </w:pPr>
      <w:r w:rsidRPr="00BE30D1">
        <w:t>Delta Gas and Power</w:t>
      </w:r>
      <w:r w:rsidR="007D4D05">
        <w:t>.</w:t>
      </w:r>
    </w:p>
    <w:p w14:paraId="3C6A9F7C" w14:textId="1A0BA5B4" w:rsidR="004F73A8" w:rsidRDefault="00A1389D" w:rsidP="003B35B0">
      <w:pPr>
        <w:pStyle w:val="ListParagraph"/>
        <w:numPr>
          <w:ilvl w:val="0"/>
          <w:numId w:val="51"/>
        </w:numPr>
        <w:spacing w:after="240"/>
        <w:ind w:hanging="357"/>
        <w:contextualSpacing/>
      </w:pPr>
      <w:r w:rsidRPr="00BE30D1">
        <w:t>Neon Reef</w:t>
      </w:r>
      <w:r w:rsidR="007D4D05">
        <w:t>.</w:t>
      </w:r>
    </w:p>
    <w:p w14:paraId="13E13277" w14:textId="062B9BC2" w:rsidR="001F0DA3" w:rsidRDefault="00A1389D" w:rsidP="003B35B0">
      <w:pPr>
        <w:pStyle w:val="ListParagraph"/>
        <w:numPr>
          <w:ilvl w:val="0"/>
          <w:numId w:val="51"/>
        </w:numPr>
        <w:spacing w:after="240"/>
        <w:ind w:hanging="357"/>
        <w:contextualSpacing/>
      </w:pPr>
      <w:r w:rsidRPr="00BE30D1">
        <w:t>MA Energy</w:t>
      </w:r>
      <w:r w:rsidR="007D4D05">
        <w:t>.</w:t>
      </w:r>
    </w:p>
    <w:p w14:paraId="4862DE9F" w14:textId="5DD9E8B2" w:rsidR="00A1389D" w:rsidRDefault="009262F0" w:rsidP="003B35B0">
      <w:pPr>
        <w:pStyle w:val="ListParagraph"/>
        <w:numPr>
          <w:ilvl w:val="0"/>
          <w:numId w:val="51"/>
        </w:numPr>
        <w:spacing w:after="120"/>
        <w:ind w:hanging="357"/>
      </w:pPr>
      <w:r>
        <w:t>Simply Your Energy/</w:t>
      </w:r>
      <w:r w:rsidR="00A1389D" w:rsidRPr="00BE30D1">
        <w:t>Entice Energy</w:t>
      </w:r>
      <w:r w:rsidR="007D4D05">
        <w:t>.</w:t>
      </w:r>
    </w:p>
    <w:p w14:paraId="616657D1" w14:textId="0187BEE3" w:rsidR="00A1389D" w:rsidRPr="00BE30D1" w:rsidRDefault="00A1389D" w:rsidP="003B35B0">
      <w:pPr>
        <w:pStyle w:val="CH4normal"/>
        <w:ind w:left="567" w:hanging="567"/>
      </w:pPr>
      <w:r w:rsidRPr="00BE30D1">
        <w:t xml:space="preserve">Full </w:t>
      </w:r>
      <w:r w:rsidRPr="003B35B0">
        <w:rPr>
          <w:rStyle w:val="CH4normalChar"/>
        </w:rPr>
        <w:t>details of the Final and Provisional Orders are available on our website.</w:t>
      </w:r>
      <w:r>
        <w:rPr>
          <w:rStyle w:val="FootnoteReference"/>
        </w:rPr>
        <w:footnoteReference w:id="47"/>
      </w:r>
      <w:r w:rsidRPr="003B35B0">
        <w:rPr>
          <w:rStyle w:val="CH4normalChar"/>
        </w:rPr>
        <w:t xml:space="preserve"> For more information on the steps the Authority can take in cases of non-compliance with the RO Obligation, please see the RO Guidance and Enforcement</w:t>
      </w:r>
      <w:r w:rsidRPr="00BE30D1">
        <w:t xml:space="preserve"> Guidelines.</w:t>
      </w:r>
      <w:r w:rsidR="00AB78BB">
        <w:rPr>
          <w:rStyle w:val="FootnoteReference"/>
        </w:rPr>
        <w:footnoteReference w:id="48"/>
      </w:r>
      <w:r w:rsidR="00363C72">
        <w:t xml:space="preserve"> </w:t>
      </w:r>
      <w:r w:rsidRPr="00363C72">
        <w:rPr>
          <w:vertAlign w:val="superscript"/>
        </w:rPr>
        <w:footnoteReference w:id="49"/>
      </w:r>
    </w:p>
    <w:p w14:paraId="5A259E60" w14:textId="534C3C99" w:rsidR="00215982" w:rsidRDefault="008956BB" w:rsidP="003B35B0">
      <w:pPr>
        <w:pStyle w:val="Heading2"/>
        <w:rPr>
          <w:rStyle w:val="Heading3Char"/>
          <w:rFonts w:cstheme="minorHAnsi"/>
        </w:rPr>
      </w:pPr>
      <w:bookmarkStart w:id="125" w:name="_Toc98852159"/>
      <w:r>
        <w:rPr>
          <w:rStyle w:val="Heading3Char"/>
          <w:rFonts w:cstheme="minorHAnsi"/>
        </w:rPr>
        <w:lastRenderedPageBreak/>
        <w:t>2020-21 C</w:t>
      </w:r>
      <w:r w:rsidR="00215982">
        <w:rPr>
          <w:rStyle w:val="Heading3Char"/>
          <w:rFonts w:cstheme="minorHAnsi"/>
        </w:rPr>
        <w:t>ompliance Timeline</w:t>
      </w:r>
      <w:bookmarkEnd w:id="125"/>
    </w:p>
    <w:p w14:paraId="3F7D9976" w14:textId="589E9734" w:rsidR="00A1389D" w:rsidRPr="00BE1C55" w:rsidRDefault="00215982" w:rsidP="003B35B0">
      <w:pPr>
        <w:pStyle w:val="Heading3"/>
      </w:pPr>
      <w:r w:rsidRPr="00BE1C55">
        <w:t>Calculating the o</w:t>
      </w:r>
      <w:r w:rsidR="00A1389D" w:rsidRPr="007D43FF">
        <w:t xml:space="preserve">bligation </w:t>
      </w:r>
    </w:p>
    <w:p w14:paraId="50752B31" w14:textId="3B293842" w:rsidR="00A1389D" w:rsidRPr="003B35B0" w:rsidRDefault="00C32612" w:rsidP="003B35B0">
      <w:pPr>
        <w:ind w:left="567"/>
        <w:rPr>
          <w:b/>
          <w:bCs/>
          <w:u w:val="single"/>
        </w:rPr>
      </w:pPr>
      <w:bookmarkStart w:id="126" w:name="_Toc89892445"/>
      <w:bookmarkStart w:id="127" w:name="_Toc90552046"/>
      <w:r w:rsidRPr="003B35B0">
        <w:rPr>
          <w:b/>
          <w:bCs/>
          <w:u w:val="single"/>
        </w:rPr>
        <w:t>Ac</w:t>
      </w:r>
      <w:r w:rsidR="00A1389D" w:rsidRPr="003B35B0">
        <w:rPr>
          <w:b/>
          <w:bCs/>
          <w:u w:val="single"/>
        </w:rPr>
        <w:t>tion</w:t>
      </w:r>
      <w:r w:rsidRPr="003B35B0">
        <w:rPr>
          <w:b/>
          <w:bCs/>
          <w:u w:val="single"/>
        </w:rPr>
        <w:t>s</w:t>
      </w:r>
      <w:r w:rsidR="00A1389D" w:rsidRPr="003B35B0">
        <w:rPr>
          <w:b/>
          <w:bCs/>
          <w:u w:val="single"/>
        </w:rPr>
        <w:t xml:space="preserve"> required by suppliers</w:t>
      </w:r>
      <w:bookmarkEnd w:id="126"/>
      <w:bookmarkEnd w:id="127"/>
    </w:p>
    <w:p w14:paraId="3A06E326" w14:textId="4717A0B3" w:rsidR="00A1389D" w:rsidRPr="006B3AC6" w:rsidRDefault="00A1389D" w:rsidP="003B35B0">
      <w:pPr>
        <w:pStyle w:val="CH4normal"/>
        <w:ind w:left="567" w:hanging="567"/>
      </w:pPr>
      <w:bookmarkStart w:id="128" w:name="_Toc89892446"/>
      <w:bookmarkStart w:id="129" w:name="_Toc90552047"/>
      <w:r w:rsidRPr="006B3AC6">
        <w:t>After an obligation period (1 April – 31 March) each licensed supplier must provide us with their estimated</w:t>
      </w:r>
      <w:bookmarkEnd w:id="128"/>
      <w:bookmarkEnd w:id="129"/>
      <w:r w:rsidRPr="006B3AC6">
        <w:t xml:space="preserve"> electricity supply</w:t>
      </w:r>
      <w:r>
        <w:t xml:space="preserve"> (by 1 June)</w:t>
      </w:r>
      <w:r w:rsidR="00A01E4A">
        <w:t xml:space="preserve"> and</w:t>
      </w:r>
      <w:r w:rsidRPr="006B3AC6">
        <w:t xml:space="preserve"> final figures of electricity supply</w:t>
      </w:r>
      <w:r>
        <w:t xml:space="preserve"> (by 1 July)</w:t>
      </w:r>
      <w:r w:rsidR="00A01E4A">
        <w:t xml:space="preserve">. Licensed electricity suppliers must comply with their </w:t>
      </w:r>
      <w:r w:rsidRPr="006B3AC6">
        <w:t>obligation</w:t>
      </w:r>
      <w:r w:rsidR="00A01E4A">
        <w:t>s</w:t>
      </w:r>
      <w:r w:rsidRPr="006B3AC6">
        <w:t xml:space="preserve"> by presenting ROCs</w:t>
      </w:r>
      <w:r>
        <w:t xml:space="preserve"> (by 1 September)</w:t>
      </w:r>
      <w:r w:rsidRPr="006B3AC6">
        <w:t xml:space="preserve"> or by paying into the buy-out fund</w:t>
      </w:r>
      <w:r>
        <w:t xml:space="preserve"> (by 31 August)</w:t>
      </w:r>
      <w:r w:rsidRPr="006B3AC6">
        <w:t>,</w:t>
      </w:r>
      <w:r>
        <w:t xml:space="preserve"> or</w:t>
      </w:r>
      <w:r w:rsidRPr="006B3AC6">
        <w:t xml:space="preserve"> into the late payment fund</w:t>
      </w:r>
      <w:r>
        <w:t xml:space="preserve"> (by 31 October)</w:t>
      </w:r>
      <w:r w:rsidRPr="006B3AC6">
        <w:t xml:space="preserve">, or </w:t>
      </w:r>
      <w:r>
        <w:t xml:space="preserve">by using </w:t>
      </w:r>
      <w:r w:rsidRPr="006B3AC6">
        <w:t>a combination of the three.</w:t>
      </w:r>
      <w:r w:rsidRPr="00E359FA">
        <w:rPr>
          <w:vertAlign w:val="superscript"/>
        </w:rPr>
        <w:footnoteReference w:id="50"/>
      </w:r>
      <w:r w:rsidR="00A01E4A">
        <w:t xml:space="preserve"> Payments </w:t>
      </w:r>
      <w:r w:rsidR="00C51DE3">
        <w:t>into</w:t>
      </w:r>
      <w:r w:rsidR="00A01E4A">
        <w:t xml:space="preserve"> the late payment fund attract a daily interest charge.</w:t>
      </w:r>
    </w:p>
    <w:p w14:paraId="3544F54F" w14:textId="77777777" w:rsidR="00A1389D" w:rsidRPr="003B35B0" w:rsidRDefault="00A1389D" w:rsidP="003B35B0">
      <w:pPr>
        <w:ind w:left="567"/>
        <w:rPr>
          <w:b/>
          <w:bCs/>
          <w:iCs/>
          <w:color w:val="000000" w:themeColor="text1"/>
          <w:u w:val="single"/>
        </w:rPr>
      </w:pPr>
      <w:bookmarkStart w:id="130" w:name="_Toc89892447"/>
      <w:bookmarkStart w:id="131" w:name="_Toc90552048"/>
      <w:r w:rsidRPr="003B35B0">
        <w:rPr>
          <w:b/>
          <w:bCs/>
          <w:iCs/>
          <w:color w:val="000000" w:themeColor="text1"/>
          <w:u w:val="single"/>
        </w:rPr>
        <w:t>Validation &amp; submission of supply volumes</w:t>
      </w:r>
      <w:bookmarkEnd w:id="130"/>
      <w:bookmarkEnd w:id="131"/>
    </w:p>
    <w:p w14:paraId="31839CA2" w14:textId="1358B4B7" w:rsidR="00A1389D" w:rsidRPr="003B35B0" w:rsidRDefault="00A1389D" w:rsidP="003B35B0">
      <w:pPr>
        <w:pStyle w:val="CH4normal"/>
        <w:ind w:left="567" w:hanging="567"/>
        <w:rPr>
          <w:rStyle w:val="Heading3Char"/>
          <w:rFonts w:eastAsiaTheme="minorHAnsi" w:cstheme="minorBidi"/>
          <w:color w:val="auto"/>
          <w:sz w:val="20"/>
          <w:szCs w:val="20"/>
        </w:rPr>
      </w:pPr>
      <w:bookmarkStart w:id="132" w:name="_Toc89892448"/>
      <w:bookmarkStart w:id="133" w:name="_Toc90552049"/>
      <w:r w:rsidRPr="003B35B0">
        <w:t>The Renewables Obligation: Guidance for Licensed Electricity Suppliers recommends a methodology for suppliers to follow when they report their supply volumes for an obligation period.</w:t>
      </w:r>
      <w:r w:rsidR="00E04D18">
        <w:rPr>
          <w:rStyle w:val="FootnoteReference"/>
        </w:rPr>
        <w:footnoteReference w:id="51"/>
      </w:r>
      <w:r w:rsidRPr="003B35B0">
        <w:t xml:space="preserve"> This states that they should use settlement reports from </w:t>
      </w:r>
      <w:proofErr w:type="spellStart"/>
      <w:r w:rsidRPr="003B35B0">
        <w:t>Elexon</w:t>
      </w:r>
      <w:proofErr w:type="spellEnd"/>
      <w:r w:rsidRPr="003B35B0">
        <w:rPr>
          <w:vertAlign w:val="superscript"/>
        </w:rPr>
        <w:footnoteReference w:id="52"/>
      </w:r>
      <w:r w:rsidRPr="003B35B0">
        <w:rPr>
          <w:vertAlign w:val="superscript"/>
        </w:rPr>
        <w:t xml:space="preserve"> </w:t>
      </w:r>
      <w:r w:rsidRPr="003B35B0">
        <w:t>for supply in GB, and from Northern Ireland Electricity Networks (NIE)</w:t>
      </w:r>
      <w:r w:rsidRPr="003B35B0">
        <w:rPr>
          <w:vertAlign w:val="superscript"/>
        </w:rPr>
        <w:footnoteReference w:id="53"/>
      </w:r>
      <w:r w:rsidRPr="003B35B0">
        <w:t xml:space="preserve"> for supply in NI. Since 2015</w:t>
      </w:r>
      <w:r w:rsidR="00101749" w:rsidRPr="003B35B0">
        <w:t>,</w:t>
      </w:r>
      <w:r w:rsidRPr="003B35B0">
        <w:t xml:space="preserve"> </w:t>
      </w:r>
      <w:r w:rsidR="00901408" w:rsidRPr="00901408">
        <w:t xml:space="preserve">we have obtained settlement reports from </w:t>
      </w:r>
      <w:proofErr w:type="spellStart"/>
      <w:r w:rsidR="00901408" w:rsidRPr="00901408">
        <w:t>Elexon</w:t>
      </w:r>
      <w:proofErr w:type="spellEnd"/>
      <w:r w:rsidR="00901408" w:rsidRPr="00901408">
        <w:t xml:space="preserve"> and NIE to validate submissions from suppliers and to mitigate the risk of inaccurate supply volume submissions</w:t>
      </w:r>
      <w:r w:rsidRPr="003B35B0">
        <w:t>.</w:t>
      </w:r>
      <w:r w:rsidRPr="003B35B0">
        <w:rPr>
          <w:vertAlign w:val="superscript"/>
        </w:rPr>
        <w:footnoteReference w:id="54"/>
      </w:r>
      <w:bookmarkEnd w:id="132"/>
      <w:bookmarkEnd w:id="133"/>
    </w:p>
    <w:p w14:paraId="211CD0E4" w14:textId="39499A44" w:rsidR="00A1389D" w:rsidRPr="003B35B0" w:rsidRDefault="00A1389D" w:rsidP="003B35B0">
      <w:pPr>
        <w:pStyle w:val="CH4normal"/>
        <w:ind w:left="567" w:hanging="567"/>
      </w:pPr>
      <w:bookmarkStart w:id="134" w:name="_Toc89892449"/>
      <w:bookmarkStart w:id="135" w:name="_Toc90552050"/>
      <w:r w:rsidRPr="003B35B0">
        <w:t xml:space="preserve">There were </w:t>
      </w:r>
      <w:r w:rsidR="00101749" w:rsidRPr="003B35B0">
        <w:t>four</w:t>
      </w:r>
      <w:r w:rsidRPr="003B35B0">
        <w:t xml:space="preserve"> suppliers that submitted their estimated figure</w:t>
      </w:r>
      <w:r w:rsidR="00A01E4A" w:rsidRPr="003B35B0">
        <w:t>s</w:t>
      </w:r>
      <w:r w:rsidRPr="003B35B0">
        <w:t xml:space="preserve"> after 1 June estimated data deadline, and there were none that failed to provide data. For the 1 July final supply data deadline, </w:t>
      </w:r>
      <w:r w:rsidR="00101749" w:rsidRPr="003B35B0">
        <w:t>seven</w:t>
      </w:r>
      <w:r w:rsidRPr="003B35B0">
        <w:t xml:space="preserve"> suppliers submitted figures late</w:t>
      </w:r>
      <w:r w:rsidRPr="003B35B0">
        <w:rPr>
          <w:vertAlign w:val="superscript"/>
        </w:rPr>
        <w:footnoteReference w:id="55"/>
      </w:r>
      <w:r w:rsidRPr="003B35B0">
        <w:t xml:space="preserve"> and there were none that failed to provide data. These figures exclude </w:t>
      </w:r>
      <w:r w:rsidR="00101749" w:rsidRPr="003B35B0">
        <w:t>nine</w:t>
      </w:r>
      <w:r w:rsidRPr="003B35B0">
        <w:t xml:space="preserve"> suppliers that either had their licence revoked or </w:t>
      </w:r>
      <w:r w:rsidR="00FC4B0F" w:rsidRPr="003B35B0">
        <w:t>entered</w:t>
      </w:r>
      <w:r w:rsidRPr="003B35B0">
        <w:t xml:space="preserve"> administration by the estimated or final supply data deadlines. Each of these incidents of non-compliance will be added to the Supplier Performance Report (SPR).</w:t>
      </w:r>
      <w:r w:rsidRPr="003B35B0">
        <w:rPr>
          <w:vertAlign w:val="superscript"/>
        </w:rPr>
        <w:footnoteReference w:id="56"/>
      </w:r>
      <w:bookmarkEnd w:id="134"/>
      <w:bookmarkEnd w:id="135"/>
    </w:p>
    <w:p w14:paraId="69866CBA" w14:textId="77777777" w:rsidR="00A1389D" w:rsidRPr="003B35B0" w:rsidRDefault="00A1389D" w:rsidP="003B35B0">
      <w:pPr>
        <w:pStyle w:val="Heading3"/>
        <w:rPr>
          <w:rStyle w:val="Heading3Char"/>
        </w:rPr>
      </w:pPr>
      <w:bookmarkStart w:id="136" w:name="_Toc89892450"/>
      <w:bookmarkStart w:id="137" w:name="_Toc90552051"/>
      <w:r w:rsidRPr="003B35B0">
        <w:rPr>
          <w:rStyle w:val="Heading3Char"/>
        </w:rPr>
        <w:lastRenderedPageBreak/>
        <w:t>Share of obligation by suppliers</w:t>
      </w:r>
      <w:bookmarkEnd w:id="136"/>
      <w:bookmarkEnd w:id="137"/>
    </w:p>
    <w:p w14:paraId="65061AB9" w14:textId="77777777" w:rsidR="00A1389D" w:rsidRPr="006B3AC6" w:rsidRDefault="00A1389D" w:rsidP="003B35B0">
      <w:pPr>
        <w:pStyle w:val="CH4normal"/>
        <w:ind w:left="567" w:hanging="567"/>
      </w:pPr>
      <w:bookmarkStart w:id="138" w:name="_Toc89892451"/>
      <w:bookmarkStart w:id="139" w:name="_Toc90552052"/>
      <w:r w:rsidRPr="00101749">
        <w:rPr>
          <w:b/>
          <w:bCs/>
        </w:rPr>
        <w:t>Figure 4.1</w:t>
      </w:r>
      <w:r w:rsidRPr="006B3AC6">
        <w:t xml:space="preserve"> shows how the total UK obligation was split between suppliers. Each supplier with a share of the obligation of 3% or above is shown individually, those with a share below 3% are grouped together under ‘Other’.</w:t>
      </w:r>
      <w:bookmarkEnd w:id="138"/>
      <w:bookmarkEnd w:id="139"/>
    </w:p>
    <w:p w14:paraId="363C0E6A" w14:textId="4BBEDDA6" w:rsidR="00A1389D" w:rsidRDefault="00A1389D" w:rsidP="003B35B0">
      <w:pPr>
        <w:pStyle w:val="CH4normal"/>
        <w:ind w:left="567" w:hanging="567"/>
      </w:pPr>
      <w:bookmarkStart w:id="140" w:name="_Toc89892452"/>
      <w:bookmarkStart w:id="141" w:name="_Toc90552053"/>
      <w:r w:rsidRPr="006B3AC6">
        <w:t>The six largest suppliers (</w:t>
      </w:r>
      <w:r w:rsidR="00931373" w:rsidRPr="006B3AC6">
        <w:t>E.ON/Npower</w:t>
      </w:r>
      <w:r w:rsidR="00931373" w:rsidRPr="00101749">
        <w:rPr>
          <w:vertAlign w:val="superscript"/>
        </w:rPr>
        <w:footnoteReference w:id="57"/>
      </w:r>
      <w:r w:rsidR="00931373" w:rsidRPr="006B3AC6">
        <w:t>,</w:t>
      </w:r>
      <w:r w:rsidR="00931373">
        <w:t xml:space="preserve"> </w:t>
      </w:r>
      <w:r w:rsidRPr="006B3AC6">
        <w:t>EDF, British Gas, Scottish Power, OVO, SSE) shared of 64.73% the obligation between them</w:t>
      </w:r>
      <w:r w:rsidR="005D3460">
        <w:t>.</w:t>
      </w:r>
      <w:r w:rsidRPr="006B3AC6">
        <w:t xml:space="preserve"> </w:t>
      </w:r>
      <w:r w:rsidR="005D3460">
        <w:t>T</w:t>
      </w:r>
      <w:r w:rsidRPr="006B3AC6">
        <w:t>his is up from 63.96% last year.</w:t>
      </w:r>
      <w:r w:rsidRPr="00101749">
        <w:rPr>
          <w:vertAlign w:val="superscript"/>
        </w:rPr>
        <w:footnoteReference w:id="58"/>
      </w:r>
      <w:r w:rsidRPr="003B35B0">
        <w:t xml:space="preserve"> </w:t>
      </w:r>
      <w:r w:rsidRPr="002F7FA2">
        <w:t>F</w:t>
      </w:r>
      <w:r w:rsidRPr="006B3AC6">
        <w:t xml:space="preserve">ull details of suppliers’ obligations are included in </w:t>
      </w:r>
      <w:r w:rsidRPr="005D3460">
        <w:rPr>
          <w:b/>
          <w:bCs/>
        </w:rPr>
        <w:t xml:space="preserve">Appendix </w:t>
      </w:r>
      <w:r w:rsidR="0083446C">
        <w:rPr>
          <w:b/>
          <w:bCs/>
        </w:rPr>
        <w:t>1</w:t>
      </w:r>
      <w:r w:rsidRPr="006B3AC6">
        <w:t>.</w:t>
      </w:r>
      <w:bookmarkEnd w:id="140"/>
      <w:bookmarkEnd w:id="141"/>
      <w:r w:rsidRPr="006B3AC6">
        <w:t xml:space="preserve"> </w:t>
      </w:r>
    </w:p>
    <w:p w14:paraId="78DF91CD" w14:textId="16E9D09A" w:rsidR="000250B5" w:rsidRDefault="00F00AA6" w:rsidP="003B35B0">
      <w:pPr>
        <w:pStyle w:val="ListParagraph"/>
        <w:ind w:left="0"/>
        <w:rPr>
          <w:rFonts w:eastAsiaTheme="minorEastAsia" w:cstheme="minorHAnsi"/>
          <w:b/>
          <w:bCs/>
          <w:color w:val="000000" w:themeColor="text1"/>
        </w:rPr>
      </w:pPr>
      <w:r>
        <w:rPr>
          <w:rFonts w:eastAsiaTheme="minorEastAsia" w:cstheme="minorHAnsi"/>
          <w:b/>
          <w:bCs/>
          <w:color w:val="000000" w:themeColor="text1"/>
        </w:rPr>
        <w:t>Figure</w:t>
      </w:r>
      <w:r w:rsidRPr="000250B5">
        <w:rPr>
          <w:rFonts w:eastAsiaTheme="minorEastAsia" w:cstheme="minorHAnsi"/>
          <w:b/>
          <w:bCs/>
          <w:color w:val="000000" w:themeColor="text1"/>
        </w:rPr>
        <w:t xml:space="preserve"> </w:t>
      </w:r>
      <w:r w:rsidR="000250B5" w:rsidRPr="000250B5">
        <w:rPr>
          <w:rFonts w:eastAsiaTheme="minorEastAsia" w:cstheme="minorHAnsi"/>
          <w:b/>
          <w:bCs/>
          <w:color w:val="000000" w:themeColor="text1"/>
        </w:rPr>
        <w:t>4.1: Obligation level 2020-21</w:t>
      </w:r>
    </w:p>
    <w:p w14:paraId="0173FFC6" w14:textId="2AE76519" w:rsidR="00970191" w:rsidRPr="000250B5" w:rsidRDefault="00E51ADA" w:rsidP="003B35B0">
      <w:pPr>
        <w:pStyle w:val="ListParagraph"/>
        <w:ind w:left="0"/>
        <w:rPr>
          <w:rFonts w:eastAsiaTheme="minorEastAsia" w:cstheme="minorHAnsi"/>
          <w:b/>
          <w:bCs/>
          <w:color w:val="000000" w:themeColor="text1"/>
        </w:rPr>
      </w:pPr>
      <w:r>
        <w:rPr>
          <w:noProof/>
        </w:rPr>
        <w:drawing>
          <wp:inline distT="0" distB="0" distL="0" distR="0" wp14:anchorId="0A1E3133" wp14:editId="46BE1B53">
            <wp:extent cx="5632449" cy="3090863"/>
            <wp:effectExtent l="0" t="0" r="6985" b="0"/>
            <wp:docPr id="235" name="Chart 235" descr="This chart shows the licensed suppliers with the largest share of the Renewables Obligation, as a percentage of the total supplier ROC obligation. The eight suppliers shown are responsible for more than 72% of the total obligation.&#10;&#10;The data used to produce this chart is published alongside this report on our website.">
              <a:extLst xmlns:a="http://schemas.openxmlformats.org/drawingml/2006/main">
                <a:ext uri="{FF2B5EF4-FFF2-40B4-BE49-F238E27FC236}">
                  <a16:creationId xmlns:a16="http://schemas.microsoft.com/office/drawing/2014/main" id="{34B000F7-4DC8-48EC-AA61-624D3BD97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196226" w14:textId="22F4588C" w:rsidR="00A1389D" w:rsidRPr="003B35B0" w:rsidRDefault="00A1389D" w:rsidP="003B35B0">
      <w:pPr>
        <w:pStyle w:val="Heading3"/>
      </w:pPr>
      <w:bookmarkStart w:id="142" w:name="_Toc89892453"/>
      <w:bookmarkStart w:id="143" w:name="_Toc90552054"/>
      <w:r w:rsidRPr="003B35B0">
        <w:t>Energy Intensive Industries</w:t>
      </w:r>
      <w:bookmarkEnd w:id="142"/>
      <w:bookmarkEnd w:id="143"/>
    </w:p>
    <w:p w14:paraId="3F417F7F" w14:textId="4216F210" w:rsidR="00C85354" w:rsidRDefault="00C85354" w:rsidP="003B35B0">
      <w:pPr>
        <w:pStyle w:val="CH4normal"/>
        <w:ind w:left="567" w:hanging="567"/>
        <w:rPr>
          <w:rStyle w:val="Heading3Char"/>
          <w:rFonts w:eastAsiaTheme="minorEastAsia" w:cstheme="minorHAnsi"/>
          <w:b/>
          <w:iCs/>
          <w:color w:val="000000" w:themeColor="text1"/>
          <w:sz w:val="20"/>
          <w:szCs w:val="20"/>
        </w:rPr>
      </w:pPr>
      <w:bookmarkStart w:id="144" w:name="_Toc90552055"/>
      <w:bookmarkStart w:id="145" w:name="_Toc89892454"/>
      <w:r w:rsidRPr="00C85354">
        <w:t>An exemption for eligible Energy Intensive Industries (EIIs) from a proportion of the indirect costs of the RO has been in place on the scheme since the 2018-19 year.</w:t>
      </w:r>
      <w:bookmarkEnd w:id="144"/>
      <w:r w:rsidRPr="00C85354">
        <w:t xml:space="preserve">  </w:t>
      </w:r>
    </w:p>
    <w:p w14:paraId="1E71DE2F" w14:textId="5552DB94" w:rsidR="00A1389D" w:rsidRPr="006B3AC6" w:rsidRDefault="00C85354" w:rsidP="003B35B0">
      <w:pPr>
        <w:pStyle w:val="CH4normal"/>
        <w:ind w:left="567" w:hanging="567"/>
      </w:pPr>
      <w:bookmarkStart w:id="146" w:name="_Toc90552056"/>
      <w:r>
        <w:t>E</w:t>
      </w:r>
      <w:r w:rsidR="00A1389D" w:rsidRPr="006B3AC6">
        <w:t>ligible EII</w:t>
      </w:r>
      <w:r w:rsidR="008A1F4E">
        <w:t>s</w:t>
      </w:r>
      <w:r w:rsidR="00A1389D" w:rsidRPr="006B3AC6">
        <w:t xml:space="preserve"> in GB may claim exemption from their energy supplier for up to 85% of the indirect costs of the RO. We use the suppliers’ reduced supply volumes to calculate their obligations. Further </w:t>
      </w:r>
      <w:r w:rsidR="008A1F4E">
        <w:t xml:space="preserve">information </w:t>
      </w:r>
      <w:r w:rsidR="00A1389D" w:rsidRPr="006B3AC6">
        <w:t>about eligible EII excluded electricity can be found in our Guidance for Suppliers</w:t>
      </w:r>
      <w:r w:rsidR="005D3460">
        <w:t>.</w:t>
      </w:r>
      <w:r w:rsidR="00A1389D" w:rsidRPr="005D3460">
        <w:rPr>
          <w:vertAlign w:val="superscript"/>
        </w:rPr>
        <w:footnoteReference w:id="59"/>
      </w:r>
      <w:bookmarkEnd w:id="145"/>
      <w:bookmarkEnd w:id="146"/>
    </w:p>
    <w:p w14:paraId="11656A9F" w14:textId="1858F8B7" w:rsidR="00A1389D" w:rsidRPr="006B3AC6" w:rsidRDefault="00A1389D" w:rsidP="003B35B0">
      <w:pPr>
        <w:pStyle w:val="CH4normal"/>
        <w:ind w:left="567" w:hanging="567"/>
      </w:pPr>
      <w:bookmarkStart w:id="147" w:name="_Toc89892455"/>
      <w:bookmarkStart w:id="148" w:name="_Toc90552057"/>
      <w:r w:rsidRPr="006B3AC6">
        <w:lastRenderedPageBreak/>
        <w:t>Twenty-four suppliers supplied 11.</w:t>
      </w:r>
      <w:r w:rsidR="00534C92">
        <w:t>30</w:t>
      </w:r>
      <w:r w:rsidRPr="006B3AC6">
        <w:t xml:space="preserve"> </w:t>
      </w:r>
      <w:proofErr w:type="spellStart"/>
      <w:r w:rsidRPr="006B3AC6">
        <w:t>TWh</w:t>
      </w:r>
      <w:proofErr w:type="spellEnd"/>
      <w:r w:rsidRPr="006B3AC6">
        <w:t xml:space="preserve"> of EII electricity to their customers in GB – 8.81 </w:t>
      </w:r>
      <w:proofErr w:type="spellStart"/>
      <w:r w:rsidRPr="006B3AC6">
        <w:t>TWh</w:t>
      </w:r>
      <w:proofErr w:type="spellEnd"/>
      <w:r w:rsidRPr="006B3AC6">
        <w:t xml:space="preserve"> of which was excluded as part of their total supply volumes for the purpose of determining their obligations. A summary of such electricity supplied in GB is given in </w:t>
      </w:r>
      <w:r w:rsidRPr="00C60E36">
        <w:rPr>
          <w:b/>
          <w:bCs/>
        </w:rPr>
        <w:t>Table 4.</w:t>
      </w:r>
      <w:r w:rsidR="00EB3E3B">
        <w:rPr>
          <w:b/>
          <w:bCs/>
        </w:rPr>
        <w:t>4</w:t>
      </w:r>
      <w:r w:rsidRPr="006B3AC6">
        <w:t>.</w:t>
      </w:r>
      <w:bookmarkEnd w:id="147"/>
      <w:bookmarkEnd w:id="148"/>
    </w:p>
    <w:p w14:paraId="7AB81C6A" w14:textId="284A3A81" w:rsidR="00A1389D" w:rsidRPr="006B3AC6" w:rsidRDefault="00A1389D" w:rsidP="00A1389D">
      <w:pPr>
        <w:spacing w:line="276" w:lineRule="auto"/>
        <w:rPr>
          <w:rFonts w:eastAsiaTheme="minorEastAsia" w:cstheme="minorHAnsi"/>
          <w:b/>
          <w:color w:val="000000" w:themeColor="text1"/>
        </w:rPr>
      </w:pPr>
      <w:r w:rsidRPr="006B3AC6">
        <w:rPr>
          <w:rFonts w:eastAsiaTheme="minorEastAsia" w:cstheme="minorHAnsi"/>
          <w:b/>
          <w:color w:val="000000" w:themeColor="text1"/>
        </w:rPr>
        <w:t xml:space="preserve"> </w:t>
      </w:r>
      <w:bookmarkStart w:id="149" w:name="_Hlk96435770"/>
      <w:r w:rsidRPr="006B3AC6">
        <w:rPr>
          <w:rFonts w:eastAsiaTheme="minorEastAsia" w:cstheme="minorHAnsi"/>
          <w:b/>
          <w:color w:val="000000" w:themeColor="text1"/>
        </w:rPr>
        <w:t>Table 4.</w:t>
      </w:r>
      <w:r w:rsidR="00EB3E3B">
        <w:rPr>
          <w:rFonts w:eastAsiaTheme="minorEastAsia" w:cstheme="minorHAnsi"/>
          <w:b/>
          <w:color w:val="000000" w:themeColor="text1"/>
        </w:rPr>
        <w:t>4</w:t>
      </w:r>
      <w:r w:rsidRPr="006B3AC6">
        <w:rPr>
          <w:rFonts w:eastAsiaTheme="minorEastAsia" w:cstheme="minorHAnsi"/>
          <w:b/>
          <w:color w:val="000000" w:themeColor="text1"/>
        </w:rPr>
        <w:t xml:space="preserve">: Summary of EIIs supplied in Great Britain </w:t>
      </w:r>
    </w:p>
    <w:tbl>
      <w:tblPr>
        <w:tblStyle w:val="TableGrid"/>
        <w:tblW w:w="9781" w:type="dxa"/>
        <w:tblLayout w:type="fixed"/>
        <w:tblLook w:val="04A0" w:firstRow="1" w:lastRow="0" w:firstColumn="1" w:lastColumn="0" w:noHBand="0" w:noVBand="1"/>
      </w:tblPr>
      <w:tblGrid>
        <w:gridCol w:w="3113"/>
        <w:gridCol w:w="2222"/>
        <w:gridCol w:w="2223"/>
        <w:gridCol w:w="2223"/>
      </w:tblGrid>
      <w:tr w:rsidR="00A1389D" w:rsidRPr="006B3AC6" w14:paraId="51DC96AC" w14:textId="77777777" w:rsidTr="003B35B0">
        <w:trPr>
          <w:trHeight w:val="213"/>
        </w:trPr>
        <w:tc>
          <w:tcPr>
            <w:tcW w:w="3113" w:type="dxa"/>
            <w:tcBorders>
              <w:top w:val="nil"/>
              <w:left w:val="nil"/>
              <w:bottom w:val="single" w:sz="4" w:space="0" w:color="auto"/>
              <w:right w:val="single" w:sz="4" w:space="0" w:color="auto"/>
            </w:tcBorders>
          </w:tcPr>
          <w:p w14:paraId="042719BB" w14:textId="77777777" w:rsidR="00A1389D" w:rsidRPr="00E359FA" w:rsidRDefault="00A1389D" w:rsidP="00E359FA">
            <w:pPr>
              <w:rPr>
                <w:sz w:val="16"/>
                <w:szCs w:val="16"/>
              </w:rPr>
            </w:pPr>
          </w:p>
        </w:tc>
        <w:tc>
          <w:tcPr>
            <w:tcW w:w="2222" w:type="dxa"/>
            <w:tcBorders>
              <w:left w:val="single" w:sz="4" w:space="0" w:color="auto"/>
            </w:tcBorders>
            <w:shd w:val="clear" w:color="auto" w:fill="2363AF"/>
            <w:vAlign w:val="center"/>
          </w:tcPr>
          <w:p w14:paraId="6B12BAED" w14:textId="77777777" w:rsidR="00A1389D" w:rsidRPr="00E359FA" w:rsidRDefault="00A1389D" w:rsidP="003B35B0">
            <w:pPr>
              <w:jc w:val="right"/>
              <w:rPr>
                <w:color w:val="FFFFFF" w:themeColor="background1"/>
                <w:sz w:val="16"/>
                <w:szCs w:val="16"/>
              </w:rPr>
            </w:pPr>
            <w:bookmarkStart w:id="150" w:name="_Toc89892456"/>
            <w:bookmarkStart w:id="151" w:name="_Toc90552058"/>
            <w:r w:rsidRPr="00E359FA">
              <w:rPr>
                <w:color w:val="FFFFFF" w:themeColor="background1"/>
                <w:sz w:val="16"/>
                <w:szCs w:val="16"/>
              </w:rPr>
              <w:t>England &amp; Wales</w:t>
            </w:r>
            <w:bookmarkEnd w:id="150"/>
            <w:bookmarkEnd w:id="151"/>
          </w:p>
        </w:tc>
        <w:tc>
          <w:tcPr>
            <w:tcW w:w="2223" w:type="dxa"/>
            <w:shd w:val="clear" w:color="auto" w:fill="2363AF"/>
            <w:vAlign w:val="center"/>
          </w:tcPr>
          <w:p w14:paraId="489A0571" w14:textId="77777777" w:rsidR="00A1389D" w:rsidRPr="00E359FA" w:rsidRDefault="00A1389D" w:rsidP="003B35B0">
            <w:pPr>
              <w:jc w:val="right"/>
              <w:rPr>
                <w:color w:val="FFFFFF" w:themeColor="background1"/>
                <w:sz w:val="16"/>
                <w:szCs w:val="16"/>
              </w:rPr>
            </w:pPr>
            <w:bookmarkStart w:id="152" w:name="_Toc89892457"/>
            <w:bookmarkStart w:id="153" w:name="_Toc90552059"/>
            <w:r w:rsidRPr="00E359FA">
              <w:rPr>
                <w:color w:val="FFFFFF" w:themeColor="background1"/>
                <w:sz w:val="16"/>
                <w:szCs w:val="16"/>
              </w:rPr>
              <w:t>Scotland</w:t>
            </w:r>
            <w:bookmarkEnd w:id="152"/>
            <w:bookmarkEnd w:id="153"/>
          </w:p>
        </w:tc>
        <w:tc>
          <w:tcPr>
            <w:tcW w:w="2223" w:type="dxa"/>
            <w:shd w:val="clear" w:color="auto" w:fill="2363AF"/>
            <w:vAlign w:val="center"/>
          </w:tcPr>
          <w:p w14:paraId="57CF96E4" w14:textId="77777777" w:rsidR="00A1389D" w:rsidRPr="00E359FA" w:rsidRDefault="00A1389D" w:rsidP="003B35B0">
            <w:pPr>
              <w:jc w:val="right"/>
              <w:rPr>
                <w:color w:val="FFFFFF" w:themeColor="background1"/>
                <w:sz w:val="16"/>
                <w:szCs w:val="16"/>
              </w:rPr>
            </w:pPr>
            <w:bookmarkStart w:id="154" w:name="_Toc89892458"/>
            <w:bookmarkStart w:id="155" w:name="_Toc90552060"/>
            <w:r w:rsidRPr="00E359FA">
              <w:rPr>
                <w:color w:val="FFFFFF" w:themeColor="background1"/>
                <w:sz w:val="16"/>
                <w:szCs w:val="16"/>
              </w:rPr>
              <w:t>UK Total</w:t>
            </w:r>
            <w:bookmarkEnd w:id="154"/>
            <w:bookmarkEnd w:id="155"/>
          </w:p>
        </w:tc>
      </w:tr>
      <w:tr w:rsidR="00A1389D" w:rsidRPr="006B3AC6" w14:paraId="54584955" w14:textId="77777777" w:rsidTr="003B35B0">
        <w:trPr>
          <w:trHeight w:val="294"/>
        </w:trPr>
        <w:tc>
          <w:tcPr>
            <w:tcW w:w="3113" w:type="dxa"/>
            <w:tcBorders>
              <w:top w:val="single" w:sz="4" w:space="0" w:color="auto"/>
            </w:tcBorders>
            <w:shd w:val="clear" w:color="auto" w:fill="2363AF"/>
            <w:vAlign w:val="center"/>
          </w:tcPr>
          <w:p w14:paraId="168D2944" w14:textId="5BF14FE4" w:rsidR="00A1389D" w:rsidRPr="00E359FA" w:rsidRDefault="00A1389D" w:rsidP="003B35B0">
            <w:pPr>
              <w:rPr>
                <w:color w:val="FFFFFF" w:themeColor="background1"/>
                <w:sz w:val="16"/>
                <w:szCs w:val="16"/>
              </w:rPr>
            </w:pPr>
            <w:bookmarkStart w:id="156" w:name="_Toc89892459"/>
            <w:bookmarkStart w:id="157" w:name="_Toc90552061"/>
            <w:r w:rsidRPr="00E359FA">
              <w:rPr>
                <w:color w:val="FFFFFF" w:themeColor="background1"/>
                <w:sz w:val="16"/>
                <w:szCs w:val="16"/>
              </w:rPr>
              <w:t>Total EIIs supply (MWh)</w:t>
            </w:r>
            <w:bookmarkEnd w:id="156"/>
            <w:bookmarkEnd w:id="157"/>
          </w:p>
        </w:tc>
        <w:tc>
          <w:tcPr>
            <w:tcW w:w="2222" w:type="dxa"/>
            <w:vAlign w:val="center"/>
          </w:tcPr>
          <w:p w14:paraId="4074D4F1" w14:textId="42B33F47" w:rsidR="00A1389D" w:rsidRPr="00E359FA" w:rsidRDefault="00A1389D" w:rsidP="003B35B0">
            <w:pPr>
              <w:jc w:val="right"/>
              <w:rPr>
                <w:sz w:val="16"/>
                <w:szCs w:val="16"/>
              </w:rPr>
            </w:pPr>
            <w:bookmarkStart w:id="158" w:name="_Toc89892460"/>
            <w:bookmarkStart w:id="159" w:name="_Toc90552062"/>
            <w:r w:rsidRPr="00E359FA">
              <w:rPr>
                <w:sz w:val="16"/>
                <w:szCs w:val="16"/>
              </w:rPr>
              <w:t>10,298,296</w:t>
            </w:r>
            <w:bookmarkEnd w:id="158"/>
            <w:bookmarkEnd w:id="159"/>
          </w:p>
        </w:tc>
        <w:tc>
          <w:tcPr>
            <w:tcW w:w="2223" w:type="dxa"/>
            <w:vAlign w:val="center"/>
          </w:tcPr>
          <w:p w14:paraId="5D1A0714" w14:textId="718F6D84" w:rsidR="00A1389D" w:rsidRPr="00E359FA" w:rsidRDefault="00A1389D" w:rsidP="003B35B0">
            <w:pPr>
              <w:jc w:val="right"/>
              <w:rPr>
                <w:sz w:val="16"/>
                <w:szCs w:val="16"/>
              </w:rPr>
            </w:pPr>
            <w:bookmarkStart w:id="160" w:name="_Toc89892461"/>
            <w:bookmarkStart w:id="161" w:name="_Toc90552063"/>
            <w:r w:rsidRPr="00E359FA">
              <w:rPr>
                <w:sz w:val="16"/>
                <w:szCs w:val="16"/>
              </w:rPr>
              <w:t>999,170</w:t>
            </w:r>
            <w:bookmarkEnd w:id="160"/>
            <w:bookmarkEnd w:id="161"/>
          </w:p>
        </w:tc>
        <w:tc>
          <w:tcPr>
            <w:tcW w:w="2223" w:type="dxa"/>
            <w:vAlign w:val="center"/>
          </w:tcPr>
          <w:p w14:paraId="4A8E68D3" w14:textId="26696248" w:rsidR="00A1389D" w:rsidRPr="00E359FA" w:rsidRDefault="00A1389D" w:rsidP="003B35B0">
            <w:pPr>
              <w:jc w:val="right"/>
              <w:rPr>
                <w:sz w:val="16"/>
                <w:szCs w:val="16"/>
              </w:rPr>
            </w:pPr>
            <w:bookmarkStart w:id="162" w:name="_Toc89892462"/>
            <w:bookmarkStart w:id="163" w:name="_Toc90552064"/>
            <w:r w:rsidRPr="00E359FA">
              <w:rPr>
                <w:sz w:val="16"/>
                <w:szCs w:val="16"/>
              </w:rPr>
              <w:t>11,297,466</w:t>
            </w:r>
            <w:bookmarkEnd w:id="162"/>
            <w:bookmarkEnd w:id="163"/>
          </w:p>
        </w:tc>
      </w:tr>
      <w:tr w:rsidR="00A1389D" w:rsidRPr="006B3AC6" w14:paraId="7533089D" w14:textId="77777777" w:rsidTr="003B35B0">
        <w:trPr>
          <w:trHeight w:val="294"/>
        </w:trPr>
        <w:tc>
          <w:tcPr>
            <w:tcW w:w="3113" w:type="dxa"/>
            <w:shd w:val="clear" w:color="auto" w:fill="2363AF"/>
            <w:vAlign w:val="center"/>
          </w:tcPr>
          <w:p w14:paraId="5A02242F" w14:textId="134F2B8C" w:rsidR="00A1389D" w:rsidRPr="00E359FA" w:rsidRDefault="00A1389D" w:rsidP="003B35B0">
            <w:pPr>
              <w:rPr>
                <w:color w:val="FFFFFF" w:themeColor="background1"/>
                <w:sz w:val="16"/>
                <w:szCs w:val="16"/>
              </w:rPr>
            </w:pPr>
            <w:bookmarkStart w:id="164" w:name="_Toc89892463"/>
            <w:bookmarkStart w:id="165" w:name="_Toc90552065"/>
            <w:r w:rsidRPr="00E359FA">
              <w:rPr>
                <w:color w:val="FFFFFF" w:themeColor="background1"/>
                <w:sz w:val="16"/>
                <w:szCs w:val="16"/>
              </w:rPr>
              <w:t>Total excluded EII electricity (MWh)</w:t>
            </w:r>
            <w:bookmarkEnd w:id="164"/>
            <w:bookmarkEnd w:id="165"/>
          </w:p>
        </w:tc>
        <w:tc>
          <w:tcPr>
            <w:tcW w:w="2222" w:type="dxa"/>
            <w:vAlign w:val="center"/>
          </w:tcPr>
          <w:p w14:paraId="1F3304E7" w14:textId="33EC2B6A" w:rsidR="00A1389D" w:rsidRPr="00E359FA" w:rsidRDefault="00A1389D" w:rsidP="003B35B0">
            <w:pPr>
              <w:jc w:val="right"/>
              <w:rPr>
                <w:sz w:val="16"/>
                <w:szCs w:val="16"/>
              </w:rPr>
            </w:pPr>
            <w:bookmarkStart w:id="166" w:name="_Toc89892464"/>
            <w:bookmarkStart w:id="167" w:name="_Toc90552066"/>
            <w:r w:rsidRPr="00E359FA">
              <w:rPr>
                <w:sz w:val="16"/>
                <w:szCs w:val="16"/>
              </w:rPr>
              <w:t>7,991,299</w:t>
            </w:r>
            <w:bookmarkEnd w:id="166"/>
            <w:bookmarkEnd w:id="167"/>
          </w:p>
        </w:tc>
        <w:tc>
          <w:tcPr>
            <w:tcW w:w="2223" w:type="dxa"/>
            <w:vAlign w:val="center"/>
          </w:tcPr>
          <w:p w14:paraId="034FE5FE" w14:textId="064A5163" w:rsidR="00A1389D" w:rsidRPr="00E359FA" w:rsidRDefault="00A1389D" w:rsidP="003B35B0">
            <w:pPr>
              <w:jc w:val="right"/>
              <w:rPr>
                <w:sz w:val="16"/>
                <w:szCs w:val="16"/>
              </w:rPr>
            </w:pPr>
            <w:bookmarkStart w:id="168" w:name="_Toc89892465"/>
            <w:bookmarkStart w:id="169" w:name="_Toc90552067"/>
            <w:r w:rsidRPr="00E359FA">
              <w:rPr>
                <w:sz w:val="16"/>
                <w:szCs w:val="16"/>
              </w:rPr>
              <w:t>820,389</w:t>
            </w:r>
            <w:bookmarkEnd w:id="168"/>
            <w:bookmarkEnd w:id="169"/>
          </w:p>
        </w:tc>
        <w:tc>
          <w:tcPr>
            <w:tcW w:w="2223" w:type="dxa"/>
            <w:vAlign w:val="center"/>
          </w:tcPr>
          <w:p w14:paraId="2B36ED1C" w14:textId="6C20E834" w:rsidR="00A1389D" w:rsidRPr="00E359FA" w:rsidRDefault="00A1389D" w:rsidP="003B35B0">
            <w:pPr>
              <w:jc w:val="right"/>
              <w:rPr>
                <w:sz w:val="16"/>
                <w:szCs w:val="16"/>
              </w:rPr>
            </w:pPr>
            <w:bookmarkStart w:id="170" w:name="_Toc89892466"/>
            <w:bookmarkStart w:id="171" w:name="_Toc90552068"/>
            <w:r w:rsidRPr="00E359FA">
              <w:rPr>
                <w:sz w:val="16"/>
                <w:szCs w:val="16"/>
              </w:rPr>
              <w:t>8,811,688</w:t>
            </w:r>
            <w:bookmarkEnd w:id="170"/>
            <w:bookmarkEnd w:id="171"/>
          </w:p>
        </w:tc>
      </w:tr>
      <w:tr w:rsidR="00A1389D" w:rsidRPr="006B3AC6" w14:paraId="220345EE" w14:textId="77777777" w:rsidTr="003B35B0">
        <w:trPr>
          <w:trHeight w:val="294"/>
        </w:trPr>
        <w:tc>
          <w:tcPr>
            <w:tcW w:w="3113" w:type="dxa"/>
            <w:shd w:val="clear" w:color="auto" w:fill="2363AF"/>
            <w:vAlign w:val="center"/>
          </w:tcPr>
          <w:p w14:paraId="41DE5DC8" w14:textId="15F7D353" w:rsidR="00A1389D" w:rsidRPr="00E359FA" w:rsidRDefault="00A1389D" w:rsidP="003B35B0">
            <w:pPr>
              <w:rPr>
                <w:color w:val="FFFFFF" w:themeColor="background1"/>
                <w:sz w:val="16"/>
                <w:szCs w:val="16"/>
              </w:rPr>
            </w:pPr>
            <w:bookmarkStart w:id="172" w:name="_Toc89892467"/>
            <w:bookmarkStart w:id="173" w:name="_Toc90552069"/>
            <w:r w:rsidRPr="00E359FA">
              <w:rPr>
                <w:color w:val="FFFFFF" w:themeColor="background1"/>
                <w:sz w:val="16"/>
                <w:szCs w:val="16"/>
              </w:rPr>
              <w:t>Percentage of excluded EII Electricity from obligation</w:t>
            </w:r>
            <w:bookmarkEnd w:id="172"/>
            <w:bookmarkEnd w:id="173"/>
          </w:p>
        </w:tc>
        <w:tc>
          <w:tcPr>
            <w:tcW w:w="2222" w:type="dxa"/>
            <w:vAlign w:val="center"/>
          </w:tcPr>
          <w:p w14:paraId="0AC0871E" w14:textId="77777777" w:rsidR="00A1389D" w:rsidRPr="00E359FA" w:rsidRDefault="00A1389D" w:rsidP="003B35B0">
            <w:pPr>
              <w:jc w:val="right"/>
              <w:rPr>
                <w:sz w:val="16"/>
                <w:szCs w:val="16"/>
              </w:rPr>
            </w:pPr>
            <w:bookmarkStart w:id="174" w:name="_Toc89892468"/>
            <w:bookmarkStart w:id="175" w:name="_Toc90552070"/>
            <w:r w:rsidRPr="00E359FA">
              <w:rPr>
                <w:sz w:val="16"/>
                <w:szCs w:val="16"/>
              </w:rPr>
              <w:t>77.6%</w:t>
            </w:r>
            <w:bookmarkEnd w:id="174"/>
            <w:bookmarkEnd w:id="175"/>
          </w:p>
        </w:tc>
        <w:tc>
          <w:tcPr>
            <w:tcW w:w="2223" w:type="dxa"/>
            <w:vAlign w:val="center"/>
          </w:tcPr>
          <w:p w14:paraId="170C4BFD" w14:textId="77777777" w:rsidR="00A1389D" w:rsidRPr="00E359FA" w:rsidRDefault="00A1389D" w:rsidP="003B35B0">
            <w:pPr>
              <w:jc w:val="right"/>
              <w:rPr>
                <w:sz w:val="16"/>
                <w:szCs w:val="16"/>
              </w:rPr>
            </w:pPr>
            <w:bookmarkStart w:id="176" w:name="_Toc89892469"/>
            <w:bookmarkStart w:id="177" w:name="_Toc90552071"/>
            <w:r w:rsidRPr="00E359FA">
              <w:rPr>
                <w:sz w:val="16"/>
                <w:szCs w:val="16"/>
              </w:rPr>
              <w:t>82.1%</w:t>
            </w:r>
            <w:bookmarkEnd w:id="176"/>
            <w:bookmarkEnd w:id="177"/>
          </w:p>
        </w:tc>
        <w:tc>
          <w:tcPr>
            <w:tcW w:w="2223" w:type="dxa"/>
            <w:vAlign w:val="center"/>
          </w:tcPr>
          <w:p w14:paraId="4DCBE454" w14:textId="77777777" w:rsidR="00A1389D" w:rsidRPr="00E359FA" w:rsidRDefault="00A1389D" w:rsidP="003B35B0">
            <w:pPr>
              <w:jc w:val="right"/>
              <w:rPr>
                <w:sz w:val="16"/>
                <w:szCs w:val="16"/>
              </w:rPr>
            </w:pPr>
            <w:bookmarkStart w:id="178" w:name="_Toc89892470"/>
            <w:bookmarkStart w:id="179" w:name="_Toc90552072"/>
            <w:r w:rsidRPr="00E359FA">
              <w:rPr>
                <w:sz w:val="16"/>
                <w:szCs w:val="16"/>
              </w:rPr>
              <w:t>78.0%</w:t>
            </w:r>
            <w:bookmarkEnd w:id="178"/>
            <w:bookmarkEnd w:id="179"/>
          </w:p>
        </w:tc>
      </w:tr>
      <w:tr w:rsidR="00A1389D" w:rsidRPr="006B3AC6" w14:paraId="1E5F6238" w14:textId="77777777" w:rsidTr="003B35B0">
        <w:trPr>
          <w:trHeight w:val="294"/>
        </w:trPr>
        <w:tc>
          <w:tcPr>
            <w:tcW w:w="3113" w:type="dxa"/>
            <w:shd w:val="clear" w:color="auto" w:fill="2363AF"/>
            <w:vAlign w:val="center"/>
          </w:tcPr>
          <w:p w14:paraId="729E8603" w14:textId="77777777" w:rsidR="00A1389D" w:rsidRPr="00E359FA" w:rsidRDefault="00A1389D" w:rsidP="003B35B0">
            <w:pPr>
              <w:rPr>
                <w:color w:val="FFFFFF" w:themeColor="background1"/>
                <w:sz w:val="16"/>
                <w:szCs w:val="16"/>
              </w:rPr>
            </w:pPr>
            <w:bookmarkStart w:id="180" w:name="_Toc89892471"/>
            <w:bookmarkStart w:id="181" w:name="_Toc90552073"/>
            <w:r w:rsidRPr="00E359FA">
              <w:rPr>
                <w:color w:val="FFFFFF" w:themeColor="background1"/>
                <w:sz w:val="16"/>
                <w:szCs w:val="16"/>
              </w:rPr>
              <w:t>Total Electricity Supply (</w:t>
            </w:r>
            <w:proofErr w:type="spellStart"/>
            <w:r w:rsidRPr="00E359FA">
              <w:rPr>
                <w:color w:val="FFFFFF" w:themeColor="background1"/>
                <w:sz w:val="16"/>
                <w:szCs w:val="16"/>
              </w:rPr>
              <w:t>inc</w:t>
            </w:r>
            <w:proofErr w:type="spellEnd"/>
            <w:r w:rsidRPr="00E359FA">
              <w:rPr>
                <w:color w:val="FFFFFF" w:themeColor="background1"/>
                <w:sz w:val="16"/>
                <w:szCs w:val="16"/>
              </w:rPr>
              <w:t xml:space="preserve"> EII supply) (MWh)</w:t>
            </w:r>
            <w:bookmarkEnd w:id="180"/>
            <w:bookmarkEnd w:id="181"/>
          </w:p>
        </w:tc>
        <w:tc>
          <w:tcPr>
            <w:tcW w:w="2222" w:type="dxa"/>
            <w:vAlign w:val="center"/>
          </w:tcPr>
          <w:p w14:paraId="46881707" w14:textId="4578F74B" w:rsidR="00A1389D" w:rsidRPr="00E359FA" w:rsidRDefault="00A1389D" w:rsidP="003B35B0">
            <w:pPr>
              <w:jc w:val="right"/>
              <w:rPr>
                <w:sz w:val="16"/>
                <w:szCs w:val="16"/>
              </w:rPr>
            </w:pPr>
            <w:bookmarkStart w:id="182" w:name="_Toc89892472"/>
            <w:bookmarkStart w:id="183" w:name="_Toc90552074"/>
            <w:r w:rsidRPr="00E359FA">
              <w:rPr>
                <w:sz w:val="16"/>
                <w:szCs w:val="16"/>
              </w:rPr>
              <w:t>235,247,788</w:t>
            </w:r>
            <w:bookmarkEnd w:id="182"/>
            <w:bookmarkEnd w:id="183"/>
          </w:p>
        </w:tc>
        <w:tc>
          <w:tcPr>
            <w:tcW w:w="2223" w:type="dxa"/>
            <w:vAlign w:val="center"/>
          </w:tcPr>
          <w:p w14:paraId="6DE83DC8" w14:textId="4CB3E15F" w:rsidR="00A1389D" w:rsidRPr="00E359FA" w:rsidRDefault="00A1389D" w:rsidP="003B35B0">
            <w:pPr>
              <w:jc w:val="right"/>
              <w:rPr>
                <w:sz w:val="16"/>
                <w:szCs w:val="16"/>
              </w:rPr>
            </w:pPr>
            <w:bookmarkStart w:id="184" w:name="_Toc89892473"/>
            <w:bookmarkStart w:id="185" w:name="_Toc90552075"/>
            <w:r w:rsidRPr="00E359FA">
              <w:rPr>
                <w:sz w:val="16"/>
                <w:szCs w:val="16"/>
              </w:rPr>
              <w:t>23,526,203</w:t>
            </w:r>
            <w:bookmarkEnd w:id="184"/>
            <w:bookmarkEnd w:id="185"/>
          </w:p>
        </w:tc>
        <w:tc>
          <w:tcPr>
            <w:tcW w:w="2223" w:type="dxa"/>
            <w:vAlign w:val="center"/>
          </w:tcPr>
          <w:p w14:paraId="0197247C" w14:textId="2BD9CD48" w:rsidR="00A1389D" w:rsidRPr="00E359FA" w:rsidRDefault="00A1389D" w:rsidP="003B35B0">
            <w:pPr>
              <w:jc w:val="right"/>
              <w:rPr>
                <w:sz w:val="16"/>
                <w:szCs w:val="16"/>
              </w:rPr>
            </w:pPr>
            <w:bookmarkStart w:id="186" w:name="_Hlk96435653"/>
            <w:bookmarkStart w:id="187" w:name="_Toc89892474"/>
            <w:bookmarkStart w:id="188" w:name="_Toc90552076"/>
            <w:r w:rsidRPr="00E359FA">
              <w:rPr>
                <w:sz w:val="16"/>
                <w:szCs w:val="16"/>
              </w:rPr>
              <w:t>258,773,991</w:t>
            </w:r>
            <w:bookmarkEnd w:id="186"/>
            <w:bookmarkEnd w:id="187"/>
            <w:bookmarkEnd w:id="188"/>
          </w:p>
        </w:tc>
      </w:tr>
      <w:tr w:rsidR="00A1389D" w:rsidRPr="006B3AC6" w14:paraId="5C6C2E18" w14:textId="77777777" w:rsidTr="003B35B0">
        <w:trPr>
          <w:trHeight w:val="398"/>
        </w:trPr>
        <w:tc>
          <w:tcPr>
            <w:tcW w:w="3113" w:type="dxa"/>
            <w:shd w:val="clear" w:color="auto" w:fill="2363AF"/>
            <w:vAlign w:val="center"/>
          </w:tcPr>
          <w:p w14:paraId="4C47C886" w14:textId="33ABA847" w:rsidR="00A1389D" w:rsidRPr="00E359FA" w:rsidRDefault="00A1389D" w:rsidP="003B35B0">
            <w:pPr>
              <w:rPr>
                <w:color w:val="FFFFFF" w:themeColor="background1"/>
                <w:sz w:val="16"/>
                <w:szCs w:val="16"/>
              </w:rPr>
            </w:pPr>
            <w:bookmarkStart w:id="189" w:name="_Toc89892475"/>
            <w:bookmarkStart w:id="190" w:name="_Toc90552077"/>
            <w:r w:rsidRPr="00E359FA">
              <w:rPr>
                <w:color w:val="FFFFFF" w:themeColor="background1"/>
                <w:sz w:val="16"/>
                <w:szCs w:val="16"/>
              </w:rPr>
              <w:t>Percentage of excluded EII from Total Electricity supply</w:t>
            </w:r>
            <w:bookmarkEnd w:id="189"/>
            <w:bookmarkEnd w:id="190"/>
          </w:p>
        </w:tc>
        <w:tc>
          <w:tcPr>
            <w:tcW w:w="2222" w:type="dxa"/>
            <w:vAlign w:val="center"/>
          </w:tcPr>
          <w:p w14:paraId="78E49B46" w14:textId="77777777" w:rsidR="00A1389D" w:rsidRPr="00E359FA" w:rsidRDefault="00A1389D" w:rsidP="003B35B0">
            <w:pPr>
              <w:jc w:val="right"/>
              <w:rPr>
                <w:sz w:val="16"/>
                <w:szCs w:val="16"/>
              </w:rPr>
            </w:pPr>
            <w:bookmarkStart w:id="191" w:name="_Toc89892476"/>
            <w:bookmarkStart w:id="192" w:name="_Toc90552078"/>
            <w:r w:rsidRPr="00E359FA">
              <w:rPr>
                <w:sz w:val="16"/>
                <w:szCs w:val="16"/>
              </w:rPr>
              <w:t>3.4%</w:t>
            </w:r>
            <w:bookmarkEnd w:id="191"/>
            <w:bookmarkEnd w:id="192"/>
          </w:p>
        </w:tc>
        <w:tc>
          <w:tcPr>
            <w:tcW w:w="2223" w:type="dxa"/>
            <w:vAlign w:val="center"/>
          </w:tcPr>
          <w:p w14:paraId="7525C5D0" w14:textId="77777777" w:rsidR="00A1389D" w:rsidRPr="00E359FA" w:rsidRDefault="00A1389D" w:rsidP="003B35B0">
            <w:pPr>
              <w:jc w:val="right"/>
              <w:rPr>
                <w:sz w:val="16"/>
                <w:szCs w:val="16"/>
              </w:rPr>
            </w:pPr>
            <w:bookmarkStart w:id="193" w:name="_Toc89892477"/>
            <w:bookmarkStart w:id="194" w:name="_Toc90552079"/>
            <w:r w:rsidRPr="00E359FA">
              <w:rPr>
                <w:sz w:val="16"/>
                <w:szCs w:val="16"/>
              </w:rPr>
              <w:t>3.5%</w:t>
            </w:r>
            <w:bookmarkEnd w:id="193"/>
            <w:bookmarkEnd w:id="194"/>
          </w:p>
        </w:tc>
        <w:tc>
          <w:tcPr>
            <w:tcW w:w="2223" w:type="dxa"/>
            <w:vAlign w:val="center"/>
          </w:tcPr>
          <w:p w14:paraId="4522A04B" w14:textId="77777777" w:rsidR="00A1389D" w:rsidRPr="00E359FA" w:rsidRDefault="00A1389D" w:rsidP="003B35B0">
            <w:pPr>
              <w:jc w:val="right"/>
              <w:rPr>
                <w:sz w:val="16"/>
                <w:szCs w:val="16"/>
              </w:rPr>
            </w:pPr>
            <w:bookmarkStart w:id="195" w:name="_Toc89892478"/>
            <w:bookmarkStart w:id="196" w:name="_Toc90552080"/>
            <w:r w:rsidRPr="00E359FA">
              <w:rPr>
                <w:sz w:val="16"/>
                <w:szCs w:val="16"/>
              </w:rPr>
              <w:t>3.4%</w:t>
            </w:r>
            <w:bookmarkEnd w:id="195"/>
            <w:bookmarkEnd w:id="196"/>
          </w:p>
        </w:tc>
      </w:tr>
      <w:bookmarkEnd w:id="149"/>
    </w:tbl>
    <w:p w14:paraId="3D31282F" w14:textId="77777777" w:rsidR="00A1389D" w:rsidRPr="006B3AC6" w:rsidRDefault="00A1389D" w:rsidP="00A1389D">
      <w:pPr>
        <w:rPr>
          <w:rStyle w:val="Heading3Char"/>
          <w:rFonts w:cstheme="minorHAnsi"/>
          <w:sz w:val="20"/>
          <w:szCs w:val="20"/>
        </w:rPr>
      </w:pPr>
    </w:p>
    <w:p w14:paraId="21DF6845" w14:textId="77777777" w:rsidR="00A1389D" w:rsidRPr="003B35B0" w:rsidRDefault="00A1389D" w:rsidP="003B35B0">
      <w:pPr>
        <w:pStyle w:val="Heading3"/>
        <w:rPr>
          <w:rStyle w:val="Heading3Char"/>
        </w:rPr>
      </w:pPr>
      <w:r w:rsidRPr="003B35B0">
        <w:rPr>
          <w:rStyle w:val="Heading3Char"/>
        </w:rPr>
        <w:t>ROCs presented</w:t>
      </w:r>
    </w:p>
    <w:p w14:paraId="12AFE6B3" w14:textId="334B3E3B" w:rsidR="00A1389D" w:rsidRPr="00BE30D1" w:rsidRDefault="00A1389D" w:rsidP="003B35B0">
      <w:pPr>
        <w:pStyle w:val="CH4normal"/>
        <w:ind w:left="567" w:hanging="567"/>
      </w:pPr>
      <w:bookmarkStart w:id="197" w:name="_Toc89892480"/>
      <w:bookmarkStart w:id="198" w:name="_Toc90552082"/>
      <w:r w:rsidRPr="00A8706B">
        <w:rPr>
          <w:b/>
          <w:bCs/>
        </w:rPr>
        <w:t>Table 4.</w:t>
      </w:r>
      <w:r w:rsidR="00EB3E3B">
        <w:rPr>
          <w:b/>
          <w:bCs/>
        </w:rPr>
        <w:t>5</w:t>
      </w:r>
      <w:r w:rsidR="00FD34F1" w:rsidRPr="006B3AC6">
        <w:t xml:space="preserve"> </w:t>
      </w:r>
      <w:r w:rsidRPr="006B3AC6">
        <w:t xml:space="preserve">summarises the obligation and ROCs presented by suppliers across the Orders. This shows that suppliers presented </w:t>
      </w:r>
      <w:r w:rsidR="00AB78BB">
        <w:t xml:space="preserve">almost </w:t>
      </w:r>
      <w:r w:rsidRPr="006B3AC6">
        <w:t>105.</w:t>
      </w:r>
      <w:r w:rsidR="00AB78BB">
        <w:t>3</w:t>
      </w:r>
      <w:r w:rsidRPr="006B3AC6">
        <w:t xml:space="preserve"> million ROCs to us in 2020-21. This is a decrease of 10.7 million ROCs, or 9.2%, on the 115.9 million they presented in 2019-20.</w:t>
      </w:r>
      <w:bookmarkEnd w:id="197"/>
      <w:bookmarkEnd w:id="198"/>
      <w:r w:rsidRPr="00BE30D1">
        <w:t xml:space="preserve"> </w:t>
      </w:r>
    </w:p>
    <w:p w14:paraId="01322D62" w14:textId="53F741A8" w:rsidR="00A1389D" w:rsidRPr="00BE30D1" w:rsidRDefault="00A1389D" w:rsidP="003B35B0">
      <w:pPr>
        <w:pStyle w:val="CH4normal"/>
        <w:ind w:left="567" w:hanging="567"/>
      </w:pPr>
      <w:bookmarkStart w:id="199" w:name="_Toc90552083"/>
      <w:bookmarkStart w:id="200" w:name="_Toc89892481"/>
      <w:r w:rsidRPr="006B3AC6">
        <w:t>Suppliers met 88.4% of the total obligation (119.</w:t>
      </w:r>
      <w:r w:rsidR="00AB78BB">
        <w:t>1</w:t>
      </w:r>
      <w:r w:rsidRPr="006B3AC6">
        <w:t xml:space="preserve"> million ROCs) by presenting ROCs to us. The remaining proportion of the obligation (13.</w:t>
      </w:r>
      <w:bookmarkEnd w:id="199"/>
      <w:r w:rsidR="001B5916" w:rsidRPr="006B3AC6">
        <w:t xml:space="preserve">8 </w:t>
      </w:r>
      <w:r w:rsidRPr="006B3AC6">
        <w:t>million ROCs) was largely met by suppliers making a buyout payment and/or late payment, for a total of £47</w:t>
      </w:r>
      <w:r>
        <w:t>3.9</w:t>
      </w:r>
      <w:r w:rsidR="00B64A89">
        <w:t>3</w:t>
      </w:r>
      <w:r w:rsidRPr="006B3AC6">
        <w:t xml:space="preserve"> million. This amount was substantially lower than in 2019-20 (£</w:t>
      </w:r>
      <w:r w:rsidRPr="00BE30D1">
        <w:t xml:space="preserve">661.35 </w:t>
      </w:r>
      <w:r w:rsidRPr="006B3AC6">
        <w:t>million).</w:t>
      </w:r>
      <w:bookmarkEnd w:id="200"/>
    </w:p>
    <w:p w14:paraId="7D03BF98" w14:textId="3DC07C19" w:rsidR="00A1389D" w:rsidRPr="006B3AC6" w:rsidRDefault="00A1389D" w:rsidP="003B35B0">
      <w:pPr>
        <w:spacing w:line="276" w:lineRule="auto"/>
        <w:rPr>
          <w:rFonts w:eastAsiaTheme="minorEastAsia" w:cstheme="minorHAnsi"/>
          <w:b/>
          <w:color w:val="000000" w:themeColor="text1"/>
        </w:rPr>
      </w:pPr>
      <w:bookmarkStart w:id="201" w:name="_Hlk96435789"/>
      <w:r w:rsidRPr="006B3AC6">
        <w:rPr>
          <w:rFonts w:eastAsiaTheme="minorEastAsia" w:cstheme="minorHAnsi"/>
          <w:b/>
          <w:color w:val="000000" w:themeColor="text1"/>
        </w:rPr>
        <w:t>Table 4.</w:t>
      </w:r>
      <w:r w:rsidR="00EB3E3B">
        <w:rPr>
          <w:rFonts w:eastAsiaTheme="minorEastAsia" w:cstheme="minorHAnsi"/>
          <w:b/>
          <w:color w:val="000000" w:themeColor="text1"/>
        </w:rPr>
        <w:t>5</w:t>
      </w:r>
      <w:r w:rsidRPr="006B3AC6">
        <w:rPr>
          <w:rFonts w:eastAsiaTheme="minorEastAsia" w:cstheme="minorHAnsi"/>
          <w:b/>
          <w:color w:val="000000" w:themeColor="text1"/>
        </w:rPr>
        <w:t xml:space="preserve"> Summary of ROCs presented towards each UK obligation in 2020-21</w:t>
      </w:r>
    </w:p>
    <w:tbl>
      <w:tblPr>
        <w:tblStyle w:val="TableGrid"/>
        <w:tblW w:w="9593" w:type="dxa"/>
        <w:tblLook w:val="04A0" w:firstRow="1" w:lastRow="0" w:firstColumn="1" w:lastColumn="0" w:noHBand="0" w:noVBand="1"/>
      </w:tblPr>
      <w:tblGrid>
        <w:gridCol w:w="3133"/>
        <w:gridCol w:w="1461"/>
        <w:gridCol w:w="1699"/>
        <w:gridCol w:w="1693"/>
        <w:gridCol w:w="1607"/>
      </w:tblGrid>
      <w:tr w:rsidR="00A1389D" w:rsidRPr="006B3AC6" w14:paraId="2C9653A7" w14:textId="77777777" w:rsidTr="00E92A9D">
        <w:trPr>
          <w:trHeight w:val="183"/>
        </w:trPr>
        <w:tc>
          <w:tcPr>
            <w:tcW w:w="3133" w:type="dxa"/>
            <w:tcBorders>
              <w:top w:val="nil"/>
              <w:left w:val="nil"/>
              <w:bottom w:val="single" w:sz="4" w:space="0" w:color="auto"/>
              <w:right w:val="single" w:sz="4" w:space="0" w:color="auto"/>
            </w:tcBorders>
          </w:tcPr>
          <w:p w14:paraId="13DA36DD" w14:textId="77777777" w:rsidR="00A1389D" w:rsidRPr="00E359FA" w:rsidRDefault="00A1389D" w:rsidP="00E359FA">
            <w:pPr>
              <w:rPr>
                <w:sz w:val="16"/>
                <w:szCs w:val="16"/>
              </w:rPr>
            </w:pPr>
          </w:p>
        </w:tc>
        <w:tc>
          <w:tcPr>
            <w:tcW w:w="1461" w:type="dxa"/>
            <w:tcBorders>
              <w:left w:val="single" w:sz="4" w:space="0" w:color="auto"/>
            </w:tcBorders>
            <w:shd w:val="clear" w:color="auto" w:fill="2363AF"/>
            <w:vAlign w:val="center"/>
          </w:tcPr>
          <w:p w14:paraId="3577790E" w14:textId="77777777" w:rsidR="00A1389D" w:rsidRPr="00E359FA" w:rsidRDefault="00A1389D" w:rsidP="003B35B0">
            <w:pPr>
              <w:jc w:val="right"/>
              <w:rPr>
                <w:color w:val="FFFFFF" w:themeColor="background1"/>
                <w:sz w:val="16"/>
                <w:szCs w:val="16"/>
              </w:rPr>
            </w:pPr>
            <w:bookmarkStart w:id="202" w:name="_Toc89892482"/>
            <w:bookmarkStart w:id="203" w:name="_Toc90552084"/>
            <w:r w:rsidRPr="00E359FA">
              <w:rPr>
                <w:color w:val="FFFFFF" w:themeColor="background1"/>
                <w:sz w:val="16"/>
                <w:szCs w:val="16"/>
              </w:rPr>
              <w:t>RO</w:t>
            </w:r>
            <w:bookmarkEnd w:id="202"/>
            <w:bookmarkEnd w:id="203"/>
          </w:p>
        </w:tc>
        <w:tc>
          <w:tcPr>
            <w:tcW w:w="1699" w:type="dxa"/>
            <w:shd w:val="clear" w:color="auto" w:fill="2363AF"/>
            <w:vAlign w:val="center"/>
          </w:tcPr>
          <w:p w14:paraId="436BCD7A" w14:textId="77777777" w:rsidR="00A1389D" w:rsidRPr="00E359FA" w:rsidRDefault="00A1389D" w:rsidP="003B35B0">
            <w:pPr>
              <w:jc w:val="right"/>
              <w:rPr>
                <w:color w:val="FFFFFF" w:themeColor="background1"/>
                <w:sz w:val="16"/>
                <w:szCs w:val="16"/>
              </w:rPr>
            </w:pPr>
            <w:bookmarkStart w:id="204" w:name="_Toc89892483"/>
            <w:bookmarkStart w:id="205" w:name="_Toc90552085"/>
            <w:r w:rsidRPr="00E359FA">
              <w:rPr>
                <w:color w:val="FFFFFF" w:themeColor="background1"/>
                <w:sz w:val="16"/>
                <w:szCs w:val="16"/>
              </w:rPr>
              <w:t>ROS</w:t>
            </w:r>
            <w:bookmarkEnd w:id="204"/>
            <w:bookmarkEnd w:id="205"/>
          </w:p>
        </w:tc>
        <w:tc>
          <w:tcPr>
            <w:tcW w:w="1693" w:type="dxa"/>
            <w:shd w:val="clear" w:color="auto" w:fill="2363AF"/>
            <w:vAlign w:val="center"/>
          </w:tcPr>
          <w:p w14:paraId="19B68E6D" w14:textId="77777777" w:rsidR="00A1389D" w:rsidRPr="00E359FA" w:rsidRDefault="00A1389D" w:rsidP="003B35B0">
            <w:pPr>
              <w:jc w:val="right"/>
              <w:rPr>
                <w:color w:val="FFFFFF" w:themeColor="background1"/>
                <w:sz w:val="16"/>
                <w:szCs w:val="16"/>
              </w:rPr>
            </w:pPr>
            <w:bookmarkStart w:id="206" w:name="_Toc89892484"/>
            <w:bookmarkStart w:id="207" w:name="_Toc90552086"/>
            <w:r w:rsidRPr="00E359FA">
              <w:rPr>
                <w:color w:val="FFFFFF" w:themeColor="background1"/>
                <w:sz w:val="16"/>
                <w:szCs w:val="16"/>
              </w:rPr>
              <w:t>NIRO</w:t>
            </w:r>
            <w:bookmarkEnd w:id="206"/>
            <w:bookmarkEnd w:id="207"/>
          </w:p>
        </w:tc>
        <w:tc>
          <w:tcPr>
            <w:tcW w:w="1607" w:type="dxa"/>
            <w:shd w:val="clear" w:color="auto" w:fill="2363AF"/>
            <w:vAlign w:val="center"/>
          </w:tcPr>
          <w:p w14:paraId="0B829B8E" w14:textId="77777777" w:rsidR="00A1389D" w:rsidRPr="00E359FA" w:rsidRDefault="00A1389D" w:rsidP="003B35B0">
            <w:pPr>
              <w:jc w:val="right"/>
              <w:rPr>
                <w:color w:val="FFFFFF" w:themeColor="background1"/>
                <w:sz w:val="16"/>
                <w:szCs w:val="16"/>
              </w:rPr>
            </w:pPr>
            <w:bookmarkStart w:id="208" w:name="_Toc89892485"/>
            <w:bookmarkStart w:id="209" w:name="_Toc90552087"/>
            <w:r w:rsidRPr="00E359FA">
              <w:rPr>
                <w:color w:val="FFFFFF" w:themeColor="background1"/>
                <w:sz w:val="16"/>
                <w:szCs w:val="16"/>
              </w:rPr>
              <w:t>UK Total</w:t>
            </w:r>
            <w:bookmarkEnd w:id="208"/>
            <w:bookmarkEnd w:id="209"/>
          </w:p>
        </w:tc>
      </w:tr>
      <w:tr w:rsidR="00A1389D" w:rsidRPr="006B3AC6" w14:paraId="691693BA" w14:textId="77777777" w:rsidTr="00E92A9D">
        <w:trPr>
          <w:trHeight w:val="196"/>
        </w:trPr>
        <w:tc>
          <w:tcPr>
            <w:tcW w:w="3133" w:type="dxa"/>
            <w:tcBorders>
              <w:top w:val="single" w:sz="4" w:space="0" w:color="auto"/>
            </w:tcBorders>
            <w:shd w:val="clear" w:color="auto" w:fill="2363AF"/>
            <w:vAlign w:val="center"/>
          </w:tcPr>
          <w:p w14:paraId="1E1408EF" w14:textId="0CD783C7" w:rsidR="00A1389D" w:rsidRPr="00E359FA" w:rsidRDefault="00A1389D" w:rsidP="003B35B0">
            <w:pPr>
              <w:rPr>
                <w:color w:val="FFFFFF" w:themeColor="background1"/>
                <w:sz w:val="16"/>
                <w:szCs w:val="16"/>
              </w:rPr>
            </w:pPr>
            <w:bookmarkStart w:id="210" w:name="_Toc89892486"/>
            <w:bookmarkStart w:id="211" w:name="_Toc90552088"/>
            <w:r w:rsidRPr="00E359FA">
              <w:rPr>
                <w:color w:val="FFFFFF" w:themeColor="background1"/>
                <w:sz w:val="16"/>
                <w:szCs w:val="16"/>
              </w:rPr>
              <w:t>Electricity supplied (MWh)</w:t>
            </w:r>
            <w:bookmarkEnd w:id="210"/>
            <w:bookmarkEnd w:id="211"/>
          </w:p>
        </w:tc>
        <w:tc>
          <w:tcPr>
            <w:tcW w:w="1461" w:type="dxa"/>
            <w:vAlign w:val="center"/>
          </w:tcPr>
          <w:p w14:paraId="01A77572" w14:textId="77777777" w:rsidR="00A1389D" w:rsidRPr="00E359FA" w:rsidRDefault="00A1389D" w:rsidP="003B35B0">
            <w:pPr>
              <w:jc w:val="right"/>
              <w:rPr>
                <w:sz w:val="16"/>
                <w:szCs w:val="16"/>
              </w:rPr>
            </w:pPr>
            <w:bookmarkStart w:id="212" w:name="_Toc89892487"/>
            <w:bookmarkStart w:id="213" w:name="_Toc90552089"/>
            <w:r w:rsidRPr="00E359FA">
              <w:rPr>
                <w:sz w:val="16"/>
                <w:szCs w:val="16"/>
              </w:rPr>
              <w:t>227,256,489</w:t>
            </w:r>
            <w:bookmarkEnd w:id="212"/>
            <w:bookmarkEnd w:id="213"/>
          </w:p>
        </w:tc>
        <w:tc>
          <w:tcPr>
            <w:tcW w:w="1699" w:type="dxa"/>
            <w:vAlign w:val="center"/>
          </w:tcPr>
          <w:p w14:paraId="105147DF" w14:textId="77777777" w:rsidR="00A1389D" w:rsidRPr="00E359FA" w:rsidRDefault="00A1389D" w:rsidP="003B35B0">
            <w:pPr>
              <w:jc w:val="right"/>
              <w:rPr>
                <w:sz w:val="16"/>
                <w:szCs w:val="16"/>
              </w:rPr>
            </w:pPr>
            <w:bookmarkStart w:id="214" w:name="_Toc89892488"/>
            <w:bookmarkStart w:id="215" w:name="_Toc90552090"/>
            <w:r w:rsidRPr="00E359FA">
              <w:rPr>
                <w:sz w:val="16"/>
                <w:szCs w:val="16"/>
              </w:rPr>
              <w:t>22,705,814</w:t>
            </w:r>
            <w:bookmarkEnd w:id="214"/>
            <w:bookmarkEnd w:id="215"/>
          </w:p>
        </w:tc>
        <w:tc>
          <w:tcPr>
            <w:tcW w:w="1693" w:type="dxa"/>
            <w:vAlign w:val="center"/>
          </w:tcPr>
          <w:p w14:paraId="193EE4FF" w14:textId="77777777" w:rsidR="00A1389D" w:rsidRPr="00E359FA" w:rsidRDefault="00A1389D" w:rsidP="003B35B0">
            <w:pPr>
              <w:jc w:val="right"/>
              <w:rPr>
                <w:sz w:val="16"/>
                <w:szCs w:val="16"/>
              </w:rPr>
            </w:pPr>
            <w:bookmarkStart w:id="216" w:name="_Toc89892489"/>
            <w:bookmarkStart w:id="217" w:name="_Toc90552091"/>
            <w:r w:rsidRPr="00E359FA">
              <w:rPr>
                <w:sz w:val="16"/>
                <w:szCs w:val="16"/>
              </w:rPr>
              <w:t>7,343,236</w:t>
            </w:r>
            <w:bookmarkEnd w:id="216"/>
            <w:bookmarkEnd w:id="217"/>
          </w:p>
        </w:tc>
        <w:tc>
          <w:tcPr>
            <w:tcW w:w="1607" w:type="dxa"/>
            <w:vAlign w:val="center"/>
          </w:tcPr>
          <w:p w14:paraId="1CE3C558" w14:textId="77777777" w:rsidR="00A1389D" w:rsidRPr="00E359FA" w:rsidRDefault="00A1389D" w:rsidP="003B35B0">
            <w:pPr>
              <w:jc w:val="right"/>
              <w:rPr>
                <w:sz w:val="16"/>
                <w:szCs w:val="16"/>
              </w:rPr>
            </w:pPr>
            <w:bookmarkStart w:id="218" w:name="_Toc89892490"/>
            <w:bookmarkStart w:id="219" w:name="_Toc90552092"/>
            <w:r w:rsidRPr="00E359FA">
              <w:rPr>
                <w:sz w:val="16"/>
                <w:szCs w:val="16"/>
              </w:rPr>
              <w:t>257,305,539</w:t>
            </w:r>
            <w:bookmarkEnd w:id="218"/>
            <w:bookmarkEnd w:id="219"/>
          </w:p>
        </w:tc>
      </w:tr>
      <w:tr w:rsidR="00A1389D" w:rsidRPr="006B3AC6" w14:paraId="3BE1FC2E" w14:textId="77777777" w:rsidTr="00E92A9D">
        <w:trPr>
          <w:trHeight w:val="196"/>
        </w:trPr>
        <w:tc>
          <w:tcPr>
            <w:tcW w:w="3133" w:type="dxa"/>
            <w:shd w:val="clear" w:color="auto" w:fill="2363AF"/>
            <w:vAlign w:val="center"/>
          </w:tcPr>
          <w:p w14:paraId="222E2518" w14:textId="4BB1CD67" w:rsidR="00A1389D" w:rsidRPr="00E359FA" w:rsidRDefault="00A1389D" w:rsidP="003B35B0">
            <w:pPr>
              <w:rPr>
                <w:color w:val="FFFFFF" w:themeColor="background1"/>
                <w:sz w:val="16"/>
                <w:szCs w:val="16"/>
              </w:rPr>
            </w:pPr>
            <w:bookmarkStart w:id="220" w:name="_Toc89892491"/>
            <w:bookmarkStart w:id="221" w:name="_Toc90552093"/>
            <w:r w:rsidRPr="00E359FA">
              <w:rPr>
                <w:color w:val="FFFFFF" w:themeColor="background1"/>
                <w:sz w:val="16"/>
                <w:szCs w:val="16"/>
              </w:rPr>
              <w:t>Obligation (ROCs)</w:t>
            </w:r>
            <w:bookmarkEnd w:id="220"/>
            <w:bookmarkEnd w:id="221"/>
          </w:p>
        </w:tc>
        <w:tc>
          <w:tcPr>
            <w:tcW w:w="1461" w:type="dxa"/>
            <w:vAlign w:val="center"/>
          </w:tcPr>
          <w:p w14:paraId="5F51D5B2" w14:textId="77777777" w:rsidR="00A1389D" w:rsidRPr="00E359FA" w:rsidRDefault="00A1389D" w:rsidP="003B35B0">
            <w:pPr>
              <w:jc w:val="right"/>
              <w:rPr>
                <w:sz w:val="16"/>
                <w:szCs w:val="16"/>
              </w:rPr>
            </w:pPr>
            <w:bookmarkStart w:id="222" w:name="_Toc89892492"/>
            <w:bookmarkStart w:id="223" w:name="_Toc90552094"/>
            <w:r w:rsidRPr="00E359FA">
              <w:rPr>
                <w:sz w:val="16"/>
                <w:szCs w:val="16"/>
              </w:rPr>
              <w:t>107,037,807</w:t>
            </w:r>
            <w:bookmarkEnd w:id="222"/>
            <w:bookmarkEnd w:id="223"/>
          </w:p>
        </w:tc>
        <w:tc>
          <w:tcPr>
            <w:tcW w:w="1699" w:type="dxa"/>
            <w:vAlign w:val="center"/>
          </w:tcPr>
          <w:p w14:paraId="617FEE8B" w14:textId="77777777" w:rsidR="00A1389D" w:rsidRPr="00E359FA" w:rsidRDefault="00A1389D" w:rsidP="003B35B0">
            <w:pPr>
              <w:jc w:val="right"/>
              <w:rPr>
                <w:sz w:val="16"/>
                <w:szCs w:val="16"/>
              </w:rPr>
            </w:pPr>
            <w:bookmarkStart w:id="224" w:name="_Toc89892493"/>
            <w:bookmarkStart w:id="225" w:name="_Toc90552095"/>
            <w:r w:rsidRPr="00E359FA">
              <w:rPr>
                <w:sz w:val="16"/>
                <w:szCs w:val="16"/>
              </w:rPr>
              <w:t>10,694,439</w:t>
            </w:r>
            <w:bookmarkEnd w:id="224"/>
            <w:bookmarkEnd w:id="225"/>
          </w:p>
        </w:tc>
        <w:tc>
          <w:tcPr>
            <w:tcW w:w="1693" w:type="dxa"/>
            <w:vAlign w:val="center"/>
          </w:tcPr>
          <w:p w14:paraId="03EF4562" w14:textId="77777777" w:rsidR="00A1389D" w:rsidRPr="00E359FA" w:rsidRDefault="00A1389D" w:rsidP="003B35B0">
            <w:pPr>
              <w:jc w:val="right"/>
              <w:rPr>
                <w:sz w:val="16"/>
                <w:szCs w:val="16"/>
              </w:rPr>
            </w:pPr>
            <w:bookmarkStart w:id="226" w:name="_Toc89892494"/>
            <w:bookmarkStart w:id="227" w:name="_Toc90552096"/>
            <w:r w:rsidRPr="00E359FA">
              <w:rPr>
                <w:sz w:val="16"/>
                <w:szCs w:val="16"/>
              </w:rPr>
              <w:t>1,358,498</w:t>
            </w:r>
            <w:bookmarkEnd w:id="226"/>
            <w:bookmarkEnd w:id="227"/>
          </w:p>
        </w:tc>
        <w:tc>
          <w:tcPr>
            <w:tcW w:w="1607" w:type="dxa"/>
            <w:vAlign w:val="center"/>
          </w:tcPr>
          <w:p w14:paraId="0D456FE2" w14:textId="77777777" w:rsidR="00A1389D" w:rsidRPr="00E359FA" w:rsidRDefault="00A1389D" w:rsidP="003B35B0">
            <w:pPr>
              <w:jc w:val="right"/>
              <w:rPr>
                <w:sz w:val="16"/>
                <w:szCs w:val="16"/>
              </w:rPr>
            </w:pPr>
            <w:bookmarkStart w:id="228" w:name="_Toc89892495"/>
            <w:bookmarkStart w:id="229" w:name="_Toc90552097"/>
            <w:r w:rsidRPr="00E359FA">
              <w:rPr>
                <w:sz w:val="16"/>
                <w:szCs w:val="16"/>
              </w:rPr>
              <w:t>119,090,744</w:t>
            </w:r>
            <w:bookmarkEnd w:id="228"/>
            <w:bookmarkEnd w:id="229"/>
          </w:p>
        </w:tc>
      </w:tr>
      <w:tr w:rsidR="00A1389D" w:rsidRPr="006B3AC6" w14:paraId="32070B5B" w14:textId="77777777" w:rsidTr="00E92A9D">
        <w:trPr>
          <w:trHeight w:val="196"/>
        </w:trPr>
        <w:tc>
          <w:tcPr>
            <w:tcW w:w="3133" w:type="dxa"/>
            <w:shd w:val="clear" w:color="auto" w:fill="2363AF"/>
            <w:vAlign w:val="center"/>
          </w:tcPr>
          <w:p w14:paraId="67944AB3" w14:textId="20228A78" w:rsidR="00A1389D" w:rsidRPr="00E359FA" w:rsidRDefault="00A1389D" w:rsidP="003B35B0">
            <w:pPr>
              <w:rPr>
                <w:color w:val="FFFFFF" w:themeColor="background1"/>
                <w:sz w:val="16"/>
                <w:szCs w:val="16"/>
              </w:rPr>
            </w:pPr>
            <w:bookmarkStart w:id="230" w:name="_Toc89892496"/>
            <w:bookmarkStart w:id="231" w:name="_Toc90552098"/>
            <w:r w:rsidRPr="00E359FA">
              <w:rPr>
                <w:color w:val="FFFFFF" w:themeColor="background1"/>
                <w:sz w:val="16"/>
                <w:szCs w:val="16"/>
              </w:rPr>
              <w:t>ROCs presented</w:t>
            </w:r>
            <w:bookmarkEnd w:id="230"/>
            <w:bookmarkEnd w:id="231"/>
          </w:p>
        </w:tc>
        <w:tc>
          <w:tcPr>
            <w:tcW w:w="1461" w:type="dxa"/>
            <w:vAlign w:val="center"/>
          </w:tcPr>
          <w:p w14:paraId="3F0294A3" w14:textId="77777777" w:rsidR="00A1389D" w:rsidRPr="00E359FA" w:rsidRDefault="00A1389D" w:rsidP="003B35B0">
            <w:pPr>
              <w:jc w:val="right"/>
              <w:rPr>
                <w:sz w:val="16"/>
                <w:szCs w:val="16"/>
              </w:rPr>
            </w:pPr>
            <w:bookmarkStart w:id="232" w:name="_Toc89892497"/>
            <w:bookmarkStart w:id="233" w:name="_Toc90552099"/>
            <w:r w:rsidRPr="00E359FA">
              <w:rPr>
                <w:sz w:val="16"/>
                <w:szCs w:val="16"/>
              </w:rPr>
              <w:t>93,998,100</w:t>
            </w:r>
            <w:bookmarkEnd w:id="232"/>
            <w:bookmarkEnd w:id="233"/>
          </w:p>
        </w:tc>
        <w:tc>
          <w:tcPr>
            <w:tcW w:w="1699" w:type="dxa"/>
            <w:vAlign w:val="center"/>
          </w:tcPr>
          <w:p w14:paraId="610D025C" w14:textId="77777777" w:rsidR="00A1389D" w:rsidRPr="00E359FA" w:rsidRDefault="00A1389D" w:rsidP="003B35B0">
            <w:pPr>
              <w:jc w:val="right"/>
              <w:rPr>
                <w:sz w:val="16"/>
                <w:szCs w:val="16"/>
              </w:rPr>
            </w:pPr>
            <w:bookmarkStart w:id="234" w:name="_Toc89892498"/>
            <w:bookmarkStart w:id="235" w:name="_Toc90552100"/>
            <w:r w:rsidRPr="00E359FA">
              <w:rPr>
                <w:sz w:val="16"/>
                <w:szCs w:val="16"/>
              </w:rPr>
              <w:t>9,938,947</w:t>
            </w:r>
            <w:bookmarkEnd w:id="234"/>
            <w:bookmarkEnd w:id="235"/>
          </w:p>
        </w:tc>
        <w:tc>
          <w:tcPr>
            <w:tcW w:w="1693" w:type="dxa"/>
            <w:vAlign w:val="center"/>
          </w:tcPr>
          <w:p w14:paraId="4B2078C2" w14:textId="77777777" w:rsidR="00A1389D" w:rsidRPr="00E359FA" w:rsidRDefault="00A1389D" w:rsidP="003B35B0">
            <w:pPr>
              <w:jc w:val="right"/>
              <w:rPr>
                <w:sz w:val="16"/>
                <w:szCs w:val="16"/>
              </w:rPr>
            </w:pPr>
            <w:bookmarkStart w:id="236" w:name="_Toc89892499"/>
            <w:bookmarkStart w:id="237" w:name="_Toc90552101"/>
            <w:r w:rsidRPr="00E359FA">
              <w:rPr>
                <w:sz w:val="16"/>
                <w:szCs w:val="16"/>
              </w:rPr>
              <w:t>1,326,400</w:t>
            </w:r>
            <w:bookmarkEnd w:id="236"/>
            <w:bookmarkEnd w:id="237"/>
          </w:p>
        </w:tc>
        <w:tc>
          <w:tcPr>
            <w:tcW w:w="1607" w:type="dxa"/>
            <w:vAlign w:val="center"/>
          </w:tcPr>
          <w:p w14:paraId="37C5958D" w14:textId="77777777" w:rsidR="00A1389D" w:rsidRPr="00E359FA" w:rsidRDefault="00A1389D" w:rsidP="003B35B0">
            <w:pPr>
              <w:jc w:val="right"/>
              <w:rPr>
                <w:sz w:val="16"/>
                <w:szCs w:val="16"/>
              </w:rPr>
            </w:pPr>
            <w:bookmarkStart w:id="238" w:name="_Toc89892500"/>
            <w:bookmarkStart w:id="239" w:name="_Toc90552102"/>
            <w:r w:rsidRPr="00E359FA">
              <w:rPr>
                <w:sz w:val="16"/>
                <w:szCs w:val="16"/>
              </w:rPr>
              <w:t>105,263,447</w:t>
            </w:r>
            <w:bookmarkEnd w:id="238"/>
            <w:bookmarkEnd w:id="239"/>
          </w:p>
        </w:tc>
      </w:tr>
      <w:tr w:rsidR="00A1389D" w:rsidRPr="006B3AC6" w14:paraId="728E635D" w14:textId="77777777" w:rsidTr="00E92A9D">
        <w:trPr>
          <w:trHeight w:val="196"/>
        </w:trPr>
        <w:tc>
          <w:tcPr>
            <w:tcW w:w="3133" w:type="dxa"/>
            <w:shd w:val="clear" w:color="auto" w:fill="2363AF"/>
            <w:vAlign w:val="center"/>
          </w:tcPr>
          <w:p w14:paraId="534B6053" w14:textId="656019A6" w:rsidR="00A1389D" w:rsidRPr="00E359FA" w:rsidRDefault="00A1389D" w:rsidP="003B35B0">
            <w:pPr>
              <w:rPr>
                <w:color w:val="FFFFFF" w:themeColor="background1"/>
                <w:sz w:val="16"/>
                <w:szCs w:val="16"/>
              </w:rPr>
            </w:pPr>
            <w:bookmarkStart w:id="240" w:name="_Toc89892501"/>
            <w:r w:rsidRPr="00E359FA">
              <w:rPr>
                <w:color w:val="FFFFFF" w:themeColor="background1"/>
                <w:sz w:val="16"/>
                <w:szCs w:val="16"/>
              </w:rPr>
              <w:t>Total number of obligations</w:t>
            </w:r>
            <w:bookmarkEnd w:id="240"/>
          </w:p>
        </w:tc>
        <w:tc>
          <w:tcPr>
            <w:tcW w:w="1461" w:type="dxa"/>
            <w:vAlign w:val="center"/>
          </w:tcPr>
          <w:p w14:paraId="0DBB27D2" w14:textId="77777777" w:rsidR="00A1389D" w:rsidRPr="00E359FA" w:rsidRDefault="00A1389D" w:rsidP="003B35B0">
            <w:pPr>
              <w:jc w:val="right"/>
              <w:rPr>
                <w:sz w:val="16"/>
                <w:szCs w:val="16"/>
              </w:rPr>
            </w:pPr>
            <w:bookmarkStart w:id="241" w:name="_Toc89892502"/>
            <w:bookmarkStart w:id="242" w:name="_Toc90552104"/>
            <w:r w:rsidRPr="00E359FA">
              <w:rPr>
                <w:sz w:val="16"/>
                <w:szCs w:val="16"/>
              </w:rPr>
              <w:t>119</w:t>
            </w:r>
            <w:bookmarkEnd w:id="241"/>
            <w:bookmarkEnd w:id="242"/>
          </w:p>
        </w:tc>
        <w:tc>
          <w:tcPr>
            <w:tcW w:w="1699" w:type="dxa"/>
            <w:vAlign w:val="center"/>
          </w:tcPr>
          <w:p w14:paraId="5FF36AB2" w14:textId="77777777" w:rsidR="00A1389D" w:rsidRPr="00E359FA" w:rsidRDefault="00A1389D" w:rsidP="003B35B0">
            <w:pPr>
              <w:jc w:val="right"/>
              <w:rPr>
                <w:sz w:val="16"/>
                <w:szCs w:val="16"/>
              </w:rPr>
            </w:pPr>
            <w:bookmarkStart w:id="243" w:name="_Toc89892503"/>
            <w:bookmarkStart w:id="244" w:name="_Toc90552105"/>
            <w:r w:rsidRPr="00E359FA">
              <w:rPr>
                <w:sz w:val="16"/>
                <w:szCs w:val="16"/>
              </w:rPr>
              <w:t>103</w:t>
            </w:r>
            <w:bookmarkEnd w:id="243"/>
            <w:bookmarkEnd w:id="244"/>
          </w:p>
        </w:tc>
        <w:tc>
          <w:tcPr>
            <w:tcW w:w="1693" w:type="dxa"/>
            <w:vAlign w:val="center"/>
          </w:tcPr>
          <w:p w14:paraId="18510C7A" w14:textId="77777777" w:rsidR="00A1389D" w:rsidRPr="00E359FA" w:rsidRDefault="00A1389D" w:rsidP="003B35B0">
            <w:pPr>
              <w:jc w:val="right"/>
              <w:rPr>
                <w:sz w:val="16"/>
                <w:szCs w:val="16"/>
              </w:rPr>
            </w:pPr>
            <w:bookmarkStart w:id="245" w:name="_Toc89892504"/>
            <w:bookmarkStart w:id="246" w:name="_Toc90552106"/>
            <w:r w:rsidRPr="00E359FA">
              <w:rPr>
                <w:sz w:val="16"/>
                <w:szCs w:val="16"/>
              </w:rPr>
              <w:t>10</w:t>
            </w:r>
            <w:bookmarkEnd w:id="245"/>
            <w:bookmarkEnd w:id="246"/>
          </w:p>
        </w:tc>
        <w:tc>
          <w:tcPr>
            <w:tcW w:w="1607" w:type="dxa"/>
            <w:vAlign w:val="center"/>
          </w:tcPr>
          <w:p w14:paraId="785867AE" w14:textId="77777777" w:rsidR="00A1389D" w:rsidRPr="00E359FA" w:rsidRDefault="00A1389D" w:rsidP="003B35B0">
            <w:pPr>
              <w:jc w:val="right"/>
              <w:rPr>
                <w:sz w:val="16"/>
                <w:szCs w:val="16"/>
              </w:rPr>
            </w:pPr>
            <w:bookmarkStart w:id="247" w:name="_Toc89892505"/>
            <w:bookmarkStart w:id="248" w:name="_Toc90552107"/>
            <w:r w:rsidRPr="00E359FA">
              <w:rPr>
                <w:sz w:val="16"/>
                <w:szCs w:val="16"/>
              </w:rPr>
              <w:t>232</w:t>
            </w:r>
            <w:bookmarkEnd w:id="247"/>
            <w:bookmarkEnd w:id="248"/>
          </w:p>
        </w:tc>
      </w:tr>
      <w:tr w:rsidR="00A1389D" w:rsidRPr="006B3AC6" w14:paraId="4EAFE605" w14:textId="77777777" w:rsidTr="003B35B0">
        <w:trPr>
          <w:trHeight w:val="340"/>
        </w:trPr>
        <w:tc>
          <w:tcPr>
            <w:tcW w:w="3133" w:type="dxa"/>
            <w:shd w:val="clear" w:color="auto" w:fill="2363AF"/>
            <w:vAlign w:val="center"/>
          </w:tcPr>
          <w:p w14:paraId="5B86C904" w14:textId="3C6F90A7" w:rsidR="00A1389D" w:rsidRPr="00E359FA" w:rsidRDefault="00A1389D" w:rsidP="003B35B0">
            <w:pPr>
              <w:rPr>
                <w:color w:val="FFFFFF" w:themeColor="background1"/>
                <w:sz w:val="16"/>
                <w:szCs w:val="16"/>
              </w:rPr>
            </w:pPr>
            <w:bookmarkStart w:id="249" w:name="_Toc89892506"/>
            <w:bookmarkStart w:id="250" w:name="_Toc90552108"/>
            <w:r w:rsidRPr="00E359FA">
              <w:rPr>
                <w:color w:val="FFFFFF" w:themeColor="background1"/>
                <w:sz w:val="16"/>
                <w:szCs w:val="16"/>
              </w:rPr>
              <w:t>% of obligation met with ROCs</w:t>
            </w:r>
            <w:bookmarkEnd w:id="249"/>
            <w:bookmarkEnd w:id="250"/>
          </w:p>
        </w:tc>
        <w:tc>
          <w:tcPr>
            <w:tcW w:w="1461" w:type="dxa"/>
            <w:vAlign w:val="center"/>
          </w:tcPr>
          <w:p w14:paraId="5CDA7D63" w14:textId="77777777" w:rsidR="00A1389D" w:rsidRPr="00E359FA" w:rsidRDefault="00A1389D" w:rsidP="003B35B0">
            <w:pPr>
              <w:jc w:val="right"/>
              <w:rPr>
                <w:sz w:val="16"/>
                <w:szCs w:val="16"/>
              </w:rPr>
            </w:pPr>
            <w:bookmarkStart w:id="251" w:name="_Toc89892507"/>
            <w:bookmarkStart w:id="252" w:name="_Toc90552109"/>
            <w:r w:rsidRPr="00E359FA">
              <w:rPr>
                <w:sz w:val="16"/>
                <w:szCs w:val="16"/>
              </w:rPr>
              <w:t>87.8%</w:t>
            </w:r>
            <w:bookmarkEnd w:id="251"/>
            <w:bookmarkEnd w:id="252"/>
          </w:p>
        </w:tc>
        <w:tc>
          <w:tcPr>
            <w:tcW w:w="1699" w:type="dxa"/>
            <w:vAlign w:val="center"/>
          </w:tcPr>
          <w:p w14:paraId="45091E20" w14:textId="77777777" w:rsidR="00A1389D" w:rsidRPr="00E359FA" w:rsidRDefault="00A1389D" w:rsidP="003B35B0">
            <w:pPr>
              <w:jc w:val="right"/>
              <w:rPr>
                <w:sz w:val="16"/>
                <w:szCs w:val="16"/>
              </w:rPr>
            </w:pPr>
            <w:bookmarkStart w:id="253" w:name="_Toc89892508"/>
            <w:bookmarkStart w:id="254" w:name="_Toc90552110"/>
            <w:r w:rsidRPr="00E359FA">
              <w:rPr>
                <w:sz w:val="16"/>
                <w:szCs w:val="16"/>
              </w:rPr>
              <w:t>92.9%</w:t>
            </w:r>
            <w:bookmarkEnd w:id="253"/>
            <w:bookmarkEnd w:id="254"/>
          </w:p>
        </w:tc>
        <w:tc>
          <w:tcPr>
            <w:tcW w:w="1693" w:type="dxa"/>
            <w:vAlign w:val="center"/>
          </w:tcPr>
          <w:p w14:paraId="09D57F54" w14:textId="77777777" w:rsidR="00A1389D" w:rsidRPr="00E359FA" w:rsidRDefault="00A1389D" w:rsidP="003B35B0">
            <w:pPr>
              <w:jc w:val="right"/>
              <w:rPr>
                <w:sz w:val="16"/>
                <w:szCs w:val="16"/>
              </w:rPr>
            </w:pPr>
            <w:bookmarkStart w:id="255" w:name="_Toc89892509"/>
            <w:bookmarkStart w:id="256" w:name="_Toc90552111"/>
            <w:r w:rsidRPr="00E359FA">
              <w:rPr>
                <w:sz w:val="16"/>
                <w:szCs w:val="16"/>
              </w:rPr>
              <w:t>97.6%</w:t>
            </w:r>
            <w:bookmarkEnd w:id="255"/>
            <w:bookmarkEnd w:id="256"/>
          </w:p>
        </w:tc>
        <w:tc>
          <w:tcPr>
            <w:tcW w:w="1607" w:type="dxa"/>
            <w:vAlign w:val="center"/>
          </w:tcPr>
          <w:p w14:paraId="5E827ADA" w14:textId="77777777" w:rsidR="00A1389D" w:rsidRPr="00E359FA" w:rsidRDefault="00A1389D" w:rsidP="003B35B0">
            <w:pPr>
              <w:jc w:val="right"/>
              <w:rPr>
                <w:sz w:val="16"/>
                <w:szCs w:val="16"/>
              </w:rPr>
            </w:pPr>
            <w:bookmarkStart w:id="257" w:name="_Toc89892510"/>
            <w:bookmarkStart w:id="258" w:name="_Toc90552112"/>
            <w:r w:rsidRPr="00E359FA">
              <w:rPr>
                <w:sz w:val="16"/>
                <w:szCs w:val="16"/>
              </w:rPr>
              <w:t>88.4%</w:t>
            </w:r>
            <w:bookmarkEnd w:id="257"/>
            <w:bookmarkEnd w:id="258"/>
          </w:p>
        </w:tc>
      </w:tr>
      <w:bookmarkEnd w:id="201"/>
    </w:tbl>
    <w:p w14:paraId="4D182C13" w14:textId="23270137" w:rsidR="00A1389D" w:rsidRDefault="00A1389D" w:rsidP="00A1389D">
      <w:pPr>
        <w:rPr>
          <w:rFonts w:eastAsiaTheme="minorEastAsia" w:cstheme="minorHAnsi"/>
          <w:b/>
          <w:color w:val="000000" w:themeColor="text1"/>
        </w:rPr>
      </w:pPr>
    </w:p>
    <w:p w14:paraId="2A6666A9" w14:textId="77777777" w:rsidR="00E80140" w:rsidRPr="006B3AC6" w:rsidRDefault="00E80140" w:rsidP="00A1389D">
      <w:pPr>
        <w:rPr>
          <w:rFonts w:eastAsiaTheme="minorEastAsia" w:cstheme="minorHAnsi"/>
          <w:b/>
          <w:color w:val="000000" w:themeColor="text1"/>
        </w:rPr>
      </w:pPr>
    </w:p>
    <w:p w14:paraId="335FC213" w14:textId="28282EF3" w:rsidR="00A1389D" w:rsidRPr="00BE30D1" w:rsidRDefault="00A1389D" w:rsidP="003B35B0">
      <w:pPr>
        <w:pStyle w:val="CH4normal"/>
        <w:ind w:left="567" w:hanging="567"/>
      </w:pPr>
      <w:bookmarkStart w:id="259" w:name="_Toc89892511"/>
      <w:bookmarkStart w:id="260" w:name="_Toc90552113"/>
      <w:r w:rsidRPr="00BE30D1">
        <w:lastRenderedPageBreak/>
        <w:t>Suppliers can meet up to 25% of an obligation by presenting unused ROCs from the previous obligation period (banked ROCs)</w:t>
      </w:r>
      <w:r w:rsidR="0083446C">
        <w:t>.</w:t>
      </w:r>
      <w:r w:rsidRPr="00A8706B">
        <w:rPr>
          <w:vertAlign w:val="superscript"/>
        </w:rPr>
        <w:footnoteReference w:id="60"/>
      </w:r>
      <w:r w:rsidRPr="00BE30D1">
        <w:t xml:space="preserve"> They presented around 1.05 million banked ROCs, down from the 2.06 million presented last year. </w:t>
      </w:r>
      <w:r w:rsidRPr="0083446C">
        <w:rPr>
          <w:b/>
          <w:bCs/>
        </w:rPr>
        <w:t>Figure 4.2</w:t>
      </w:r>
      <w:r w:rsidRPr="00BE30D1">
        <w:t xml:space="preserve"> shows that the number of banked ROCs presented in 2020-21 obligation period is the lowest it has been since the 2013-14 obligation period.</w:t>
      </w:r>
      <w:bookmarkEnd w:id="259"/>
      <w:bookmarkEnd w:id="260"/>
    </w:p>
    <w:p w14:paraId="4E7F05B2" w14:textId="287E47D4" w:rsidR="00C13F5C" w:rsidRPr="00C13F5C" w:rsidRDefault="00C13F5C" w:rsidP="00C13F5C">
      <w:pPr>
        <w:rPr>
          <w:rFonts w:eastAsiaTheme="minorEastAsia" w:cstheme="minorHAnsi"/>
          <w:b/>
          <w:color w:val="000000" w:themeColor="text1"/>
        </w:rPr>
      </w:pPr>
      <w:r w:rsidRPr="00202EC5">
        <w:rPr>
          <w:rFonts w:eastAsiaTheme="minorEastAsia" w:cstheme="minorHAnsi"/>
          <w:b/>
          <w:color w:val="000000" w:themeColor="text1"/>
        </w:rPr>
        <w:t xml:space="preserve">Figure 4.2: </w:t>
      </w:r>
      <w:r w:rsidR="00486FB6" w:rsidRPr="00202EC5">
        <w:rPr>
          <w:rFonts w:eastAsiaTheme="minorEastAsia" w:cstheme="minorHAnsi"/>
          <w:b/>
          <w:color w:val="000000" w:themeColor="text1"/>
        </w:rPr>
        <w:t>Banked ROCs redeemed and ROCs issued but not presented each obligation period since 20</w:t>
      </w:r>
      <w:r w:rsidR="00035A3A" w:rsidRPr="00202EC5">
        <w:rPr>
          <w:rFonts w:eastAsiaTheme="minorEastAsia" w:cstheme="minorHAnsi"/>
          <w:b/>
          <w:color w:val="000000" w:themeColor="text1"/>
        </w:rPr>
        <w:t>07</w:t>
      </w:r>
      <w:r w:rsidR="00486FB6" w:rsidRPr="00202EC5">
        <w:rPr>
          <w:rFonts w:eastAsiaTheme="minorEastAsia" w:cstheme="minorHAnsi"/>
          <w:b/>
          <w:color w:val="000000" w:themeColor="text1"/>
        </w:rPr>
        <w:t>-</w:t>
      </w:r>
      <w:r w:rsidR="00035A3A" w:rsidRPr="00202EC5">
        <w:rPr>
          <w:rFonts w:eastAsiaTheme="minorEastAsia" w:cstheme="minorHAnsi"/>
          <w:b/>
          <w:color w:val="000000" w:themeColor="text1"/>
        </w:rPr>
        <w:t>08</w:t>
      </w:r>
    </w:p>
    <w:p w14:paraId="08AFBDD9" w14:textId="0F966B5B" w:rsidR="00A1389D" w:rsidRPr="006B3AC6" w:rsidRDefault="00D259FC" w:rsidP="00A1389D">
      <w:pPr>
        <w:rPr>
          <w:rFonts w:eastAsiaTheme="minorEastAsia" w:cstheme="minorHAnsi"/>
          <w:color w:val="000000" w:themeColor="text1"/>
        </w:rPr>
      </w:pPr>
      <w:r>
        <w:rPr>
          <w:noProof/>
        </w:rPr>
        <w:drawing>
          <wp:inline distT="0" distB="0" distL="0" distR="0" wp14:anchorId="48F4643D" wp14:editId="4B28D1E1">
            <wp:extent cx="6109497" cy="2796363"/>
            <wp:effectExtent l="0" t="0" r="5715" b="4445"/>
            <wp:docPr id="198" name="Chart 198" descr="This chart shows the number of banked ROCs redeemed and ROCs issued but not presented in each obligation period since 2007-08. &#10;&#10;The data used to produce this chart is published alongside this report on our website.">
              <a:extLst xmlns:a="http://schemas.openxmlformats.org/drawingml/2006/main">
                <a:ext uri="{FF2B5EF4-FFF2-40B4-BE49-F238E27FC236}">
                  <a16:creationId xmlns:a16="http://schemas.microsoft.com/office/drawing/2014/main" id="{542C43F5-0A09-42DB-BD43-BF84BDA31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6C2A82" w14:textId="12F5B9F8" w:rsidR="00A1389D" w:rsidRPr="00BE30D1" w:rsidRDefault="00A1389D" w:rsidP="003B35B0">
      <w:pPr>
        <w:pStyle w:val="CH4normal"/>
        <w:ind w:left="567" w:hanging="567"/>
      </w:pPr>
      <w:bookmarkStart w:id="261" w:name="_Toc89892512"/>
      <w:bookmarkStart w:id="262" w:name="_Toc90552114"/>
      <w:r w:rsidRPr="00BE30D1">
        <w:t>At the time of writing, of the 109,252,882 million ROCs issued that are based on generation between April 2020 and March 2021, more than 5,036,969 ROCs were not presented by suppliers. These will be available as banked ROCs for the 2021-22 compliance period.</w:t>
      </w:r>
      <w:bookmarkEnd w:id="261"/>
      <w:bookmarkEnd w:id="262"/>
      <w:r w:rsidRPr="00BE30D1">
        <w:t xml:space="preserve"> </w:t>
      </w:r>
    </w:p>
    <w:p w14:paraId="19BE1AA8" w14:textId="15589398" w:rsidR="00A1389D" w:rsidRPr="00BE30D1" w:rsidRDefault="00A1389D" w:rsidP="003B35B0">
      <w:pPr>
        <w:pStyle w:val="CH4normal"/>
        <w:ind w:left="567" w:hanging="567"/>
      </w:pPr>
      <w:bookmarkStart w:id="263" w:name="_Toc89892513"/>
      <w:bookmarkStart w:id="264" w:name="_Toc90552115"/>
      <w:r w:rsidRPr="00BE30D1">
        <w:t xml:space="preserve">There is a cap on the </w:t>
      </w:r>
      <w:r w:rsidR="00FC4B0F" w:rsidRPr="00BE30D1">
        <w:t>number</w:t>
      </w:r>
      <w:r w:rsidRPr="00BE30D1">
        <w:t xml:space="preserve"> of ROCs from electricity generated from bioliquids that suppliers can present towards their obligations. This limits suppliers to meeting 4% of an obligation using bioliquid ROCs. Some bioliquid ROCs are exempt from the cap. Details of the exemptions are in section 4.5 of our Guidance for Suppliers.</w:t>
      </w:r>
      <w:bookmarkEnd w:id="263"/>
      <w:bookmarkEnd w:id="264"/>
      <w:r w:rsidR="00785E8C">
        <w:rPr>
          <w:rStyle w:val="FootnoteReference"/>
        </w:rPr>
        <w:footnoteReference w:id="61"/>
      </w:r>
    </w:p>
    <w:p w14:paraId="2D1170DB" w14:textId="02CF6FAB" w:rsidR="00A1389D" w:rsidRPr="00BE30D1" w:rsidRDefault="00A1389D" w:rsidP="003B35B0">
      <w:pPr>
        <w:pStyle w:val="CH4normal"/>
        <w:ind w:left="567" w:hanging="567"/>
      </w:pPr>
      <w:bookmarkStart w:id="265" w:name="_Toc89892514"/>
      <w:bookmarkStart w:id="266" w:name="_Toc90552116"/>
      <w:r w:rsidRPr="00BE30D1">
        <w:t xml:space="preserve">In 2020-21 suppliers presented 256,848 bioliquid ROCs to us, across the obligations, which qualified under the cap. This is 0.22% of the total obligation, well below the 4% cap. Suppliers also presented 2,853,221 bioliquid ROCs towards their 2020-21 obligation </w:t>
      </w:r>
      <w:r w:rsidRPr="00BE30D1">
        <w:lastRenderedPageBreak/>
        <w:t>that were exempt from the cap.</w:t>
      </w:r>
      <w:r w:rsidR="00AB78BB">
        <w:rPr>
          <w:rStyle w:val="FootnoteReference"/>
          <w:rFonts w:eastAsiaTheme="minorEastAsia" w:cstheme="minorHAnsi"/>
          <w:color w:val="000000" w:themeColor="text1"/>
        </w:rPr>
        <w:footnoteReference w:id="62"/>
      </w:r>
      <w:r w:rsidRPr="00BE30D1">
        <w:t xml:space="preserve"> This represents around a 4.71% increase of </w:t>
      </w:r>
      <w:r w:rsidR="00D9298D">
        <w:t xml:space="preserve">exempt </w:t>
      </w:r>
      <w:r w:rsidRPr="00BE30D1">
        <w:t xml:space="preserve">Bioliquid ROCs presented by suppliers in the 2019-20 obligation period. </w:t>
      </w:r>
      <w:r w:rsidRPr="0083446C">
        <w:rPr>
          <w:b/>
          <w:bCs/>
        </w:rPr>
        <w:t>Table A</w:t>
      </w:r>
      <w:r w:rsidR="0083446C">
        <w:rPr>
          <w:b/>
          <w:bCs/>
        </w:rPr>
        <w:t>1</w:t>
      </w:r>
      <w:r w:rsidRPr="0083446C">
        <w:rPr>
          <w:b/>
          <w:bCs/>
        </w:rPr>
        <w:t>.5 in Appendix</w:t>
      </w:r>
      <w:r w:rsidR="0083446C">
        <w:rPr>
          <w:b/>
          <w:bCs/>
        </w:rPr>
        <w:t xml:space="preserve"> 1</w:t>
      </w:r>
      <w:r w:rsidRPr="00BE30D1">
        <w:t xml:space="preserve"> summarises all bioliquid ROCs presented by suppliers towards their obligations by RO year. This is effective from the 2013-14 RO year, when the cap on the number of bioliquid ROCs a supplier can present towards its obligation was first introduced.</w:t>
      </w:r>
      <w:bookmarkEnd w:id="265"/>
      <w:bookmarkEnd w:id="266"/>
      <w:r w:rsidRPr="00BE30D1">
        <w:t xml:space="preserve">  </w:t>
      </w:r>
    </w:p>
    <w:p w14:paraId="165C86ED" w14:textId="77EC2107" w:rsidR="00A1389D" w:rsidRPr="003B35B0" w:rsidRDefault="00A1389D" w:rsidP="003B35B0">
      <w:pPr>
        <w:pStyle w:val="Heading3"/>
        <w:rPr>
          <w:rStyle w:val="Heading3Char"/>
        </w:rPr>
      </w:pPr>
      <w:r w:rsidRPr="003B35B0">
        <w:rPr>
          <w:rStyle w:val="Heading3Char"/>
        </w:rPr>
        <w:t xml:space="preserve">Payments made </w:t>
      </w:r>
    </w:p>
    <w:p w14:paraId="379EA214" w14:textId="58B49267" w:rsidR="00A1389D" w:rsidRPr="00BE30D1" w:rsidRDefault="0083446C" w:rsidP="003B35B0">
      <w:pPr>
        <w:pStyle w:val="CH4normal"/>
        <w:ind w:left="567" w:hanging="567"/>
      </w:pPr>
      <w:bookmarkStart w:id="267" w:name="_Toc89892516"/>
      <w:bookmarkStart w:id="268" w:name="_Toc90552118"/>
      <w:r>
        <w:t>Fifty-one</w:t>
      </w:r>
      <w:r w:rsidR="00A1389D" w:rsidRPr="00BE30D1">
        <w:t xml:space="preserve"> suppliers who chose to make buy-out payments paid a total of £415,555,547 into the buy-out fund by the legislative deadline of 31 August.</w:t>
      </w:r>
      <w:r w:rsidR="00A1389D" w:rsidRPr="0083446C">
        <w:rPr>
          <w:vertAlign w:val="superscript"/>
        </w:rPr>
        <w:footnoteReference w:id="63"/>
      </w:r>
      <w:bookmarkEnd w:id="267"/>
      <w:bookmarkEnd w:id="268"/>
      <w:r w:rsidR="00A1389D" w:rsidRPr="0083446C">
        <w:rPr>
          <w:vertAlign w:val="superscript"/>
        </w:rPr>
        <w:t xml:space="preserve">  </w:t>
      </w:r>
    </w:p>
    <w:p w14:paraId="5BBCA40B" w14:textId="6197AA70" w:rsidR="00A1389D" w:rsidRPr="00BE30D1" w:rsidRDefault="00A1389D" w:rsidP="003B35B0">
      <w:pPr>
        <w:pStyle w:val="CH4normal"/>
        <w:ind w:left="567" w:hanging="567"/>
      </w:pPr>
      <w:bookmarkStart w:id="269" w:name="_Toc89892517"/>
      <w:bookmarkStart w:id="270" w:name="_Toc90552119"/>
      <w:r w:rsidRPr="00BE30D1">
        <w:t xml:space="preserve">Across the schemes, 37 suppliers covering 66 obligations did not meet the deadline for making buy-out payments or presenting ROCs, and therefore </w:t>
      </w:r>
      <w:r w:rsidR="00D9298D">
        <w:t>were required to</w:t>
      </w:r>
      <w:r w:rsidRPr="00BE30D1">
        <w:t xml:space="preserve"> utilise the late payment window to discharge their obligation. </w:t>
      </w:r>
      <w:r w:rsidR="0083446C">
        <w:t>Twenty-eight</w:t>
      </w:r>
      <w:r w:rsidRPr="00BE30D1">
        <w:t xml:space="preserve"> suppliers did not comply with their obligations (as noted in section 4.</w:t>
      </w:r>
      <w:r w:rsidR="006E0C42">
        <w:t>7</w:t>
      </w:r>
      <w:r w:rsidR="006C29F0">
        <w:t>)</w:t>
      </w:r>
      <w:r w:rsidRPr="00BE30D1">
        <w:t xml:space="preserve">. </w:t>
      </w:r>
      <w:r w:rsidR="0083446C">
        <w:t>Nine</w:t>
      </w:r>
      <w:r w:rsidRPr="00BE30D1">
        <w:t xml:space="preserve"> suppliers complied with their obligations by making late payments by 31 October</w:t>
      </w:r>
      <w:r w:rsidR="006C29F0">
        <w:t xml:space="preserve">. A </w:t>
      </w:r>
      <w:r w:rsidR="005C1320">
        <w:t xml:space="preserve">total of </w:t>
      </w:r>
      <w:r w:rsidRPr="00BE30D1">
        <w:t>£58,373,830</w:t>
      </w:r>
      <w:r w:rsidR="005C1320">
        <w:t xml:space="preserve"> was made in late payments</w:t>
      </w:r>
      <w:r w:rsidR="006C29F0">
        <w:t xml:space="preserve"> by these nine suppliers and others who did not comply in full</w:t>
      </w:r>
      <w:r w:rsidRPr="00BE30D1">
        <w:t>.</w:t>
      </w:r>
      <w:bookmarkEnd w:id="269"/>
      <w:bookmarkEnd w:id="270"/>
    </w:p>
    <w:p w14:paraId="6EEE1E79" w14:textId="2E8C361D" w:rsidR="00A1389D" w:rsidRPr="00BE30D1" w:rsidRDefault="00A1389D" w:rsidP="003B35B0">
      <w:pPr>
        <w:pStyle w:val="CH4normal"/>
        <w:ind w:left="567" w:hanging="567"/>
      </w:pPr>
      <w:bookmarkStart w:id="271" w:name="_Toc89892518"/>
      <w:bookmarkStart w:id="272" w:name="_Toc90552120"/>
      <w:r w:rsidRPr="0083446C">
        <w:rPr>
          <w:b/>
          <w:bCs/>
        </w:rPr>
        <w:t>Table 4.</w:t>
      </w:r>
      <w:r w:rsidR="00AB3DDA">
        <w:rPr>
          <w:b/>
          <w:bCs/>
        </w:rPr>
        <w:t>6</w:t>
      </w:r>
      <w:r w:rsidRPr="00BE30D1">
        <w:t xml:space="preserve"> summarises the payments suppliers made towards each UK obligation in 2020-21. Full details of how all suppliers met their obligations are in </w:t>
      </w:r>
      <w:r w:rsidRPr="0083446C">
        <w:rPr>
          <w:b/>
          <w:bCs/>
        </w:rPr>
        <w:t xml:space="preserve">Appendix </w:t>
      </w:r>
      <w:r w:rsidR="00075E6D">
        <w:rPr>
          <w:b/>
          <w:bCs/>
        </w:rPr>
        <w:t>1</w:t>
      </w:r>
      <w:r w:rsidRPr="00BE30D1">
        <w:t>.</w:t>
      </w:r>
      <w:bookmarkEnd w:id="271"/>
      <w:bookmarkEnd w:id="272"/>
      <w:r w:rsidRPr="00BE30D1">
        <w:t xml:space="preserve"> </w:t>
      </w:r>
    </w:p>
    <w:p w14:paraId="4013F80D" w14:textId="045FCF07" w:rsidR="00A1389D" w:rsidRPr="006B3AC6" w:rsidRDefault="00A1389D" w:rsidP="003B35B0">
      <w:pPr>
        <w:spacing w:line="276" w:lineRule="auto"/>
        <w:rPr>
          <w:rFonts w:cstheme="minorHAnsi"/>
        </w:rPr>
      </w:pPr>
      <w:r w:rsidRPr="006B3AC6">
        <w:rPr>
          <w:rFonts w:eastAsiaTheme="minorEastAsia" w:cstheme="minorHAnsi"/>
          <w:b/>
          <w:color w:val="000000" w:themeColor="text1"/>
        </w:rPr>
        <w:t>Table 4.</w:t>
      </w:r>
      <w:r w:rsidR="00AB3DDA">
        <w:rPr>
          <w:rFonts w:eastAsiaTheme="minorEastAsia" w:cstheme="minorHAnsi"/>
          <w:b/>
          <w:color w:val="000000" w:themeColor="text1"/>
        </w:rPr>
        <w:t>6</w:t>
      </w:r>
      <w:r w:rsidRPr="006B3AC6">
        <w:rPr>
          <w:rFonts w:eastAsiaTheme="minorEastAsia" w:cstheme="minorHAnsi"/>
          <w:b/>
          <w:color w:val="000000" w:themeColor="text1"/>
        </w:rPr>
        <w:t>: Payments made by suppliers towards each UK obligation for 2020-21</w:t>
      </w:r>
    </w:p>
    <w:tbl>
      <w:tblPr>
        <w:tblStyle w:val="TableGrid"/>
        <w:tblW w:w="9356" w:type="dxa"/>
        <w:tblLayout w:type="fixed"/>
        <w:tblLook w:val="04A0" w:firstRow="1" w:lastRow="0" w:firstColumn="1" w:lastColumn="0" w:noHBand="0" w:noVBand="1"/>
      </w:tblPr>
      <w:tblGrid>
        <w:gridCol w:w="2410"/>
        <w:gridCol w:w="1736"/>
        <w:gridCol w:w="1737"/>
        <w:gridCol w:w="1736"/>
        <w:gridCol w:w="1737"/>
      </w:tblGrid>
      <w:tr w:rsidR="004A138E" w:rsidRPr="006B3AC6" w14:paraId="3F48C30B" w14:textId="77777777" w:rsidTr="004A138E">
        <w:trPr>
          <w:trHeight w:val="221"/>
        </w:trPr>
        <w:tc>
          <w:tcPr>
            <w:tcW w:w="2410" w:type="dxa"/>
            <w:tcBorders>
              <w:top w:val="nil"/>
              <w:left w:val="nil"/>
              <w:bottom w:val="single" w:sz="4" w:space="0" w:color="auto"/>
              <w:right w:val="single" w:sz="4" w:space="0" w:color="auto"/>
            </w:tcBorders>
            <w:shd w:val="clear" w:color="auto" w:fill="auto"/>
          </w:tcPr>
          <w:p w14:paraId="591FDA5F" w14:textId="77777777" w:rsidR="00A1389D" w:rsidRPr="00E359FA" w:rsidRDefault="00A1389D" w:rsidP="00E359FA">
            <w:pPr>
              <w:rPr>
                <w:rFonts w:cstheme="minorHAnsi"/>
                <w:color w:val="000000" w:themeColor="text1"/>
                <w:sz w:val="16"/>
                <w:szCs w:val="16"/>
              </w:rPr>
            </w:pPr>
          </w:p>
        </w:tc>
        <w:tc>
          <w:tcPr>
            <w:tcW w:w="1736" w:type="dxa"/>
            <w:tcBorders>
              <w:left w:val="single" w:sz="4" w:space="0" w:color="auto"/>
            </w:tcBorders>
            <w:shd w:val="clear" w:color="auto" w:fill="2363AF"/>
            <w:vAlign w:val="center"/>
          </w:tcPr>
          <w:p w14:paraId="36094B93" w14:textId="77777777" w:rsidR="00A1389D" w:rsidRPr="00E359FA" w:rsidRDefault="00A1389D" w:rsidP="003B35B0">
            <w:pPr>
              <w:jc w:val="right"/>
              <w:rPr>
                <w:rFonts w:cstheme="minorHAnsi"/>
                <w:color w:val="FFFFFF" w:themeColor="background1"/>
                <w:sz w:val="16"/>
                <w:szCs w:val="16"/>
              </w:rPr>
            </w:pPr>
            <w:bookmarkStart w:id="273" w:name="_Toc89892519"/>
            <w:bookmarkStart w:id="274" w:name="_Toc90552121"/>
            <w:r w:rsidRPr="00E359FA">
              <w:rPr>
                <w:rFonts w:cstheme="minorHAnsi"/>
                <w:color w:val="FFFFFF" w:themeColor="background1"/>
                <w:sz w:val="16"/>
                <w:szCs w:val="16"/>
              </w:rPr>
              <w:t>RO</w:t>
            </w:r>
            <w:bookmarkEnd w:id="273"/>
            <w:bookmarkEnd w:id="274"/>
          </w:p>
        </w:tc>
        <w:tc>
          <w:tcPr>
            <w:tcW w:w="1737" w:type="dxa"/>
            <w:shd w:val="clear" w:color="auto" w:fill="2363AF"/>
            <w:vAlign w:val="center"/>
          </w:tcPr>
          <w:p w14:paraId="1DA510CF" w14:textId="77777777" w:rsidR="00A1389D" w:rsidRPr="00E359FA" w:rsidRDefault="00A1389D" w:rsidP="003B35B0">
            <w:pPr>
              <w:jc w:val="right"/>
              <w:rPr>
                <w:rFonts w:cstheme="minorHAnsi"/>
                <w:color w:val="FFFFFF" w:themeColor="background1"/>
                <w:sz w:val="16"/>
                <w:szCs w:val="16"/>
              </w:rPr>
            </w:pPr>
            <w:bookmarkStart w:id="275" w:name="_Toc89892520"/>
            <w:bookmarkStart w:id="276" w:name="_Toc90552122"/>
            <w:r w:rsidRPr="00E359FA">
              <w:rPr>
                <w:rFonts w:cstheme="minorHAnsi"/>
                <w:color w:val="FFFFFF" w:themeColor="background1"/>
                <w:sz w:val="16"/>
                <w:szCs w:val="16"/>
              </w:rPr>
              <w:t>ROS</w:t>
            </w:r>
            <w:bookmarkEnd w:id="275"/>
            <w:bookmarkEnd w:id="276"/>
          </w:p>
        </w:tc>
        <w:tc>
          <w:tcPr>
            <w:tcW w:w="1736" w:type="dxa"/>
            <w:shd w:val="clear" w:color="auto" w:fill="2363AF"/>
            <w:vAlign w:val="center"/>
          </w:tcPr>
          <w:p w14:paraId="608296D6" w14:textId="77777777" w:rsidR="00A1389D" w:rsidRPr="00E359FA" w:rsidRDefault="00A1389D" w:rsidP="003B35B0">
            <w:pPr>
              <w:jc w:val="right"/>
              <w:rPr>
                <w:rFonts w:cstheme="minorHAnsi"/>
                <w:color w:val="FFFFFF" w:themeColor="background1"/>
                <w:sz w:val="16"/>
                <w:szCs w:val="16"/>
              </w:rPr>
            </w:pPr>
            <w:bookmarkStart w:id="277" w:name="_Toc89892521"/>
            <w:bookmarkStart w:id="278" w:name="_Toc90552123"/>
            <w:r w:rsidRPr="00E359FA">
              <w:rPr>
                <w:rFonts w:cstheme="minorHAnsi"/>
                <w:color w:val="FFFFFF" w:themeColor="background1"/>
                <w:sz w:val="16"/>
                <w:szCs w:val="16"/>
              </w:rPr>
              <w:t>NIRO</w:t>
            </w:r>
            <w:bookmarkEnd w:id="277"/>
            <w:bookmarkEnd w:id="278"/>
          </w:p>
        </w:tc>
        <w:tc>
          <w:tcPr>
            <w:tcW w:w="1737" w:type="dxa"/>
            <w:shd w:val="clear" w:color="auto" w:fill="2363AF"/>
            <w:vAlign w:val="center"/>
          </w:tcPr>
          <w:p w14:paraId="0CE16E15" w14:textId="77777777" w:rsidR="00A1389D" w:rsidRPr="00E359FA" w:rsidRDefault="00A1389D" w:rsidP="003B35B0">
            <w:pPr>
              <w:jc w:val="right"/>
              <w:rPr>
                <w:rFonts w:cstheme="minorHAnsi"/>
                <w:color w:val="FFFFFF" w:themeColor="background1"/>
                <w:sz w:val="16"/>
                <w:szCs w:val="16"/>
              </w:rPr>
            </w:pPr>
            <w:bookmarkStart w:id="279" w:name="_Toc89892522"/>
            <w:bookmarkStart w:id="280" w:name="_Toc90552124"/>
            <w:r w:rsidRPr="00E359FA">
              <w:rPr>
                <w:rFonts w:cstheme="minorHAnsi"/>
                <w:color w:val="FFFFFF" w:themeColor="background1"/>
                <w:sz w:val="16"/>
                <w:szCs w:val="16"/>
              </w:rPr>
              <w:t>UK Total</w:t>
            </w:r>
            <w:bookmarkEnd w:id="279"/>
            <w:bookmarkEnd w:id="280"/>
          </w:p>
        </w:tc>
      </w:tr>
      <w:tr w:rsidR="00A1389D" w:rsidRPr="006B3AC6" w14:paraId="2575C2E8" w14:textId="77777777" w:rsidTr="003B35B0">
        <w:trPr>
          <w:trHeight w:val="245"/>
        </w:trPr>
        <w:tc>
          <w:tcPr>
            <w:tcW w:w="2410" w:type="dxa"/>
            <w:tcBorders>
              <w:top w:val="single" w:sz="4" w:space="0" w:color="auto"/>
            </w:tcBorders>
            <w:shd w:val="clear" w:color="auto" w:fill="2363AF"/>
            <w:vAlign w:val="center"/>
          </w:tcPr>
          <w:p w14:paraId="656F454D" w14:textId="0879D2BC" w:rsidR="00A1389D" w:rsidRPr="00E359FA" w:rsidRDefault="00A1389D" w:rsidP="003B35B0">
            <w:pPr>
              <w:rPr>
                <w:rFonts w:cstheme="minorHAnsi"/>
                <w:color w:val="FFFFFF" w:themeColor="background1"/>
                <w:sz w:val="16"/>
                <w:szCs w:val="16"/>
              </w:rPr>
            </w:pPr>
            <w:bookmarkStart w:id="281" w:name="_Toc89892523"/>
            <w:r w:rsidRPr="00E359FA">
              <w:rPr>
                <w:rFonts w:cstheme="minorHAnsi"/>
                <w:color w:val="FFFFFF" w:themeColor="background1"/>
                <w:sz w:val="16"/>
                <w:szCs w:val="16"/>
              </w:rPr>
              <w:t>Buy-out payments made</w:t>
            </w:r>
            <w:bookmarkEnd w:id="281"/>
          </w:p>
        </w:tc>
        <w:tc>
          <w:tcPr>
            <w:tcW w:w="1736" w:type="dxa"/>
            <w:vAlign w:val="center"/>
          </w:tcPr>
          <w:p w14:paraId="78C27FAC" w14:textId="77777777" w:rsidR="00A1389D" w:rsidRPr="00E359FA" w:rsidRDefault="00A1389D" w:rsidP="003B35B0">
            <w:pPr>
              <w:jc w:val="right"/>
              <w:rPr>
                <w:rFonts w:cstheme="minorHAnsi"/>
                <w:color w:val="000000" w:themeColor="text1"/>
                <w:sz w:val="16"/>
                <w:szCs w:val="16"/>
              </w:rPr>
            </w:pPr>
            <w:bookmarkStart w:id="282" w:name="_Toc89892524"/>
            <w:bookmarkStart w:id="283" w:name="_Toc90552126"/>
            <w:r w:rsidRPr="00E359FA">
              <w:rPr>
                <w:rFonts w:cstheme="minorHAnsi"/>
                <w:color w:val="000000" w:themeColor="text1"/>
                <w:sz w:val="16"/>
                <w:szCs w:val="16"/>
              </w:rPr>
              <w:t>£395,009,220</w:t>
            </w:r>
            <w:bookmarkEnd w:id="282"/>
            <w:bookmarkEnd w:id="283"/>
          </w:p>
        </w:tc>
        <w:tc>
          <w:tcPr>
            <w:tcW w:w="1737" w:type="dxa"/>
            <w:vAlign w:val="center"/>
          </w:tcPr>
          <w:p w14:paraId="58A8EE7B" w14:textId="77777777" w:rsidR="00A1389D" w:rsidRPr="00E359FA" w:rsidRDefault="00A1389D" w:rsidP="003B35B0">
            <w:pPr>
              <w:jc w:val="right"/>
              <w:rPr>
                <w:rFonts w:cstheme="minorHAnsi"/>
                <w:color w:val="000000" w:themeColor="text1"/>
                <w:sz w:val="16"/>
                <w:szCs w:val="16"/>
              </w:rPr>
            </w:pPr>
            <w:bookmarkStart w:id="284" w:name="_Toc89892525"/>
            <w:bookmarkStart w:id="285" w:name="_Toc90552127"/>
            <w:r w:rsidRPr="00E359FA">
              <w:rPr>
                <w:rFonts w:cstheme="minorHAnsi"/>
                <w:color w:val="000000" w:themeColor="text1"/>
                <w:sz w:val="16"/>
                <w:szCs w:val="16"/>
              </w:rPr>
              <w:t>£19,753,985</w:t>
            </w:r>
            <w:bookmarkEnd w:id="284"/>
            <w:bookmarkEnd w:id="285"/>
          </w:p>
        </w:tc>
        <w:tc>
          <w:tcPr>
            <w:tcW w:w="1736" w:type="dxa"/>
            <w:vAlign w:val="center"/>
          </w:tcPr>
          <w:p w14:paraId="63D1CE68" w14:textId="77777777" w:rsidR="00A1389D" w:rsidRPr="00E359FA" w:rsidRDefault="00A1389D" w:rsidP="003B35B0">
            <w:pPr>
              <w:jc w:val="right"/>
              <w:rPr>
                <w:rFonts w:cstheme="minorHAnsi"/>
                <w:color w:val="000000" w:themeColor="text1"/>
                <w:sz w:val="16"/>
                <w:szCs w:val="16"/>
              </w:rPr>
            </w:pPr>
            <w:bookmarkStart w:id="286" w:name="_Toc89892526"/>
            <w:bookmarkStart w:id="287" w:name="_Toc90552128"/>
            <w:r w:rsidRPr="00E359FA">
              <w:rPr>
                <w:rFonts w:cstheme="minorHAnsi"/>
                <w:color w:val="000000" w:themeColor="text1"/>
                <w:sz w:val="16"/>
                <w:szCs w:val="16"/>
              </w:rPr>
              <w:t>£792,342</w:t>
            </w:r>
            <w:bookmarkEnd w:id="286"/>
            <w:bookmarkEnd w:id="287"/>
          </w:p>
        </w:tc>
        <w:tc>
          <w:tcPr>
            <w:tcW w:w="1737" w:type="dxa"/>
            <w:vAlign w:val="center"/>
          </w:tcPr>
          <w:p w14:paraId="02E850F0" w14:textId="77777777" w:rsidR="00A1389D" w:rsidRPr="00E359FA" w:rsidRDefault="00A1389D" w:rsidP="003B35B0">
            <w:pPr>
              <w:jc w:val="right"/>
              <w:rPr>
                <w:rFonts w:cstheme="minorHAnsi"/>
                <w:color w:val="000000" w:themeColor="text1"/>
                <w:sz w:val="16"/>
                <w:szCs w:val="16"/>
              </w:rPr>
            </w:pPr>
            <w:bookmarkStart w:id="288" w:name="_Toc89892527"/>
            <w:bookmarkStart w:id="289" w:name="_Toc90552129"/>
            <w:r w:rsidRPr="00E359FA">
              <w:rPr>
                <w:rFonts w:cstheme="minorHAnsi"/>
                <w:color w:val="000000" w:themeColor="text1"/>
                <w:sz w:val="16"/>
                <w:szCs w:val="16"/>
              </w:rPr>
              <w:t>£415,555,547</w:t>
            </w:r>
            <w:bookmarkEnd w:id="288"/>
            <w:bookmarkEnd w:id="289"/>
          </w:p>
        </w:tc>
      </w:tr>
      <w:tr w:rsidR="00A1389D" w:rsidRPr="006B3AC6" w14:paraId="441B3A1F" w14:textId="77777777" w:rsidTr="003B35B0">
        <w:trPr>
          <w:trHeight w:val="208"/>
        </w:trPr>
        <w:tc>
          <w:tcPr>
            <w:tcW w:w="2410" w:type="dxa"/>
            <w:shd w:val="clear" w:color="auto" w:fill="2363AF"/>
            <w:vAlign w:val="center"/>
          </w:tcPr>
          <w:p w14:paraId="31C30F35" w14:textId="0E26D28A" w:rsidR="00A1389D" w:rsidRPr="00E359FA" w:rsidRDefault="00A1389D" w:rsidP="003B35B0">
            <w:pPr>
              <w:rPr>
                <w:rFonts w:cstheme="minorHAnsi"/>
                <w:color w:val="FFFFFF" w:themeColor="background1"/>
                <w:sz w:val="16"/>
                <w:szCs w:val="16"/>
              </w:rPr>
            </w:pPr>
            <w:bookmarkStart w:id="290" w:name="_Toc89892528"/>
            <w:r w:rsidRPr="00E359FA">
              <w:rPr>
                <w:rFonts w:cstheme="minorHAnsi"/>
                <w:color w:val="FFFFFF" w:themeColor="background1"/>
                <w:sz w:val="16"/>
                <w:szCs w:val="16"/>
              </w:rPr>
              <w:t>Late payments made</w:t>
            </w:r>
            <w:bookmarkEnd w:id="290"/>
          </w:p>
        </w:tc>
        <w:tc>
          <w:tcPr>
            <w:tcW w:w="1736" w:type="dxa"/>
            <w:vAlign w:val="center"/>
          </w:tcPr>
          <w:p w14:paraId="232B3554" w14:textId="24D347BD" w:rsidR="00A1389D" w:rsidRPr="00E359FA" w:rsidRDefault="00A1389D" w:rsidP="003B35B0">
            <w:pPr>
              <w:jc w:val="right"/>
              <w:rPr>
                <w:rFonts w:cstheme="minorHAnsi"/>
                <w:color w:val="000000" w:themeColor="text1"/>
                <w:sz w:val="16"/>
                <w:szCs w:val="16"/>
              </w:rPr>
            </w:pPr>
            <w:bookmarkStart w:id="291" w:name="_Toc89892529"/>
            <w:bookmarkStart w:id="292" w:name="_Toc90552131"/>
            <w:r w:rsidRPr="00E359FA">
              <w:rPr>
                <w:rFonts w:cstheme="minorHAnsi"/>
                <w:color w:val="000000" w:themeColor="text1"/>
                <w:sz w:val="16"/>
                <w:szCs w:val="16"/>
              </w:rPr>
              <w:t>£53,006,55</w:t>
            </w:r>
            <w:r w:rsidR="0051770B">
              <w:rPr>
                <w:rFonts w:cstheme="minorHAnsi"/>
                <w:color w:val="000000" w:themeColor="text1"/>
                <w:sz w:val="16"/>
                <w:szCs w:val="16"/>
              </w:rPr>
              <w:t>8</w:t>
            </w:r>
            <w:bookmarkEnd w:id="291"/>
            <w:bookmarkEnd w:id="292"/>
          </w:p>
        </w:tc>
        <w:tc>
          <w:tcPr>
            <w:tcW w:w="1737" w:type="dxa"/>
            <w:vAlign w:val="center"/>
          </w:tcPr>
          <w:p w14:paraId="4BA99F85" w14:textId="77777777" w:rsidR="00A1389D" w:rsidRPr="00E359FA" w:rsidRDefault="00A1389D" w:rsidP="003B35B0">
            <w:pPr>
              <w:jc w:val="right"/>
              <w:rPr>
                <w:rFonts w:cstheme="minorHAnsi"/>
                <w:color w:val="000000" w:themeColor="text1"/>
                <w:sz w:val="16"/>
                <w:szCs w:val="16"/>
              </w:rPr>
            </w:pPr>
            <w:bookmarkStart w:id="293" w:name="_Toc89892530"/>
            <w:bookmarkStart w:id="294" w:name="_Toc90552132"/>
            <w:r w:rsidRPr="00E359FA">
              <w:rPr>
                <w:rFonts w:cstheme="minorHAnsi"/>
                <w:color w:val="000000" w:themeColor="text1"/>
                <w:sz w:val="16"/>
                <w:szCs w:val="16"/>
              </w:rPr>
              <w:t>£4,546,397</w:t>
            </w:r>
            <w:bookmarkEnd w:id="293"/>
            <w:bookmarkEnd w:id="294"/>
          </w:p>
        </w:tc>
        <w:tc>
          <w:tcPr>
            <w:tcW w:w="1736" w:type="dxa"/>
            <w:vAlign w:val="center"/>
          </w:tcPr>
          <w:p w14:paraId="4559A083" w14:textId="5873D794" w:rsidR="00A1389D" w:rsidRPr="00E359FA" w:rsidRDefault="00A1389D" w:rsidP="003B35B0">
            <w:pPr>
              <w:jc w:val="right"/>
              <w:rPr>
                <w:rFonts w:cstheme="minorHAnsi"/>
                <w:color w:val="000000" w:themeColor="text1"/>
                <w:sz w:val="16"/>
                <w:szCs w:val="16"/>
              </w:rPr>
            </w:pPr>
            <w:bookmarkStart w:id="295" w:name="_Toc89892531"/>
            <w:bookmarkStart w:id="296" w:name="_Toc90552133"/>
            <w:r w:rsidRPr="00E359FA">
              <w:rPr>
                <w:rFonts w:cstheme="minorHAnsi"/>
                <w:color w:val="000000" w:themeColor="text1"/>
                <w:sz w:val="16"/>
                <w:szCs w:val="16"/>
              </w:rPr>
              <w:t>£820,87</w:t>
            </w:r>
            <w:r w:rsidR="0051770B">
              <w:rPr>
                <w:rFonts w:cstheme="minorHAnsi"/>
                <w:color w:val="000000" w:themeColor="text1"/>
                <w:sz w:val="16"/>
                <w:szCs w:val="16"/>
              </w:rPr>
              <w:t>5</w:t>
            </w:r>
            <w:bookmarkEnd w:id="295"/>
            <w:bookmarkEnd w:id="296"/>
          </w:p>
        </w:tc>
        <w:tc>
          <w:tcPr>
            <w:tcW w:w="1737" w:type="dxa"/>
            <w:vAlign w:val="center"/>
          </w:tcPr>
          <w:p w14:paraId="1A6F8A59" w14:textId="3DB2CF8E" w:rsidR="00A1389D" w:rsidRPr="00E359FA" w:rsidRDefault="00A1389D" w:rsidP="003B35B0">
            <w:pPr>
              <w:jc w:val="right"/>
              <w:rPr>
                <w:rFonts w:cstheme="minorHAnsi"/>
                <w:color w:val="000000" w:themeColor="text1"/>
                <w:sz w:val="16"/>
                <w:szCs w:val="16"/>
              </w:rPr>
            </w:pPr>
            <w:bookmarkStart w:id="297" w:name="_Toc89892532"/>
            <w:bookmarkStart w:id="298" w:name="_Toc90552134"/>
            <w:r w:rsidRPr="00E359FA">
              <w:rPr>
                <w:rFonts w:cstheme="minorHAnsi"/>
                <w:color w:val="000000" w:themeColor="text1"/>
                <w:sz w:val="16"/>
                <w:szCs w:val="16"/>
              </w:rPr>
              <w:t>£58,373,830</w:t>
            </w:r>
            <w:bookmarkEnd w:id="297"/>
            <w:bookmarkEnd w:id="298"/>
          </w:p>
        </w:tc>
      </w:tr>
      <w:tr w:rsidR="00A1389D" w:rsidRPr="006B3AC6" w14:paraId="7118DCF6" w14:textId="77777777" w:rsidTr="003B35B0">
        <w:trPr>
          <w:trHeight w:val="96"/>
        </w:trPr>
        <w:tc>
          <w:tcPr>
            <w:tcW w:w="2410" w:type="dxa"/>
            <w:shd w:val="clear" w:color="auto" w:fill="2363AF"/>
            <w:vAlign w:val="center"/>
          </w:tcPr>
          <w:p w14:paraId="63917D2B" w14:textId="56584B5F" w:rsidR="00A1389D" w:rsidRPr="009E7F4C" w:rsidRDefault="00A1389D" w:rsidP="003B35B0">
            <w:pPr>
              <w:rPr>
                <w:rFonts w:cstheme="minorHAnsi"/>
                <w:color w:val="FFFFFF" w:themeColor="background1"/>
                <w:sz w:val="16"/>
                <w:szCs w:val="16"/>
              </w:rPr>
            </w:pPr>
            <w:bookmarkStart w:id="299" w:name="_Toc89892533"/>
            <w:bookmarkStart w:id="300" w:name="_Toc90552135"/>
            <w:r w:rsidRPr="009E7F4C">
              <w:rPr>
                <w:rFonts w:cstheme="minorHAnsi"/>
                <w:color w:val="FFFFFF" w:themeColor="background1"/>
                <w:sz w:val="16"/>
                <w:szCs w:val="16"/>
              </w:rPr>
              <w:t>Total</w:t>
            </w:r>
            <w:bookmarkEnd w:id="299"/>
            <w:bookmarkEnd w:id="300"/>
          </w:p>
        </w:tc>
        <w:tc>
          <w:tcPr>
            <w:tcW w:w="1736" w:type="dxa"/>
            <w:shd w:val="clear" w:color="auto" w:fill="2363AF"/>
            <w:vAlign w:val="center"/>
          </w:tcPr>
          <w:p w14:paraId="5F7BC684" w14:textId="6B4CD3F5" w:rsidR="00A1389D" w:rsidRPr="003B35B0" w:rsidRDefault="00A1389D" w:rsidP="003B35B0">
            <w:pPr>
              <w:jc w:val="right"/>
              <w:rPr>
                <w:rFonts w:cstheme="minorHAnsi"/>
                <w:color w:val="FFFFFF" w:themeColor="background1"/>
                <w:sz w:val="16"/>
                <w:szCs w:val="16"/>
              </w:rPr>
            </w:pPr>
            <w:r w:rsidRPr="003B35B0">
              <w:rPr>
                <w:color w:val="FFFFFF" w:themeColor="background1"/>
                <w:sz w:val="16"/>
                <w:szCs w:val="16"/>
              </w:rPr>
              <w:t>£448,015,77</w:t>
            </w:r>
            <w:r w:rsidR="0051770B" w:rsidRPr="003B35B0">
              <w:rPr>
                <w:color w:val="FFFFFF" w:themeColor="background1"/>
                <w:sz w:val="16"/>
                <w:szCs w:val="16"/>
              </w:rPr>
              <w:t>8</w:t>
            </w:r>
          </w:p>
        </w:tc>
        <w:tc>
          <w:tcPr>
            <w:tcW w:w="1737" w:type="dxa"/>
            <w:shd w:val="clear" w:color="auto" w:fill="2363AF"/>
            <w:vAlign w:val="center"/>
          </w:tcPr>
          <w:p w14:paraId="2A7BA560" w14:textId="77777777" w:rsidR="00A1389D" w:rsidRPr="003B35B0" w:rsidRDefault="00A1389D" w:rsidP="003B35B0">
            <w:pPr>
              <w:jc w:val="right"/>
              <w:rPr>
                <w:rFonts w:cstheme="minorHAnsi"/>
                <w:color w:val="FFFFFF" w:themeColor="background1"/>
                <w:sz w:val="16"/>
                <w:szCs w:val="16"/>
              </w:rPr>
            </w:pPr>
            <w:r w:rsidRPr="003B35B0">
              <w:rPr>
                <w:color w:val="FFFFFF" w:themeColor="background1"/>
                <w:sz w:val="16"/>
                <w:szCs w:val="16"/>
              </w:rPr>
              <w:t>£24,300,382</w:t>
            </w:r>
          </w:p>
        </w:tc>
        <w:tc>
          <w:tcPr>
            <w:tcW w:w="1736" w:type="dxa"/>
            <w:shd w:val="clear" w:color="auto" w:fill="2363AF"/>
            <w:vAlign w:val="center"/>
          </w:tcPr>
          <w:p w14:paraId="64840B2C" w14:textId="7D6C434E" w:rsidR="00A1389D" w:rsidRPr="003B35B0" w:rsidRDefault="00A1389D" w:rsidP="003B35B0">
            <w:pPr>
              <w:jc w:val="right"/>
              <w:rPr>
                <w:rFonts w:cstheme="minorHAnsi"/>
                <w:color w:val="FFFFFF" w:themeColor="background1"/>
                <w:sz w:val="16"/>
                <w:szCs w:val="16"/>
              </w:rPr>
            </w:pPr>
            <w:r w:rsidRPr="003B35B0">
              <w:rPr>
                <w:color w:val="FFFFFF" w:themeColor="background1"/>
                <w:sz w:val="16"/>
                <w:szCs w:val="16"/>
              </w:rPr>
              <w:t>£1,613,21</w:t>
            </w:r>
            <w:r w:rsidR="0051770B" w:rsidRPr="003B35B0">
              <w:rPr>
                <w:color w:val="FFFFFF" w:themeColor="background1"/>
                <w:sz w:val="16"/>
                <w:szCs w:val="16"/>
              </w:rPr>
              <w:t>7</w:t>
            </w:r>
          </w:p>
        </w:tc>
        <w:tc>
          <w:tcPr>
            <w:tcW w:w="1737" w:type="dxa"/>
            <w:shd w:val="clear" w:color="auto" w:fill="2363AF"/>
            <w:vAlign w:val="center"/>
          </w:tcPr>
          <w:p w14:paraId="38AD72C6" w14:textId="0FD14E36" w:rsidR="00A1389D" w:rsidRPr="003B35B0" w:rsidRDefault="00A1389D" w:rsidP="003B35B0">
            <w:pPr>
              <w:jc w:val="right"/>
              <w:rPr>
                <w:rFonts w:cstheme="minorHAnsi"/>
                <w:color w:val="FFFFFF" w:themeColor="background1"/>
                <w:sz w:val="16"/>
                <w:szCs w:val="16"/>
              </w:rPr>
            </w:pPr>
            <w:r w:rsidRPr="003B35B0">
              <w:rPr>
                <w:color w:val="FFFFFF" w:themeColor="background1"/>
                <w:sz w:val="16"/>
                <w:szCs w:val="16"/>
              </w:rPr>
              <w:t>£473,929,377</w:t>
            </w:r>
          </w:p>
        </w:tc>
      </w:tr>
    </w:tbl>
    <w:p w14:paraId="61E1AAB3" w14:textId="77777777" w:rsidR="00A1389D" w:rsidRPr="006B3AC6" w:rsidRDefault="00A1389D" w:rsidP="00A1389D">
      <w:pPr>
        <w:rPr>
          <w:rStyle w:val="Heading3Char"/>
          <w:rFonts w:cstheme="minorHAnsi"/>
          <w:sz w:val="20"/>
          <w:szCs w:val="20"/>
        </w:rPr>
      </w:pPr>
    </w:p>
    <w:p w14:paraId="295E6D12" w14:textId="4C4D5779" w:rsidR="00A1389D" w:rsidRDefault="00A1389D" w:rsidP="003B35B0">
      <w:pPr>
        <w:pStyle w:val="CH4normal"/>
        <w:ind w:left="567" w:hanging="567"/>
      </w:pPr>
      <w:bookmarkStart w:id="301" w:name="_Toc90552136"/>
      <w:bookmarkStart w:id="302" w:name="_Toc89892534"/>
      <w:r w:rsidRPr="00C944FE">
        <w:rPr>
          <w:b/>
          <w:bCs/>
        </w:rPr>
        <w:t>Figure 4.3</w:t>
      </w:r>
      <w:r w:rsidRPr="00BE30D1">
        <w:t xml:space="preserve"> shows the trend in </w:t>
      </w:r>
      <w:r w:rsidR="00DA6B3F">
        <w:t xml:space="preserve">ROCs submitted and payments made (expressed as a </w:t>
      </w:r>
      <w:r w:rsidR="00B408B3">
        <w:t xml:space="preserve">number of ROCs) towards </w:t>
      </w:r>
      <w:r w:rsidR="00DA6B3F">
        <w:t xml:space="preserve">the </w:t>
      </w:r>
      <w:r w:rsidRPr="00BE30D1">
        <w:t xml:space="preserve">UK obligation since 2008-09. </w:t>
      </w:r>
      <w:r w:rsidR="00822768" w:rsidRPr="00822768">
        <w:t>The proportion</w:t>
      </w:r>
      <w:r w:rsidR="00B408B3">
        <w:t xml:space="preserve"> of the UK obligation</w:t>
      </w:r>
      <w:r w:rsidR="00822768" w:rsidRPr="00822768">
        <w:t xml:space="preserve"> met </w:t>
      </w:r>
      <w:r w:rsidR="00B408B3">
        <w:t>through</w:t>
      </w:r>
      <w:r w:rsidR="00822768" w:rsidRPr="00822768">
        <w:t xml:space="preserve"> ROCs in the 2020-21 year</w:t>
      </w:r>
      <w:r w:rsidR="00227C99">
        <w:t xml:space="preserve"> was 88.4%</w:t>
      </w:r>
      <w:r w:rsidR="00822768" w:rsidRPr="00822768">
        <w:t xml:space="preserve"> </w:t>
      </w:r>
      <w:r w:rsidR="00227C99">
        <w:t>which is a d</w:t>
      </w:r>
      <w:r w:rsidR="00822768" w:rsidRPr="00822768">
        <w:t>ecrease compared to the</w:t>
      </w:r>
      <w:r w:rsidR="00227C99">
        <w:t xml:space="preserve"> 89.1% reported for</w:t>
      </w:r>
      <w:r w:rsidR="00822768" w:rsidRPr="00822768">
        <w:t xml:space="preserve"> 2019-20</w:t>
      </w:r>
      <w:r w:rsidR="00227C99">
        <w:t>.</w:t>
      </w:r>
      <w:r w:rsidR="00822768" w:rsidRPr="00822768">
        <w:t xml:space="preserve"> </w:t>
      </w:r>
      <w:r w:rsidR="004D1198">
        <w:t xml:space="preserve">This was accompanied by a </w:t>
      </w:r>
      <w:r w:rsidR="00822768" w:rsidRPr="00822768">
        <w:t>decrease in the proportion met through contributions to the buy-out fund</w:t>
      </w:r>
      <w:r w:rsidR="004D1198">
        <w:t xml:space="preserve"> (down from 9.27%</w:t>
      </w:r>
      <w:r w:rsidR="00822768" w:rsidRPr="00822768">
        <w:t xml:space="preserve"> </w:t>
      </w:r>
      <w:r w:rsidR="004D1198">
        <w:t xml:space="preserve">in 2019-20 to 6.97%) </w:t>
      </w:r>
      <w:r w:rsidR="00822768" w:rsidRPr="00822768">
        <w:t>or late payment fund</w:t>
      </w:r>
      <w:r w:rsidR="004D1198">
        <w:t xml:space="preserve"> (down from 1.15% in 2019-20 to 0.98%)</w:t>
      </w:r>
      <w:r w:rsidR="00822768" w:rsidRPr="00822768">
        <w:t>.</w:t>
      </w:r>
      <w:r w:rsidR="003D189D">
        <w:t xml:space="preserve"> </w:t>
      </w:r>
      <w:r w:rsidR="004D1198">
        <w:t xml:space="preserve">This </w:t>
      </w:r>
      <w:r w:rsidR="004D1198">
        <w:lastRenderedPageBreak/>
        <w:t xml:space="preserve">meant that there was a 3.65% </w:t>
      </w:r>
      <w:bookmarkEnd w:id="301"/>
      <w:r w:rsidRPr="00BE30D1">
        <w:t xml:space="preserve">shortfall for the 2020-21 year </w:t>
      </w:r>
      <w:r w:rsidR="004D1198">
        <w:t xml:space="preserve">which </w:t>
      </w:r>
      <w:r w:rsidRPr="00BE30D1">
        <w:t>was significantly high</w:t>
      </w:r>
      <w:r w:rsidR="001C7EA4">
        <w:t>er</w:t>
      </w:r>
      <w:r w:rsidRPr="00BE30D1">
        <w:t xml:space="preserve"> th</w:t>
      </w:r>
      <w:r w:rsidR="004D1198">
        <w:t>an in previous</w:t>
      </w:r>
      <w:r w:rsidRPr="00BE30D1">
        <w:t xml:space="preserve"> compliance round</w:t>
      </w:r>
      <w:r w:rsidR="004D1198">
        <w:t>s</w:t>
      </w:r>
      <w:r w:rsidRPr="00BE30D1">
        <w:t>.</w:t>
      </w:r>
      <w:r w:rsidRPr="00C944FE">
        <w:rPr>
          <w:vertAlign w:val="superscript"/>
        </w:rPr>
        <w:footnoteReference w:id="64"/>
      </w:r>
      <w:bookmarkEnd w:id="302"/>
      <w:r w:rsidRPr="00BE30D1">
        <w:t xml:space="preserve"> </w:t>
      </w:r>
    </w:p>
    <w:p w14:paraId="03D0AEF5" w14:textId="1C0193EC" w:rsidR="006B4F8E" w:rsidRDefault="003D189D" w:rsidP="00C13F5C">
      <w:pPr>
        <w:rPr>
          <w:noProof/>
        </w:rPr>
      </w:pPr>
      <w:r w:rsidRPr="003B35B0">
        <w:rPr>
          <w:rFonts w:eastAsiaTheme="minorEastAsia" w:cstheme="minorHAnsi"/>
          <w:b/>
          <w:color w:val="000000" w:themeColor="text1"/>
        </w:rPr>
        <w:t xml:space="preserve">Figure 4.3: </w:t>
      </w:r>
      <w:r w:rsidR="00B408B3" w:rsidRPr="00911209">
        <w:rPr>
          <w:rFonts w:eastAsiaTheme="minorEastAsia" w:cstheme="minorHAnsi"/>
          <w:b/>
          <w:color w:val="000000" w:themeColor="text1"/>
        </w:rPr>
        <w:t xml:space="preserve">ROCs submitted and payments made towards the </w:t>
      </w:r>
      <w:r w:rsidRPr="003B35B0">
        <w:rPr>
          <w:rFonts w:eastAsiaTheme="minorEastAsia" w:cstheme="minorHAnsi"/>
          <w:b/>
          <w:color w:val="000000" w:themeColor="text1"/>
        </w:rPr>
        <w:t>UK Obligation since 2008-09</w:t>
      </w:r>
      <w:r w:rsidR="00060AA8" w:rsidRPr="00060AA8">
        <w:rPr>
          <w:noProof/>
        </w:rPr>
        <w:t xml:space="preserve"> </w:t>
      </w:r>
    </w:p>
    <w:p w14:paraId="7B02519B" w14:textId="787D7810" w:rsidR="00202EC5" w:rsidRDefault="00202EC5" w:rsidP="00C13F5C">
      <w:pPr>
        <w:rPr>
          <w:rFonts w:eastAsiaTheme="minorEastAsia" w:cstheme="minorHAnsi"/>
          <w:b/>
          <w:color w:val="000000" w:themeColor="text1"/>
        </w:rPr>
      </w:pPr>
      <w:r>
        <w:rPr>
          <w:noProof/>
        </w:rPr>
        <w:drawing>
          <wp:inline distT="0" distB="0" distL="0" distR="0" wp14:anchorId="0073E4B1" wp14:editId="3816E376">
            <wp:extent cx="6120130" cy="3130061"/>
            <wp:effectExtent l="0" t="0" r="0" b="0"/>
            <wp:docPr id="205" name="Chart 205" descr="This chart shows the ROCs submitted and payments made (expressed as a number of ROCs)towards the UK obligation since 2008-09. ROC submissions make up the largest contribution towards the obligation in all years. &#10;&#10;The data used to produce this chart is published alongside this report on our website.">
              <a:extLst xmlns:a="http://schemas.openxmlformats.org/drawingml/2006/main">
                <a:ext uri="{FF2B5EF4-FFF2-40B4-BE49-F238E27FC236}">
                  <a16:creationId xmlns:a16="http://schemas.microsoft.com/office/drawing/2014/main" id="{126B8AD3-5736-416D-AC6C-2580280E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E88CBA" w14:textId="40278811" w:rsidR="00A1389D" w:rsidRPr="003B35B0" w:rsidRDefault="00273830" w:rsidP="003B35B0">
      <w:pPr>
        <w:pStyle w:val="Heading3"/>
        <w:rPr>
          <w:rStyle w:val="Heading3Char"/>
        </w:rPr>
      </w:pPr>
      <w:r w:rsidRPr="003B35B0">
        <w:rPr>
          <w:rStyle w:val="Heading3Char"/>
        </w:rPr>
        <w:t>Value of the scheme</w:t>
      </w:r>
    </w:p>
    <w:p w14:paraId="65755111" w14:textId="63E56BCF" w:rsidR="00A1389D" w:rsidRPr="00BE30D1" w:rsidRDefault="005131E2" w:rsidP="003B35B0">
      <w:pPr>
        <w:pStyle w:val="CH4normal"/>
        <w:ind w:left="567" w:hanging="567"/>
      </w:pPr>
      <w:bookmarkStart w:id="303" w:name="_Toc89892536"/>
      <w:bookmarkStart w:id="304" w:name="_Toc90552138"/>
      <w:r>
        <w:t xml:space="preserve">Suppliers who presented ROCs </w:t>
      </w:r>
      <w:r w:rsidRPr="005131E2">
        <w:t xml:space="preserve">towards their 2020-21 obligation receive a share of the buyout and late </w:t>
      </w:r>
      <w:r>
        <w:t>payment funds</w:t>
      </w:r>
      <w:r w:rsidRPr="005131E2">
        <w:t xml:space="preserve">. The total amount redistributed (as covered in section </w:t>
      </w:r>
      <w:r>
        <w:t>4.</w:t>
      </w:r>
      <w:r w:rsidR="00075E6D">
        <w:t>40</w:t>
      </w:r>
      <w:r w:rsidRPr="005131E2">
        <w:t>) is divided by the 105.3</w:t>
      </w:r>
      <w:r w:rsidR="00032947">
        <w:t xml:space="preserve"> million</w:t>
      </w:r>
      <w:r w:rsidRPr="005131E2">
        <w:t xml:space="preserve"> ROCs redeemed to give the amount suppliers receive back for each ROC they presented. This is the ROC recycle value which for 2020-21 was</w:t>
      </w:r>
      <w:r w:rsidR="00A1389D" w:rsidRPr="00BE30D1">
        <w:t xml:space="preserve"> £4.42. When added to the buy-out price of £50.05 for each ROC presented, the total notional worth of a ROC for this obligation period was £54.47. Suppliers will receive a further mutualisation recycle value once the mutualisation process for this compliance period is complete.</w:t>
      </w:r>
      <w:r w:rsidR="00A1389D" w:rsidRPr="00AE0B76">
        <w:rPr>
          <w:vertAlign w:val="superscript"/>
        </w:rPr>
        <w:footnoteReference w:id="65"/>
      </w:r>
      <w:bookmarkEnd w:id="303"/>
      <w:bookmarkEnd w:id="304"/>
    </w:p>
    <w:p w14:paraId="60B3F315" w14:textId="5BE2638C" w:rsidR="00A1389D" w:rsidRPr="00BE30D1" w:rsidRDefault="00A1389D" w:rsidP="003B35B0">
      <w:pPr>
        <w:pStyle w:val="CH4normal"/>
        <w:ind w:left="567" w:hanging="567"/>
      </w:pPr>
      <w:bookmarkStart w:id="305" w:name="_Toc89892537"/>
      <w:bookmarkStart w:id="306" w:name="_Toc90552139"/>
      <w:r w:rsidRPr="00AE0B76">
        <w:rPr>
          <w:b/>
          <w:bCs/>
        </w:rPr>
        <w:t>Table 4.</w:t>
      </w:r>
      <w:r w:rsidR="00513A7C">
        <w:rPr>
          <w:b/>
          <w:bCs/>
        </w:rPr>
        <w:t>7</w:t>
      </w:r>
      <w:r w:rsidRPr="00BE30D1">
        <w:t xml:space="preserve"> below shows the total value of the scheme in an obligation period is the worth of a ROC multiplied by the number of ROCs presented for compliance by suppliers. In 2020-21 suppliers presented 105.3 million ROCs each worth £54.47 giving a scheme value of £5.73 billion. The </w:t>
      </w:r>
      <w:r w:rsidR="001E5D4B">
        <w:t>change</w:t>
      </w:r>
      <w:r w:rsidR="001E5D4B" w:rsidRPr="00BE30D1">
        <w:t xml:space="preserve"> </w:t>
      </w:r>
      <w:r w:rsidRPr="00BE30D1">
        <w:t xml:space="preserve">in scheme value can be seen in </w:t>
      </w:r>
      <w:r w:rsidRPr="00AE0B76">
        <w:rPr>
          <w:b/>
          <w:bCs/>
        </w:rPr>
        <w:t>Figure 4.4</w:t>
      </w:r>
      <w:r w:rsidRPr="00BE30D1">
        <w:t>.</w:t>
      </w:r>
      <w:bookmarkEnd w:id="305"/>
      <w:bookmarkEnd w:id="306"/>
    </w:p>
    <w:p w14:paraId="72815AC5" w14:textId="1711CD5A" w:rsidR="00A1389D" w:rsidRPr="006B3AC6" w:rsidRDefault="00A1389D" w:rsidP="00A1389D">
      <w:pPr>
        <w:rPr>
          <w:rFonts w:eastAsiaTheme="minorEastAsia" w:cstheme="minorHAnsi"/>
          <w:b/>
          <w:color w:val="000000" w:themeColor="text1"/>
        </w:rPr>
      </w:pPr>
      <w:bookmarkStart w:id="307" w:name="_Hlk89782225"/>
      <w:r w:rsidRPr="006B3AC6">
        <w:rPr>
          <w:rFonts w:eastAsiaTheme="minorEastAsia" w:cstheme="minorHAnsi"/>
          <w:b/>
          <w:color w:val="000000" w:themeColor="text1"/>
        </w:rPr>
        <w:lastRenderedPageBreak/>
        <w:t>Table 4.</w:t>
      </w:r>
      <w:r w:rsidR="00513A7C">
        <w:rPr>
          <w:rFonts w:eastAsiaTheme="minorEastAsia" w:cstheme="minorHAnsi"/>
          <w:b/>
          <w:color w:val="000000" w:themeColor="text1"/>
        </w:rPr>
        <w:t>7</w:t>
      </w:r>
      <w:r w:rsidRPr="006B3AC6">
        <w:rPr>
          <w:rFonts w:eastAsiaTheme="minorEastAsia" w:cstheme="minorHAnsi"/>
          <w:b/>
          <w:color w:val="000000" w:themeColor="text1"/>
        </w:rPr>
        <w:t xml:space="preserve"> Determination of ROC recycle value 2020-21</w:t>
      </w:r>
      <w:r w:rsidRPr="006B3AC6">
        <w:rPr>
          <w:rStyle w:val="FootnoteReference"/>
          <w:rFonts w:eastAsiaTheme="minorEastAsia" w:cstheme="minorHAnsi"/>
          <w:b/>
          <w:color w:val="000000" w:themeColor="text1"/>
        </w:rPr>
        <w:footnoteReference w:id="66"/>
      </w:r>
    </w:p>
    <w:tbl>
      <w:tblPr>
        <w:tblStyle w:val="TableGrid"/>
        <w:tblW w:w="9356" w:type="dxa"/>
        <w:tblInd w:w="-5" w:type="dxa"/>
        <w:tblLayout w:type="fixed"/>
        <w:tblLook w:val="04A0" w:firstRow="1" w:lastRow="0" w:firstColumn="1" w:lastColumn="0" w:noHBand="0" w:noVBand="1"/>
      </w:tblPr>
      <w:tblGrid>
        <w:gridCol w:w="1701"/>
        <w:gridCol w:w="1134"/>
        <w:gridCol w:w="1418"/>
        <w:gridCol w:w="1417"/>
        <w:gridCol w:w="1276"/>
        <w:gridCol w:w="1276"/>
        <w:gridCol w:w="1134"/>
      </w:tblGrid>
      <w:tr w:rsidR="00035A3A" w:rsidRPr="006B3AC6" w14:paraId="32FA1F08" w14:textId="77777777" w:rsidTr="003B35B0">
        <w:trPr>
          <w:trHeight w:val="949"/>
        </w:trPr>
        <w:tc>
          <w:tcPr>
            <w:tcW w:w="1701" w:type="dxa"/>
            <w:tcBorders>
              <w:left w:val="single" w:sz="4" w:space="0" w:color="auto"/>
            </w:tcBorders>
            <w:shd w:val="clear" w:color="auto" w:fill="2363AF"/>
            <w:vAlign w:val="center"/>
          </w:tcPr>
          <w:p w14:paraId="566D9189" w14:textId="20FFA0DB" w:rsidR="00035A3A" w:rsidRPr="00CE5ABF" w:rsidRDefault="00035A3A" w:rsidP="00CE5ABF">
            <w:pPr>
              <w:jc w:val="center"/>
              <w:rPr>
                <w:rFonts w:eastAsiaTheme="minorEastAsia" w:cstheme="minorHAnsi"/>
                <w:color w:val="FFFFFF" w:themeColor="background1"/>
                <w:sz w:val="16"/>
                <w:szCs w:val="16"/>
              </w:rPr>
            </w:pPr>
            <w:bookmarkStart w:id="308" w:name="_Hlk89782176"/>
            <w:bookmarkEnd w:id="307"/>
            <w:r w:rsidRPr="00CE5ABF">
              <w:rPr>
                <w:rFonts w:cstheme="minorHAnsi"/>
                <w:color w:val="FFFFFF" w:themeColor="background1"/>
                <w:sz w:val="16"/>
                <w:szCs w:val="16"/>
              </w:rPr>
              <w:t>Total buy-out and late payments redistributed</w:t>
            </w:r>
          </w:p>
        </w:tc>
        <w:tc>
          <w:tcPr>
            <w:tcW w:w="1134" w:type="dxa"/>
            <w:shd w:val="clear" w:color="auto" w:fill="2363AF"/>
            <w:vAlign w:val="center"/>
          </w:tcPr>
          <w:p w14:paraId="447522C4" w14:textId="77777777" w:rsidR="00035A3A" w:rsidRPr="00CE5ABF" w:rsidRDefault="00035A3A" w:rsidP="00CE5ABF">
            <w:pPr>
              <w:jc w:val="center"/>
              <w:rPr>
                <w:rFonts w:eastAsiaTheme="minorEastAsia" w:cstheme="minorHAnsi"/>
                <w:color w:val="FFFFFF" w:themeColor="background1"/>
                <w:sz w:val="16"/>
                <w:szCs w:val="16"/>
              </w:rPr>
            </w:pPr>
            <w:r w:rsidRPr="00CE5ABF">
              <w:rPr>
                <w:rFonts w:cstheme="minorHAnsi"/>
                <w:color w:val="FFFFFF" w:themeColor="background1"/>
                <w:sz w:val="16"/>
                <w:szCs w:val="16"/>
              </w:rPr>
              <w:t>Total ROCs presented (m)</w:t>
            </w:r>
          </w:p>
        </w:tc>
        <w:tc>
          <w:tcPr>
            <w:tcW w:w="1418" w:type="dxa"/>
            <w:shd w:val="clear" w:color="auto" w:fill="2363AF"/>
            <w:vAlign w:val="center"/>
          </w:tcPr>
          <w:p w14:paraId="5CC3858E" w14:textId="09E184C5" w:rsidR="00035A3A" w:rsidRPr="00CE5ABF" w:rsidRDefault="00035A3A" w:rsidP="00CE5ABF">
            <w:pPr>
              <w:jc w:val="center"/>
              <w:rPr>
                <w:rFonts w:eastAsiaTheme="minorEastAsia" w:cstheme="minorHAnsi"/>
                <w:color w:val="FFFFFF" w:themeColor="background1"/>
                <w:sz w:val="16"/>
                <w:szCs w:val="16"/>
              </w:rPr>
            </w:pPr>
            <w:r w:rsidRPr="00CE5ABF">
              <w:rPr>
                <w:rFonts w:cstheme="minorHAnsi"/>
                <w:color w:val="FFFFFF" w:themeColor="background1"/>
                <w:sz w:val="16"/>
                <w:szCs w:val="16"/>
              </w:rPr>
              <w:t>Recycle value per ROC presented</w:t>
            </w:r>
          </w:p>
        </w:tc>
        <w:tc>
          <w:tcPr>
            <w:tcW w:w="1417" w:type="dxa"/>
            <w:shd w:val="clear" w:color="auto" w:fill="2363AF"/>
            <w:vAlign w:val="center"/>
          </w:tcPr>
          <w:p w14:paraId="53E775F2" w14:textId="77777777" w:rsidR="00035A3A" w:rsidRPr="00CE5ABF" w:rsidRDefault="00035A3A" w:rsidP="00CE5ABF">
            <w:pPr>
              <w:jc w:val="center"/>
              <w:rPr>
                <w:rFonts w:eastAsiaTheme="minorEastAsia" w:cstheme="minorHAnsi"/>
                <w:color w:val="FFFFFF" w:themeColor="background1"/>
                <w:sz w:val="16"/>
                <w:szCs w:val="16"/>
              </w:rPr>
            </w:pPr>
            <w:r w:rsidRPr="00CE5ABF">
              <w:rPr>
                <w:rFonts w:cstheme="minorHAnsi"/>
                <w:color w:val="FFFFFF" w:themeColor="background1"/>
                <w:sz w:val="16"/>
                <w:szCs w:val="16"/>
              </w:rPr>
              <w:t>Worth of a ROC to a supplier</w:t>
            </w:r>
          </w:p>
        </w:tc>
        <w:tc>
          <w:tcPr>
            <w:tcW w:w="1276" w:type="dxa"/>
            <w:shd w:val="clear" w:color="auto" w:fill="2363AF"/>
            <w:vAlign w:val="center"/>
          </w:tcPr>
          <w:p w14:paraId="71A4AB30" w14:textId="2BAF2421" w:rsidR="00035A3A" w:rsidRPr="00CE5ABF" w:rsidRDefault="00035A3A" w:rsidP="00CE5ABF">
            <w:pPr>
              <w:jc w:val="center"/>
              <w:rPr>
                <w:rFonts w:eastAsiaTheme="minorEastAsia" w:cstheme="minorHAnsi"/>
                <w:color w:val="FFFFFF" w:themeColor="background1"/>
                <w:sz w:val="16"/>
                <w:szCs w:val="16"/>
              </w:rPr>
            </w:pPr>
            <w:bookmarkStart w:id="309" w:name="_Hlk97299208"/>
            <w:r w:rsidRPr="00CE5ABF">
              <w:rPr>
                <w:rFonts w:cstheme="minorHAnsi"/>
                <w:color w:val="FFFFFF" w:themeColor="background1"/>
                <w:sz w:val="16"/>
                <w:szCs w:val="16"/>
              </w:rPr>
              <w:t>Average ROCs issued/MWh</w:t>
            </w:r>
            <w:bookmarkEnd w:id="309"/>
          </w:p>
        </w:tc>
        <w:tc>
          <w:tcPr>
            <w:tcW w:w="1276" w:type="dxa"/>
            <w:shd w:val="clear" w:color="auto" w:fill="2363AF"/>
            <w:vAlign w:val="center"/>
          </w:tcPr>
          <w:p w14:paraId="55484E51" w14:textId="7909C00E" w:rsidR="00035A3A" w:rsidRPr="00CE5ABF" w:rsidRDefault="00035A3A" w:rsidP="00CE5ABF">
            <w:pPr>
              <w:jc w:val="center"/>
              <w:rPr>
                <w:rFonts w:eastAsiaTheme="minorEastAsia" w:cstheme="minorHAnsi"/>
                <w:color w:val="FFFFFF" w:themeColor="background1"/>
                <w:sz w:val="16"/>
                <w:szCs w:val="16"/>
              </w:rPr>
            </w:pPr>
            <w:bookmarkStart w:id="310" w:name="_Hlk97299075"/>
            <w:r w:rsidRPr="00CE5ABF">
              <w:rPr>
                <w:rFonts w:cstheme="minorHAnsi"/>
                <w:color w:val="FFFFFF" w:themeColor="background1"/>
                <w:sz w:val="16"/>
                <w:szCs w:val="16"/>
              </w:rPr>
              <w:t>Support per MWh supplied</w:t>
            </w:r>
            <w:bookmarkEnd w:id="310"/>
          </w:p>
        </w:tc>
        <w:tc>
          <w:tcPr>
            <w:tcW w:w="1134" w:type="dxa"/>
            <w:shd w:val="clear" w:color="auto" w:fill="2363AF"/>
            <w:vAlign w:val="center"/>
          </w:tcPr>
          <w:p w14:paraId="51F15942" w14:textId="0619D087" w:rsidR="00035A3A" w:rsidRPr="00CE5ABF" w:rsidRDefault="00035A3A" w:rsidP="00CE5ABF">
            <w:pPr>
              <w:jc w:val="center"/>
              <w:rPr>
                <w:rFonts w:cstheme="minorHAnsi"/>
                <w:color w:val="FFFFFF" w:themeColor="background1"/>
                <w:sz w:val="16"/>
                <w:szCs w:val="16"/>
              </w:rPr>
            </w:pPr>
            <w:r w:rsidRPr="00CE5ABF">
              <w:rPr>
                <w:rFonts w:cstheme="minorHAnsi"/>
                <w:color w:val="FFFFFF" w:themeColor="background1"/>
                <w:sz w:val="16"/>
                <w:szCs w:val="16"/>
              </w:rPr>
              <w:t>Scheme value</w:t>
            </w:r>
          </w:p>
        </w:tc>
      </w:tr>
      <w:tr w:rsidR="00035A3A" w:rsidRPr="006B3AC6" w14:paraId="5A601E6C" w14:textId="77777777" w:rsidTr="003B35B0">
        <w:trPr>
          <w:trHeight w:val="334"/>
        </w:trPr>
        <w:tc>
          <w:tcPr>
            <w:tcW w:w="1701" w:type="dxa"/>
            <w:vAlign w:val="center"/>
          </w:tcPr>
          <w:p w14:paraId="51D60C26" w14:textId="77777777"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cstheme="minorHAnsi"/>
                <w:bCs/>
                <w:color w:val="000000" w:themeColor="text1"/>
                <w:sz w:val="16"/>
                <w:szCs w:val="16"/>
              </w:rPr>
              <w:t>£465.9m</w:t>
            </w:r>
          </w:p>
        </w:tc>
        <w:tc>
          <w:tcPr>
            <w:tcW w:w="1134" w:type="dxa"/>
            <w:vAlign w:val="center"/>
          </w:tcPr>
          <w:p w14:paraId="1B9CF2BC" w14:textId="77777777"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cstheme="minorHAnsi"/>
                <w:bCs/>
                <w:color w:val="000000" w:themeColor="text1"/>
                <w:sz w:val="16"/>
                <w:szCs w:val="16"/>
              </w:rPr>
              <w:t>105.3</w:t>
            </w:r>
          </w:p>
        </w:tc>
        <w:tc>
          <w:tcPr>
            <w:tcW w:w="1418" w:type="dxa"/>
            <w:vAlign w:val="center"/>
          </w:tcPr>
          <w:p w14:paraId="6F18E378" w14:textId="77777777"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cstheme="minorHAnsi"/>
                <w:bCs/>
                <w:color w:val="000000" w:themeColor="text1"/>
                <w:sz w:val="16"/>
                <w:szCs w:val="16"/>
              </w:rPr>
              <w:t>£4.4</w:t>
            </w:r>
            <w:r>
              <w:rPr>
                <w:rFonts w:eastAsiaTheme="minorEastAsia" w:cstheme="minorHAnsi"/>
                <w:bCs/>
                <w:color w:val="000000" w:themeColor="text1"/>
                <w:sz w:val="16"/>
                <w:szCs w:val="16"/>
              </w:rPr>
              <w:t>2</w:t>
            </w:r>
          </w:p>
        </w:tc>
        <w:tc>
          <w:tcPr>
            <w:tcW w:w="1417" w:type="dxa"/>
            <w:vAlign w:val="center"/>
          </w:tcPr>
          <w:p w14:paraId="28DB763F" w14:textId="77777777"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cstheme="minorHAnsi"/>
                <w:bCs/>
                <w:color w:val="000000" w:themeColor="text1"/>
                <w:sz w:val="16"/>
                <w:szCs w:val="16"/>
              </w:rPr>
              <w:t>£54.4</w:t>
            </w:r>
            <w:r>
              <w:rPr>
                <w:rFonts w:eastAsiaTheme="minorEastAsia" w:cstheme="minorHAnsi"/>
                <w:bCs/>
                <w:color w:val="000000" w:themeColor="text1"/>
                <w:sz w:val="16"/>
                <w:szCs w:val="16"/>
              </w:rPr>
              <w:t>7</w:t>
            </w:r>
          </w:p>
        </w:tc>
        <w:tc>
          <w:tcPr>
            <w:tcW w:w="1276" w:type="dxa"/>
            <w:vAlign w:val="center"/>
          </w:tcPr>
          <w:p w14:paraId="065407E9" w14:textId="77777777"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bCs/>
                <w:color w:val="000000" w:themeColor="text1"/>
                <w:sz w:val="16"/>
                <w:szCs w:val="16"/>
              </w:rPr>
              <w:t>1.36</w:t>
            </w:r>
          </w:p>
        </w:tc>
        <w:tc>
          <w:tcPr>
            <w:tcW w:w="1276" w:type="dxa"/>
            <w:vAlign w:val="center"/>
          </w:tcPr>
          <w:p w14:paraId="60C031E3" w14:textId="41C1F28F" w:rsidR="00035A3A" w:rsidRPr="002E3196" w:rsidRDefault="00035A3A" w:rsidP="00CE5ABF">
            <w:pPr>
              <w:jc w:val="center"/>
              <w:rPr>
                <w:rFonts w:eastAsiaTheme="minorEastAsia" w:cstheme="minorHAnsi"/>
                <w:bCs/>
                <w:color w:val="000000" w:themeColor="text1"/>
                <w:sz w:val="16"/>
                <w:szCs w:val="16"/>
              </w:rPr>
            </w:pPr>
            <w:r w:rsidRPr="002E3196">
              <w:rPr>
                <w:rFonts w:eastAsiaTheme="minorEastAsia"/>
                <w:bCs/>
                <w:color w:val="000000" w:themeColor="text1"/>
                <w:sz w:val="16"/>
                <w:szCs w:val="16"/>
              </w:rPr>
              <w:t>£74.0</w:t>
            </w:r>
            <w:r w:rsidR="009A1A75">
              <w:rPr>
                <w:rFonts w:eastAsiaTheme="minorEastAsia"/>
                <w:bCs/>
                <w:color w:val="000000" w:themeColor="text1"/>
                <w:sz w:val="16"/>
                <w:szCs w:val="16"/>
              </w:rPr>
              <w:t>3</w:t>
            </w:r>
          </w:p>
        </w:tc>
        <w:tc>
          <w:tcPr>
            <w:tcW w:w="1134" w:type="dxa"/>
            <w:vAlign w:val="center"/>
          </w:tcPr>
          <w:p w14:paraId="4846ACCD" w14:textId="403B8588" w:rsidR="00035A3A" w:rsidRPr="002E3196" w:rsidRDefault="00035A3A" w:rsidP="00CE5ABF">
            <w:pPr>
              <w:jc w:val="center"/>
              <w:rPr>
                <w:rFonts w:eastAsiaTheme="minorEastAsia" w:cstheme="minorHAnsi"/>
                <w:color w:val="000000" w:themeColor="text1"/>
                <w:sz w:val="16"/>
                <w:szCs w:val="16"/>
              </w:rPr>
            </w:pPr>
            <w:r w:rsidRPr="002E3196">
              <w:rPr>
                <w:rFonts w:eastAsiaTheme="minorEastAsia" w:cstheme="minorHAnsi"/>
                <w:color w:val="000000" w:themeColor="text1"/>
                <w:sz w:val="16"/>
                <w:szCs w:val="16"/>
              </w:rPr>
              <w:t>£5.73b</w:t>
            </w:r>
            <w:r>
              <w:rPr>
                <w:rFonts w:eastAsiaTheme="minorEastAsia" w:cstheme="minorHAnsi"/>
                <w:color w:val="000000" w:themeColor="text1"/>
                <w:sz w:val="16"/>
                <w:szCs w:val="16"/>
              </w:rPr>
              <w:t>n</w:t>
            </w:r>
          </w:p>
        </w:tc>
      </w:tr>
      <w:bookmarkEnd w:id="308"/>
    </w:tbl>
    <w:p w14:paraId="7938D83A" w14:textId="77777777" w:rsidR="009C3BB0" w:rsidRDefault="009C3BB0" w:rsidP="00A1389D">
      <w:pPr>
        <w:rPr>
          <w:rFonts w:eastAsiaTheme="minorEastAsia" w:cstheme="minorHAnsi"/>
          <w:b/>
          <w:color w:val="000000" w:themeColor="text1"/>
        </w:rPr>
      </w:pPr>
    </w:p>
    <w:p w14:paraId="30B10ABC" w14:textId="7B886E5E" w:rsidR="00CE5ABF" w:rsidRPr="006B3AC6" w:rsidRDefault="00CE5ABF" w:rsidP="003B35B0">
      <w:pPr>
        <w:spacing w:line="276" w:lineRule="auto"/>
        <w:rPr>
          <w:rFonts w:eastAsiaTheme="minorEastAsia" w:cstheme="minorHAnsi"/>
          <w:b/>
          <w:color w:val="000000" w:themeColor="text1"/>
        </w:rPr>
      </w:pPr>
      <w:r>
        <w:rPr>
          <w:rFonts w:eastAsiaTheme="minorEastAsia" w:cstheme="minorHAnsi"/>
          <w:b/>
          <w:color w:val="000000" w:themeColor="text1"/>
        </w:rPr>
        <w:t>Figure 4.4:</w:t>
      </w:r>
      <w:r w:rsidR="004E0A39">
        <w:rPr>
          <w:rFonts w:eastAsiaTheme="minorEastAsia" w:cstheme="minorHAnsi"/>
          <w:b/>
          <w:color w:val="000000" w:themeColor="text1"/>
        </w:rPr>
        <w:t xml:space="preserve"> </w:t>
      </w:r>
      <w:r w:rsidR="001E5D4B">
        <w:rPr>
          <w:rFonts w:eastAsiaTheme="minorEastAsia" w:cstheme="minorHAnsi"/>
          <w:b/>
          <w:color w:val="000000" w:themeColor="text1"/>
        </w:rPr>
        <w:t xml:space="preserve">Change </w:t>
      </w:r>
      <w:r w:rsidR="004E0A39">
        <w:rPr>
          <w:rFonts w:eastAsiaTheme="minorEastAsia" w:cstheme="minorHAnsi"/>
          <w:b/>
          <w:color w:val="000000" w:themeColor="text1"/>
        </w:rPr>
        <w:t>in scheme value since 2002-03</w:t>
      </w:r>
    </w:p>
    <w:p w14:paraId="11970E59" w14:textId="3BFF0C6D" w:rsidR="00A1389D" w:rsidRPr="006B3AC6" w:rsidRDefault="009C3BB0" w:rsidP="00A1389D">
      <w:pPr>
        <w:spacing w:before="240" w:line="276" w:lineRule="auto"/>
        <w:rPr>
          <w:rFonts w:eastAsiaTheme="minorEastAsia" w:cstheme="minorHAnsi"/>
          <w:b/>
          <w:color w:val="000000" w:themeColor="text1"/>
        </w:rPr>
      </w:pPr>
      <w:r>
        <w:rPr>
          <w:noProof/>
        </w:rPr>
        <w:drawing>
          <wp:inline distT="0" distB="0" distL="0" distR="0" wp14:anchorId="215CE7B8" wp14:editId="5FF14C93">
            <wp:extent cx="6120130" cy="2800350"/>
            <wp:effectExtent l="0" t="0" r="0" b="0"/>
            <wp:docPr id="195" name="Chart 195" descr="This line chart shows the change in the RO scheme value since 2002-03. The scheme value grew every year before falling for the first time in 2020-21. &#10;&#10;The data used to produce this chart is published alongside this report on our website.">
              <a:extLst xmlns:a="http://schemas.openxmlformats.org/drawingml/2006/main">
                <a:ext uri="{FF2B5EF4-FFF2-40B4-BE49-F238E27FC236}">
                  <a16:creationId xmlns:a16="http://schemas.microsoft.com/office/drawing/2014/main" id="{029A87AD-F814-44B8-8502-2FE5461A6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F24BCB" w14:textId="1898EA3F" w:rsidR="002560C1" w:rsidRPr="002560C1" w:rsidRDefault="00A1389D" w:rsidP="003B35B0">
      <w:pPr>
        <w:pStyle w:val="CH4normal"/>
        <w:ind w:left="567" w:hanging="567"/>
      </w:pPr>
      <w:bookmarkStart w:id="311" w:name="_Toc89892538"/>
      <w:bookmarkStart w:id="312" w:name="_Toc90552140"/>
      <w:r w:rsidRPr="00BE30D1">
        <w:t xml:space="preserve">The average number of ROCs issued per MWh (from </w:t>
      </w:r>
      <w:r w:rsidRPr="001D7568">
        <w:rPr>
          <w:b/>
          <w:bCs/>
        </w:rPr>
        <w:t>Table 4.</w:t>
      </w:r>
      <w:r w:rsidR="00FA68A9">
        <w:rPr>
          <w:b/>
          <w:bCs/>
        </w:rPr>
        <w:t>7</w:t>
      </w:r>
      <w:r w:rsidRPr="00BE30D1">
        <w:t xml:space="preserve">) multiplied by the worth of a ROC gives the support (in £) per MWh generated for an obligation period. </w:t>
      </w:r>
      <w:r w:rsidR="00317A7E">
        <w:t>As shown in the table this was £74.0</w:t>
      </w:r>
      <w:r w:rsidR="0026099C">
        <w:t>3</w:t>
      </w:r>
      <w:r w:rsidR="00317A7E">
        <w:t xml:space="preserve"> during 2020-21.</w:t>
      </w:r>
      <w:r w:rsidR="00317A7E" w:rsidRPr="00BE30D1" w:rsidDel="00317A7E">
        <w:t xml:space="preserve"> </w:t>
      </w:r>
      <w:bookmarkEnd w:id="311"/>
      <w:bookmarkEnd w:id="312"/>
    </w:p>
    <w:p w14:paraId="571C66C6" w14:textId="3D5F1EB8" w:rsidR="00343D7A" w:rsidRDefault="00A1389D" w:rsidP="003B35B0">
      <w:pPr>
        <w:pStyle w:val="CH4normal"/>
        <w:ind w:left="567" w:hanging="567"/>
      </w:pPr>
      <w:bookmarkStart w:id="313" w:name="_Toc90552141"/>
      <w:bookmarkStart w:id="314" w:name="_Toc89892539"/>
      <w:r w:rsidRPr="00B344C1">
        <w:rPr>
          <w:b/>
          <w:bCs/>
        </w:rPr>
        <w:t>Figure 4.5</w:t>
      </w:r>
      <w:r w:rsidRPr="00B344C1">
        <w:t xml:space="preserve"> shows the cost of support in £ per MWh broken down by technology type. The chart</w:t>
      </w:r>
      <w:r w:rsidR="0028015D">
        <w:t>s</w:t>
      </w:r>
      <w:r w:rsidRPr="00B344C1">
        <w:t xml:space="preserve"> begin in 2008-09, before banding was introduced</w:t>
      </w:r>
      <w:r w:rsidRPr="001D7568">
        <w:rPr>
          <w:vertAlign w:val="superscript"/>
        </w:rPr>
        <w:footnoteReference w:id="67"/>
      </w:r>
      <w:r w:rsidRPr="00B344C1">
        <w:t xml:space="preserve">, when all technologies received one ROC per MWh generated. </w:t>
      </w:r>
      <w:r w:rsidR="00B344C1" w:rsidRPr="00B344C1">
        <w:t>There is a mix of increases and decreases from the previous year in the cost of support per MWh across different technology types, but the changes are relatively small</w:t>
      </w:r>
      <w:r w:rsidR="00F03339">
        <w:t xml:space="preserve"> and are at</w:t>
      </w:r>
      <w:r w:rsidR="006B4F8E">
        <w:t xml:space="preserve"> a</w:t>
      </w:r>
      <w:r w:rsidR="00F03339">
        <w:t xml:space="preserve"> similar level</w:t>
      </w:r>
      <w:r w:rsidR="001E5D4B">
        <w:t xml:space="preserve"> compared</w:t>
      </w:r>
      <w:r w:rsidR="00B344C1" w:rsidRPr="00B344C1">
        <w:t xml:space="preserve"> </w:t>
      </w:r>
      <w:r w:rsidR="00604D7C">
        <w:t>with</w:t>
      </w:r>
      <w:r w:rsidR="00B344C1" w:rsidRPr="00B344C1">
        <w:t xml:space="preserve"> the last two years</w:t>
      </w:r>
      <w:r w:rsidR="001E5D4B">
        <w:t>’</w:t>
      </w:r>
      <w:r w:rsidR="00B344C1" w:rsidRPr="00B344C1">
        <w:t xml:space="preserve"> figures.</w:t>
      </w:r>
    </w:p>
    <w:p w14:paraId="583E1116" w14:textId="77777777" w:rsidR="00273830" w:rsidRDefault="00273830">
      <w:pPr>
        <w:spacing w:line="276" w:lineRule="auto"/>
        <w:rPr>
          <w:rStyle w:val="Heading3Char"/>
          <w:rFonts w:eastAsiaTheme="minorEastAsia" w:cstheme="minorHAnsi"/>
          <w:color w:val="000000" w:themeColor="text1"/>
          <w:sz w:val="20"/>
          <w:szCs w:val="20"/>
        </w:rPr>
      </w:pPr>
      <w:r>
        <w:rPr>
          <w:rStyle w:val="Heading3Char"/>
          <w:rFonts w:eastAsiaTheme="minorEastAsia" w:cstheme="minorHAnsi"/>
          <w:color w:val="000000" w:themeColor="text1"/>
          <w:sz w:val="20"/>
          <w:szCs w:val="20"/>
        </w:rPr>
        <w:br w:type="page"/>
      </w:r>
    </w:p>
    <w:bookmarkEnd w:id="313"/>
    <w:bookmarkEnd w:id="314"/>
    <w:p w14:paraId="7EEB126D" w14:textId="0D327386" w:rsidR="00A1389D" w:rsidRPr="00B344C1" w:rsidRDefault="00294371" w:rsidP="003B35B0">
      <w:pPr>
        <w:rPr>
          <w:rStyle w:val="Heading3Char"/>
          <w:rFonts w:eastAsiaTheme="minorEastAsia" w:cstheme="minorHAnsi"/>
          <w:b/>
          <w:color w:val="000000" w:themeColor="text1"/>
          <w:sz w:val="20"/>
          <w:szCs w:val="20"/>
        </w:rPr>
      </w:pPr>
      <w:r w:rsidRPr="00B344C1">
        <w:rPr>
          <w:b/>
        </w:rPr>
        <w:lastRenderedPageBreak/>
        <w:t>Figure 4.5</w:t>
      </w:r>
      <w:r w:rsidR="00E80140">
        <w:rPr>
          <w:b/>
        </w:rPr>
        <w:t xml:space="preserve"> (a-g)</w:t>
      </w:r>
      <w:r w:rsidRPr="00B344C1">
        <w:rPr>
          <w:b/>
        </w:rPr>
        <w:t>: Value of support per MW</w:t>
      </w:r>
      <w:r w:rsidR="00132DD2">
        <w:rPr>
          <w:b/>
        </w:rPr>
        <w:t>h</w:t>
      </w:r>
      <w:r w:rsidRPr="00B344C1">
        <w:rPr>
          <w:b/>
        </w:rPr>
        <w:t xml:space="preserve"> for each technology since 2008-09 </w:t>
      </w:r>
    </w:p>
    <w:tbl>
      <w:tblPr>
        <w:tblStyle w:val="TableGrid"/>
        <w:tblW w:w="10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16"/>
      </w:tblGrid>
      <w:tr w:rsidR="00112D2E" w14:paraId="48D294F1" w14:textId="77777777" w:rsidTr="003B35B0">
        <w:trPr>
          <w:trHeight w:val="1432"/>
        </w:trPr>
        <w:tc>
          <w:tcPr>
            <w:tcW w:w="5346" w:type="dxa"/>
          </w:tcPr>
          <w:p w14:paraId="70FC38F0" w14:textId="63868809" w:rsidR="00112D2E" w:rsidRPr="001D7B7B" w:rsidRDefault="00112D2E" w:rsidP="003B35B0">
            <w:pPr>
              <w:spacing w:after="240" w:line="240" w:lineRule="auto"/>
              <w:jc w:val="center"/>
              <w:rPr>
                <w:b/>
              </w:rPr>
            </w:pPr>
            <w:r w:rsidRPr="001D7B7B">
              <w:rPr>
                <w:b/>
              </w:rPr>
              <w:t xml:space="preserve">a) </w:t>
            </w:r>
            <w:r w:rsidR="001D7B7B">
              <w:rPr>
                <w:b/>
              </w:rPr>
              <w:t>Offshore wind</w:t>
            </w:r>
          </w:p>
          <w:p w14:paraId="1AA9DBBC" w14:textId="0E586E11" w:rsidR="00112D2E" w:rsidRDefault="001D7B7B" w:rsidP="00A1389D">
            <w:pPr>
              <w:spacing w:after="240" w:line="240" w:lineRule="auto"/>
              <w:rPr>
                <w:b/>
              </w:rPr>
            </w:pPr>
            <w:r>
              <w:rPr>
                <w:noProof/>
              </w:rPr>
              <w:drawing>
                <wp:inline distT="0" distB="0" distL="0" distR="0" wp14:anchorId="105CBCB6" wp14:editId="0157A7D4">
                  <wp:extent cx="3105150" cy="2215802"/>
                  <wp:effectExtent l="0" t="0" r="0" b="0"/>
                  <wp:docPr id="210" name="Chart 210" descr="This line chart shows the change in the value of support per MWh for offshore wind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16" w:type="dxa"/>
          </w:tcPr>
          <w:p w14:paraId="080B1167" w14:textId="22DC87DE" w:rsidR="00112D2E" w:rsidRPr="003B35B0" w:rsidRDefault="00112D2E" w:rsidP="00112D2E">
            <w:pPr>
              <w:spacing w:after="240" w:line="240" w:lineRule="auto"/>
              <w:jc w:val="center"/>
              <w:rPr>
                <w:b/>
              </w:rPr>
            </w:pPr>
            <w:r w:rsidRPr="001D7B7B">
              <w:rPr>
                <w:b/>
              </w:rPr>
              <w:t xml:space="preserve">b) </w:t>
            </w:r>
            <w:r w:rsidR="001D7B7B">
              <w:rPr>
                <w:b/>
              </w:rPr>
              <w:t>Solar PV</w:t>
            </w:r>
          </w:p>
          <w:p w14:paraId="015F8734" w14:textId="5D254822" w:rsidR="00112D2E" w:rsidRPr="003B35B0" w:rsidRDefault="00F6150B">
            <w:pPr>
              <w:spacing w:after="240" w:line="240" w:lineRule="auto"/>
              <w:rPr>
                <w:bCs/>
              </w:rPr>
            </w:pPr>
            <w:r>
              <w:rPr>
                <w:noProof/>
              </w:rPr>
              <w:drawing>
                <wp:inline distT="0" distB="0" distL="0" distR="0" wp14:anchorId="268F8595" wp14:editId="559FCF17">
                  <wp:extent cx="3105150" cy="2215802"/>
                  <wp:effectExtent l="0" t="0" r="0" b="0"/>
                  <wp:docPr id="208" name="Chart 208" descr="This line chart shows the change in the value of support per MWh for solar PV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112D2E" w14:paraId="1D5CFDEA" w14:textId="77777777" w:rsidTr="003B35B0">
        <w:trPr>
          <w:trHeight w:val="1432"/>
        </w:trPr>
        <w:tc>
          <w:tcPr>
            <w:tcW w:w="5346" w:type="dxa"/>
          </w:tcPr>
          <w:p w14:paraId="0613E072" w14:textId="74E39711" w:rsidR="00112D2E" w:rsidRPr="003B35B0" w:rsidRDefault="00112D2E" w:rsidP="00112D2E">
            <w:pPr>
              <w:spacing w:after="240" w:line="240" w:lineRule="auto"/>
              <w:jc w:val="center"/>
              <w:rPr>
                <w:b/>
              </w:rPr>
            </w:pPr>
            <w:r w:rsidRPr="001D7B7B">
              <w:rPr>
                <w:b/>
              </w:rPr>
              <w:t xml:space="preserve">c) </w:t>
            </w:r>
            <w:r w:rsidR="001D7B7B">
              <w:rPr>
                <w:b/>
              </w:rPr>
              <w:t>Fuelled</w:t>
            </w:r>
          </w:p>
          <w:p w14:paraId="51A8C8D7" w14:textId="5A275625" w:rsidR="00112D2E" w:rsidRPr="003B35B0" w:rsidRDefault="001D7B7B">
            <w:pPr>
              <w:spacing w:after="240" w:line="240" w:lineRule="auto"/>
              <w:rPr>
                <w:bCs/>
              </w:rPr>
            </w:pPr>
            <w:r>
              <w:rPr>
                <w:noProof/>
              </w:rPr>
              <w:drawing>
                <wp:inline distT="0" distB="0" distL="0" distR="0" wp14:anchorId="72BF1C2E" wp14:editId="4A43DF67">
                  <wp:extent cx="3105150" cy="2215802"/>
                  <wp:effectExtent l="0" t="0" r="0" b="0"/>
                  <wp:docPr id="211" name="Chart 211" descr="This line chart shows the change in the value of support per MWh for fuelled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316" w:type="dxa"/>
          </w:tcPr>
          <w:p w14:paraId="4257DADE" w14:textId="6453A5F2" w:rsidR="00112D2E" w:rsidRPr="003B35B0" w:rsidRDefault="00112D2E" w:rsidP="00112D2E">
            <w:pPr>
              <w:spacing w:after="240" w:line="240" w:lineRule="auto"/>
              <w:jc w:val="center"/>
              <w:rPr>
                <w:b/>
              </w:rPr>
            </w:pPr>
            <w:r w:rsidRPr="001D7B7B">
              <w:rPr>
                <w:b/>
              </w:rPr>
              <w:t xml:space="preserve">d) </w:t>
            </w:r>
            <w:r w:rsidR="005B3F8D">
              <w:rPr>
                <w:b/>
              </w:rPr>
              <w:t>Hydro</w:t>
            </w:r>
          </w:p>
          <w:p w14:paraId="532DC149" w14:textId="78122454" w:rsidR="00112D2E" w:rsidRPr="003B35B0" w:rsidRDefault="005B3F8D">
            <w:pPr>
              <w:spacing w:after="240" w:line="240" w:lineRule="auto"/>
              <w:rPr>
                <w:bCs/>
              </w:rPr>
            </w:pPr>
            <w:r>
              <w:rPr>
                <w:noProof/>
              </w:rPr>
              <w:drawing>
                <wp:inline distT="0" distB="0" distL="0" distR="0" wp14:anchorId="30D27C03" wp14:editId="5429176A">
                  <wp:extent cx="3105150" cy="2215802"/>
                  <wp:effectExtent l="0" t="0" r="0" b="0"/>
                  <wp:docPr id="213" name="Chart 213" descr="This line chart shows the change in the value of support per MWh for hydro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112D2E" w14:paraId="5F4BED6E" w14:textId="77777777" w:rsidTr="003B35B0">
        <w:trPr>
          <w:trHeight w:val="1432"/>
        </w:trPr>
        <w:tc>
          <w:tcPr>
            <w:tcW w:w="5346" w:type="dxa"/>
          </w:tcPr>
          <w:p w14:paraId="01681BC3" w14:textId="0B91CBD3" w:rsidR="00112D2E" w:rsidRDefault="00112D2E">
            <w:pPr>
              <w:spacing w:after="240" w:line="240" w:lineRule="auto"/>
              <w:jc w:val="center"/>
              <w:rPr>
                <w:bCs/>
              </w:rPr>
            </w:pPr>
            <w:r w:rsidRPr="003B35B0">
              <w:rPr>
                <w:b/>
              </w:rPr>
              <w:t>e) Onshore wind</w:t>
            </w:r>
          </w:p>
          <w:p w14:paraId="1385BF2B" w14:textId="11FDCA3B" w:rsidR="005B3F8D" w:rsidRDefault="005B3F8D">
            <w:pPr>
              <w:spacing w:after="240" w:line="240" w:lineRule="auto"/>
              <w:rPr>
                <w:b/>
              </w:rPr>
            </w:pPr>
            <w:r>
              <w:rPr>
                <w:noProof/>
              </w:rPr>
              <w:drawing>
                <wp:inline distT="0" distB="0" distL="0" distR="0" wp14:anchorId="5043EA5D" wp14:editId="770344FD">
                  <wp:extent cx="3105150" cy="2215802"/>
                  <wp:effectExtent l="0" t="0" r="0" b="0"/>
                  <wp:docPr id="223" name="Chart 223" descr="This line chart shows the change in the value of support per MWh for onshore wind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5316" w:type="dxa"/>
          </w:tcPr>
          <w:p w14:paraId="471D5330" w14:textId="69FCE98F" w:rsidR="00112D2E" w:rsidRPr="003B35B0" w:rsidRDefault="00112D2E" w:rsidP="00112D2E">
            <w:pPr>
              <w:spacing w:after="240" w:line="240" w:lineRule="auto"/>
              <w:jc w:val="center"/>
              <w:rPr>
                <w:b/>
              </w:rPr>
            </w:pPr>
            <w:r w:rsidRPr="003B35B0">
              <w:rPr>
                <w:b/>
              </w:rPr>
              <w:t xml:space="preserve">f) </w:t>
            </w:r>
            <w:r w:rsidR="005B3F8D">
              <w:rPr>
                <w:b/>
              </w:rPr>
              <w:t>Landfill</w:t>
            </w:r>
            <w:r w:rsidRPr="003B35B0">
              <w:rPr>
                <w:b/>
              </w:rPr>
              <w:t xml:space="preserve"> gas</w:t>
            </w:r>
          </w:p>
          <w:p w14:paraId="0D03A134" w14:textId="2699110E" w:rsidR="00112D2E" w:rsidRPr="003B35B0" w:rsidRDefault="005B3F8D">
            <w:pPr>
              <w:spacing w:after="240" w:line="240" w:lineRule="auto"/>
              <w:rPr>
                <w:bCs/>
              </w:rPr>
            </w:pPr>
            <w:r>
              <w:rPr>
                <w:noProof/>
              </w:rPr>
              <w:drawing>
                <wp:inline distT="0" distB="0" distL="0" distR="0" wp14:anchorId="6D74CB54" wp14:editId="0080564B">
                  <wp:extent cx="3105150" cy="2215802"/>
                  <wp:effectExtent l="0" t="0" r="0" b="0"/>
                  <wp:docPr id="226" name="Chart 226" descr="This line chart shows the change in the value of support per MWh for landfill gas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12D2E" w14:paraId="40124ECC" w14:textId="77777777" w:rsidTr="003B35B0">
        <w:trPr>
          <w:trHeight w:val="1387"/>
        </w:trPr>
        <w:tc>
          <w:tcPr>
            <w:tcW w:w="5346" w:type="dxa"/>
          </w:tcPr>
          <w:p w14:paraId="5433859F" w14:textId="068EBD99" w:rsidR="00112D2E" w:rsidRPr="003B35B0" w:rsidRDefault="00112D2E" w:rsidP="00112D2E">
            <w:pPr>
              <w:spacing w:after="240" w:line="240" w:lineRule="auto"/>
              <w:jc w:val="center"/>
              <w:rPr>
                <w:b/>
              </w:rPr>
            </w:pPr>
            <w:r w:rsidRPr="001D7B7B">
              <w:rPr>
                <w:b/>
              </w:rPr>
              <w:lastRenderedPageBreak/>
              <w:t xml:space="preserve">g) </w:t>
            </w:r>
            <w:r w:rsidR="005B3F8D">
              <w:rPr>
                <w:b/>
              </w:rPr>
              <w:t>Sewage gas</w:t>
            </w:r>
          </w:p>
          <w:p w14:paraId="7EE06EDF" w14:textId="2D0C5C57" w:rsidR="00112D2E" w:rsidRPr="003B35B0" w:rsidRDefault="005B3F8D">
            <w:pPr>
              <w:spacing w:after="240" w:line="240" w:lineRule="auto"/>
              <w:rPr>
                <w:bCs/>
              </w:rPr>
            </w:pPr>
            <w:r>
              <w:rPr>
                <w:noProof/>
              </w:rPr>
              <w:drawing>
                <wp:inline distT="0" distB="0" distL="0" distR="0" wp14:anchorId="4A95D270" wp14:editId="6EA4569E">
                  <wp:extent cx="3105150" cy="2215802"/>
                  <wp:effectExtent l="0" t="0" r="0" b="0"/>
                  <wp:docPr id="236" name="Chart 236" descr="This line chart shows the change in the value of support per MWh for sewage gas stations since 2008-09. &#10;&#10;The data used to produce this chart is published alongside this report on our website.">
                    <a:extLst xmlns:a="http://schemas.openxmlformats.org/drawingml/2006/main">
                      <a:ext uri="{FF2B5EF4-FFF2-40B4-BE49-F238E27FC236}">
                        <a16:creationId xmlns:a16="http://schemas.microsoft.com/office/drawing/2014/main" id="{7DDBA3F7-016C-4D9D-AF50-CF40EE633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316" w:type="dxa"/>
          </w:tcPr>
          <w:p w14:paraId="030A6005" w14:textId="77777777" w:rsidR="00112D2E" w:rsidRDefault="00112D2E" w:rsidP="00A1389D">
            <w:pPr>
              <w:spacing w:after="240" w:line="240" w:lineRule="auto"/>
              <w:rPr>
                <w:b/>
              </w:rPr>
            </w:pPr>
          </w:p>
        </w:tc>
      </w:tr>
    </w:tbl>
    <w:p w14:paraId="5E2BC883" w14:textId="3C50FE00" w:rsidR="00A1389D" w:rsidRPr="003B35B0" w:rsidRDefault="00A1389D" w:rsidP="003B35B0">
      <w:pPr>
        <w:pStyle w:val="Heading3"/>
        <w:spacing w:before="120"/>
        <w:rPr>
          <w:rStyle w:val="Heading3Char"/>
        </w:rPr>
      </w:pPr>
      <w:r w:rsidRPr="003B35B0">
        <w:rPr>
          <w:rStyle w:val="Heading3Char"/>
        </w:rPr>
        <w:t xml:space="preserve">Redistribution </w:t>
      </w:r>
    </w:p>
    <w:p w14:paraId="4EA40043" w14:textId="77777777" w:rsidR="00A1389D" w:rsidRPr="00BE30D1" w:rsidRDefault="00A1389D" w:rsidP="003B35B0">
      <w:pPr>
        <w:pStyle w:val="CH4normal"/>
        <w:ind w:left="567" w:hanging="567"/>
      </w:pPr>
      <w:bookmarkStart w:id="315" w:name="_Toc89892542"/>
      <w:bookmarkStart w:id="316" w:name="_Toc90552143"/>
      <w:r w:rsidRPr="00BE30D1">
        <w:t>We redistribute the buy-out and late payment funds to suppliers using the single recycling mechanism. This means that we pay out the aggregate of the funds across the three obligations to suppliers in proportion to the number of ROCs each supplier presented across the three Orders.</w:t>
      </w:r>
      <w:r w:rsidRPr="00364C3B">
        <w:rPr>
          <w:vertAlign w:val="superscript"/>
        </w:rPr>
        <w:footnoteReference w:id="68"/>
      </w:r>
      <w:bookmarkEnd w:id="315"/>
      <w:bookmarkEnd w:id="316"/>
    </w:p>
    <w:p w14:paraId="3C3DD729" w14:textId="35ACF228" w:rsidR="00492A93" w:rsidRPr="00BE30D1" w:rsidRDefault="00492A93" w:rsidP="003B35B0">
      <w:pPr>
        <w:pStyle w:val="CH4normal"/>
        <w:ind w:left="567" w:hanging="567"/>
      </w:pPr>
      <w:r w:rsidRPr="00BE30D1">
        <w:t xml:space="preserve">As </w:t>
      </w:r>
      <w:r w:rsidRPr="00F91CE5">
        <w:rPr>
          <w:b/>
          <w:bCs/>
        </w:rPr>
        <w:t>Table 4.</w:t>
      </w:r>
      <w:r>
        <w:rPr>
          <w:b/>
          <w:bCs/>
        </w:rPr>
        <w:t xml:space="preserve">8 </w:t>
      </w:r>
      <w:r w:rsidRPr="003B35B0">
        <w:t>below</w:t>
      </w:r>
      <w:r w:rsidRPr="00BE30D1">
        <w:t xml:space="preserve"> summarises, the combined sum redistributed to suppliers from the buy-out and late payment funds was approximately £465.87 million. Full information on payments made to individual supply licences is included in </w:t>
      </w:r>
      <w:r w:rsidRPr="00F91CE5">
        <w:rPr>
          <w:b/>
          <w:bCs/>
        </w:rPr>
        <w:t xml:space="preserve">Appendix </w:t>
      </w:r>
      <w:r>
        <w:rPr>
          <w:b/>
          <w:bCs/>
        </w:rPr>
        <w:t>1</w:t>
      </w:r>
      <w:r w:rsidRPr="00BE30D1">
        <w:t>. Before making redistribution payments we withdrew £8.0</w:t>
      </w:r>
      <w:r>
        <w:t>6</w:t>
      </w:r>
      <w:r w:rsidRPr="00BE30D1">
        <w:t xml:space="preserve"> million for</w:t>
      </w:r>
      <w:r>
        <w:t xml:space="preserve"> our and NIAUR’s </w:t>
      </w:r>
      <w:r w:rsidRPr="00BE30D1">
        <w:t>scheme administration costs</w:t>
      </w:r>
      <w:r w:rsidRPr="00F91CE5">
        <w:rPr>
          <w:vertAlign w:val="superscript"/>
        </w:rPr>
        <w:footnoteReference w:id="69"/>
      </w:r>
      <w:r w:rsidRPr="00BE30D1">
        <w:t xml:space="preserve"> from the buy-out fund and rounded the redistribution amounts down to the nearest whole pound. We made the redistribution payments on 22 October 2021</w:t>
      </w:r>
      <w:r w:rsidR="00E80140" w:rsidRPr="00E80140">
        <w:t xml:space="preserve"> </w:t>
      </w:r>
      <w:r w:rsidR="00E80140" w:rsidRPr="00BE30D1">
        <w:t>in advance of the legislative deadline of 1 November 2021.</w:t>
      </w:r>
      <w:r w:rsidRPr="00F91CE5">
        <w:rPr>
          <w:vertAlign w:val="superscript"/>
        </w:rPr>
        <w:footnoteReference w:id="70"/>
      </w:r>
      <w:r w:rsidRPr="00BE30D1">
        <w:t xml:space="preserve"> </w:t>
      </w:r>
    </w:p>
    <w:p w14:paraId="649B059C" w14:textId="77777777" w:rsidR="00F808DE" w:rsidRDefault="00F808DE">
      <w:pPr>
        <w:spacing w:line="276" w:lineRule="auto"/>
        <w:rPr>
          <w:rFonts w:eastAsia="Times New Roman" w:cstheme="minorHAnsi"/>
          <w:b/>
          <w:bCs/>
          <w:color w:val="000000"/>
        </w:rPr>
      </w:pPr>
      <w:r>
        <w:rPr>
          <w:rFonts w:eastAsia="Times New Roman" w:cstheme="minorHAnsi"/>
          <w:b/>
          <w:bCs/>
          <w:color w:val="000000"/>
        </w:rPr>
        <w:br w:type="page"/>
      </w:r>
    </w:p>
    <w:p w14:paraId="04AAEF0C" w14:textId="74CEED1A" w:rsidR="00A1389D" w:rsidRPr="006B3AC6" w:rsidRDefault="00A1389D" w:rsidP="00A1389D">
      <w:pPr>
        <w:spacing w:line="240" w:lineRule="auto"/>
        <w:rPr>
          <w:rFonts w:eastAsia="Times New Roman" w:cstheme="minorHAnsi"/>
          <w:b/>
          <w:bCs/>
          <w:color w:val="000000"/>
        </w:rPr>
      </w:pPr>
      <w:r w:rsidRPr="006B3AC6">
        <w:rPr>
          <w:rFonts w:eastAsia="Times New Roman" w:cstheme="minorHAnsi"/>
          <w:b/>
          <w:bCs/>
          <w:color w:val="000000"/>
        </w:rPr>
        <w:lastRenderedPageBreak/>
        <w:t>Table 4.</w:t>
      </w:r>
      <w:r w:rsidR="002152B6">
        <w:rPr>
          <w:rFonts w:eastAsia="Times New Roman" w:cstheme="minorHAnsi"/>
          <w:b/>
          <w:bCs/>
          <w:color w:val="000000"/>
        </w:rPr>
        <w:t>8</w:t>
      </w:r>
      <w:r w:rsidRPr="006B3AC6">
        <w:rPr>
          <w:rFonts w:eastAsia="Times New Roman" w:cstheme="minorHAnsi"/>
          <w:b/>
          <w:bCs/>
          <w:color w:val="000000"/>
        </w:rPr>
        <w:t>: Summary of redistribution payments</w:t>
      </w:r>
    </w:p>
    <w:tbl>
      <w:tblPr>
        <w:tblStyle w:val="TableGrid"/>
        <w:tblW w:w="10105" w:type="dxa"/>
        <w:tblInd w:w="-142" w:type="dxa"/>
        <w:tblLook w:val="04A0" w:firstRow="1" w:lastRow="0" w:firstColumn="1" w:lastColumn="0" w:noHBand="0" w:noVBand="1"/>
      </w:tblPr>
      <w:tblGrid>
        <w:gridCol w:w="1613"/>
        <w:gridCol w:w="1765"/>
        <w:gridCol w:w="2228"/>
        <w:gridCol w:w="2454"/>
        <w:gridCol w:w="2045"/>
      </w:tblGrid>
      <w:tr w:rsidR="00A1389D" w:rsidRPr="006B3AC6" w14:paraId="648F8722" w14:textId="77777777" w:rsidTr="00A8115B">
        <w:trPr>
          <w:trHeight w:val="171"/>
        </w:trPr>
        <w:tc>
          <w:tcPr>
            <w:tcW w:w="1613" w:type="dxa"/>
            <w:tcBorders>
              <w:top w:val="nil"/>
              <w:left w:val="nil"/>
              <w:bottom w:val="single" w:sz="4" w:space="0" w:color="auto"/>
              <w:right w:val="single" w:sz="4" w:space="0" w:color="auto"/>
            </w:tcBorders>
            <w:shd w:val="clear" w:color="auto" w:fill="auto"/>
            <w:vAlign w:val="center"/>
          </w:tcPr>
          <w:p w14:paraId="2CA157A2" w14:textId="77777777" w:rsidR="00A1389D" w:rsidRPr="002E3196" w:rsidRDefault="00A1389D" w:rsidP="00A87585">
            <w:pPr>
              <w:jc w:val="right"/>
              <w:rPr>
                <w:rFonts w:cstheme="minorHAnsi"/>
                <w:color w:val="000000" w:themeColor="text1"/>
                <w:sz w:val="16"/>
                <w:szCs w:val="16"/>
              </w:rPr>
            </w:pPr>
          </w:p>
        </w:tc>
        <w:tc>
          <w:tcPr>
            <w:tcW w:w="1765" w:type="dxa"/>
            <w:tcBorders>
              <w:left w:val="single" w:sz="4" w:space="0" w:color="auto"/>
            </w:tcBorders>
            <w:shd w:val="clear" w:color="auto" w:fill="2363AF"/>
            <w:vAlign w:val="center"/>
          </w:tcPr>
          <w:p w14:paraId="44ABA523" w14:textId="77777777" w:rsidR="00A1389D" w:rsidRPr="00A8115B" w:rsidRDefault="00A1389D" w:rsidP="003B35B0">
            <w:pPr>
              <w:jc w:val="right"/>
              <w:rPr>
                <w:rFonts w:cstheme="minorHAnsi"/>
                <w:color w:val="FFFFFF" w:themeColor="background1"/>
                <w:sz w:val="16"/>
                <w:szCs w:val="16"/>
              </w:rPr>
            </w:pPr>
            <w:bookmarkStart w:id="317" w:name="_Toc89892543"/>
            <w:bookmarkStart w:id="318" w:name="_Toc90552144"/>
            <w:r w:rsidRPr="00A8115B">
              <w:rPr>
                <w:rFonts w:cstheme="minorHAnsi"/>
                <w:color w:val="FFFFFF" w:themeColor="background1"/>
                <w:sz w:val="16"/>
                <w:szCs w:val="16"/>
              </w:rPr>
              <w:t>RO</w:t>
            </w:r>
            <w:bookmarkEnd w:id="317"/>
            <w:bookmarkEnd w:id="318"/>
          </w:p>
        </w:tc>
        <w:tc>
          <w:tcPr>
            <w:tcW w:w="2228" w:type="dxa"/>
            <w:shd w:val="clear" w:color="auto" w:fill="2363AF"/>
            <w:vAlign w:val="center"/>
          </w:tcPr>
          <w:p w14:paraId="07EB0DE7" w14:textId="77777777" w:rsidR="00A1389D" w:rsidRPr="00A8115B" w:rsidRDefault="00A1389D" w:rsidP="003B35B0">
            <w:pPr>
              <w:jc w:val="right"/>
              <w:rPr>
                <w:rFonts w:cstheme="minorHAnsi"/>
                <w:color w:val="FFFFFF" w:themeColor="background1"/>
                <w:sz w:val="16"/>
                <w:szCs w:val="16"/>
              </w:rPr>
            </w:pPr>
            <w:bookmarkStart w:id="319" w:name="_Toc89892544"/>
            <w:bookmarkStart w:id="320" w:name="_Toc90552145"/>
            <w:r w:rsidRPr="00A8115B">
              <w:rPr>
                <w:rFonts w:cstheme="minorHAnsi"/>
                <w:color w:val="FFFFFF" w:themeColor="background1"/>
                <w:sz w:val="16"/>
                <w:szCs w:val="16"/>
              </w:rPr>
              <w:t>ROS</w:t>
            </w:r>
            <w:bookmarkEnd w:id="319"/>
            <w:bookmarkEnd w:id="320"/>
          </w:p>
        </w:tc>
        <w:tc>
          <w:tcPr>
            <w:tcW w:w="2454" w:type="dxa"/>
            <w:shd w:val="clear" w:color="auto" w:fill="2363AF"/>
            <w:vAlign w:val="center"/>
          </w:tcPr>
          <w:p w14:paraId="5F8116C1" w14:textId="77777777" w:rsidR="00A1389D" w:rsidRPr="00A8115B" w:rsidRDefault="00A1389D" w:rsidP="003B35B0">
            <w:pPr>
              <w:jc w:val="right"/>
              <w:rPr>
                <w:rFonts w:cstheme="minorHAnsi"/>
                <w:color w:val="FFFFFF" w:themeColor="background1"/>
                <w:sz w:val="16"/>
                <w:szCs w:val="16"/>
              </w:rPr>
            </w:pPr>
            <w:bookmarkStart w:id="321" w:name="_Toc89892545"/>
            <w:bookmarkStart w:id="322" w:name="_Toc90552146"/>
            <w:r w:rsidRPr="00A8115B">
              <w:rPr>
                <w:rFonts w:cstheme="minorHAnsi"/>
                <w:color w:val="FFFFFF" w:themeColor="background1"/>
                <w:sz w:val="16"/>
                <w:szCs w:val="16"/>
              </w:rPr>
              <w:t>NIRO</w:t>
            </w:r>
            <w:bookmarkEnd w:id="321"/>
            <w:bookmarkEnd w:id="322"/>
          </w:p>
        </w:tc>
        <w:tc>
          <w:tcPr>
            <w:tcW w:w="2045" w:type="dxa"/>
            <w:shd w:val="clear" w:color="auto" w:fill="2363AF"/>
            <w:vAlign w:val="center"/>
          </w:tcPr>
          <w:p w14:paraId="7652E106" w14:textId="77777777" w:rsidR="00A1389D" w:rsidRPr="00A8115B" w:rsidRDefault="00A1389D" w:rsidP="003B35B0">
            <w:pPr>
              <w:jc w:val="right"/>
              <w:rPr>
                <w:rFonts w:cstheme="minorHAnsi"/>
                <w:color w:val="FFFFFF" w:themeColor="background1"/>
                <w:sz w:val="16"/>
                <w:szCs w:val="16"/>
              </w:rPr>
            </w:pPr>
            <w:bookmarkStart w:id="323" w:name="_Toc89892546"/>
            <w:bookmarkStart w:id="324" w:name="_Toc90552147"/>
            <w:r w:rsidRPr="00A8115B">
              <w:rPr>
                <w:rFonts w:cstheme="minorHAnsi"/>
                <w:color w:val="FFFFFF" w:themeColor="background1"/>
                <w:sz w:val="16"/>
                <w:szCs w:val="16"/>
              </w:rPr>
              <w:t>UK Total</w:t>
            </w:r>
            <w:bookmarkEnd w:id="323"/>
            <w:bookmarkEnd w:id="324"/>
          </w:p>
        </w:tc>
      </w:tr>
      <w:tr w:rsidR="00A1389D" w:rsidRPr="006B3AC6" w14:paraId="0259C8CF" w14:textId="77777777" w:rsidTr="00A8115B">
        <w:trPr>
          <w:trHeight w:val="381"/>
        </w:trPr>
        <w:tc>
          <w:tcPr>
            <w:tcW w:w="1613" w:type="dxa"/>
            <w:tcBorders>
              <w:top w:val="single" w:sz="4" w:space="0" w:color="auto"/>
            </w:tcBorders>
            <w:shd w:val="clear" w:color="auto" w:fill="2363AF"/>
            <w:vAlign w:val="center"/>
          </w:tcPr>
          <w:p w14:paraId="7140092D" w14:textId="403F84AC" w:rsidR="00A1389D" w:rsidRPr="00A8115B" w:rsidRDefault="00A1389D" w:rsidP="003B35B0">
            <w:pPr>
              <w:rPr>
                <w:rFonts w:cstheme="minorHAnsi"/>
                <w:color w:val="FFFFFF" w:themeColor="background1"/>
                <w:sz w:val="16"/>
                <w:szCs w:val="16"/>
              </w:rPr>
            </w:pPr>
            <w:bookmarkStart w:id="325" w:name="_Toc89892547"/>
            <w:bookmarkStart w:id="326" w:name="_Toc90552148"/>
            <w:r w:rsidRPr="00A8115B">
              <w:rPr>
                <w:rFonts w:cstheme="minorHAnsi"/>
                <w:color w:val="FFFFFF" w:themeColor="background1"/>
                <w:sz w:val="16"/>
                <w:szCs w:val="16"/>
              </w:rPr>
              <w:t>Buy-out</w:t>
            </w:r>
            <w:bookmarkEnd w:id="325"/>
            <w:bookmarkEnd w:id="326"/>
          </w:p>
        </w:tc>
        <w:tc>
          <w:tcPr>
            <w:tcW w:w="1765" w:type="dxa"/>
            <w:vAlign w:val="center"/>
          </w:tcPr>
          <w:p w14:paraId="40ACFDC8" w14:textId="77777777" w:rsidR="00A1389D" w:rsidRPr="002E3196" w:rsidRDefault="00A1389D" w:rsidP="003B35B0">
            <w:pPr>
              <w:jc w:val="right"/>
              <w:rPr>
                <w:rFonts w:cstheme="minorHAnsi"/>
                <w:color w:val="000000" w:themeColor="text1"/>
                <w:sz w:val="16"/>
                <w:szCs w:val="16"/>
              </w:rPr>
            </w:pPr>
            <w:bookmarkStart w:id="327" w:name="_Toc89892548"/>
            <w:bookmarkStart w:id="328" w:name="_Toc90552149"/>
            <w:r w:rsidRPr="002E3196">
              <w:rPr>
                <w:rFonts w:cstheme="minorHAnsi"/>
                <w:color w:val="000000" w:themeColor="text1"/>
                <w:sz w:val="16"/>
                <w:szCs w:val="16"/>
              </w:rPr>
              <w:t>£387,349,656</w:t>
            </w:r>
            <w:bookmarkEnd w:id="327"/>
            <w:bookmarkEnd w:id="328"/>
          </w:p>
        </w:tc>
        <w:tc>
          <w:tcPr>
            <w:tcW w:w="2228" w:type="dxa"/>
            <w:vAlign w:val="center"/>
          </w:tcPr>
          <w:p w14:paraId="4790B401" w14:textId="77777777" w:rsidR="00A1389D" w:rsidRPr="002E3196" w:rsidRDefault="00A1389D" w:rsidP="003B35B0">
            <w:pPr>
              <w:jc w:val="right"/>
              <w:rPr>
                <w:rFonts w:cstheme="minorHAnsi"/>
                <w:color w:val="000000" w:themeColor="text1"/>
                <w:sz w:val="16"/>
                <w:szCs w:val="16"/>
              </w:rPr>
            </w:pPr>
            <w:bookmarkStart w:id="329" w:name="_Toc89892549"/>
            <w:bookmarkStart w:id="330" w:name="_Toc90552150"/>
            <w:r w:rsidRPr="002E3196">
              <w:rPr>
                <w:rFonts w:cstheme="minorHAnsi"/>
                <w:color w:val="000000" w:themeColor="text1"/>
                <w:sz w:val="16"/>
                <w:szCs w:val="16"/>
              </w:rPr>
              <w:t>£19,370,965</w:t>
            </w:r>
            <w:bookmarkEnd w:id="329"/>
            <w:bookmarkEnd w:id="330"/>
          </w:p>
        </w:tc>
        <w:tc>
          <w:tcPr>
            <w:tcW w:w="2454" w:type="dxa"/>
            <w:vAlign w:val="center"/>
          </w:tcPr>
          <w:p w14:paraId="155655BE" w14:textId="77777777" w:rsidR="00A1389D" w:rsidRPr="002E3196" w:rsidRDefault="00A1389D" w:rsidP="003B35B0">
            <w:pPr>
              <w:jc w:val="right"/>
              <w:rPr>
                <w:rFonts w:cstheme="minorHAnsi"/>
                <w:color w:val="000000" w:themeColor="text1"/>
                <w:sz w:val="16"/>
                <w:szCs w:val="16"/>
              </w:rPr>
            </w:pPr>
            <w:bookmarkStart w:id="331" w:name="_Toc89892550"/>
            <w:bookmarkStart w:id="332" w:name="_Toc90552151"/>
            <w:r w:rsidRPr="002E3196">
              <w:rPr>
                <w:rFonts w:cstheme="minorHAnsi"/>
                <w:color w:val="000000" w:themeColor="text1"/>
                <w:sz w:val="16"/>
                <w:szCs w:val="16"/>
              </w:rPr>
              <w:t>£776,987</w:t>
            </w:r>
            <w:bookmarkEnd w:id="331"/>
            <w:bookmarkEnd w:id="332"/>
          </w:p>
        </w:tc>
        <w:tc>
          <w:tcPr>
            <w:tcW w:w="2045" w:type="dxa"/>
            <w:vAlign w:val="center"/>
          </w:tcPr>
          <w:p w14:paraId="2C242986" w14:textId="77777777" w:rsidR="00A1389D" w:rsidRPr="002E3196" w:rsidRDefault="00A1389D" w:rsidP="003B35B0">
            <w:pPr>
              <w:jc w:val="right"/>
              <w:rPr>
                <w:rFonts w:cstheme="minorHAnsi"/>
                <w:color w:val="000000" w:themeColor="text1"/>
                <w:sz w:val="16"/>
                <w:szCs w:val="16"/>
              </w:rPr>
            </w:pPr>
            <w:bookmarkStart w:id="333" w:name="_Toc89892551"/>
            <w:bookmarkStart w:id="334" w:name="_Toc90552152"/>
            <w:r w:rsidRPr="002E3196">
              <w:rPr>
                <w:rFonts w:cstheme="minorHAnsi"/>
                <w:color w:val="000000" w:themeColor="text1"/>
                <w:sz w:val="16"/>
                <w:szCs w:val="16"/>
              </w:rPr>
              <w:t>£407,497,608</w:t>
            </w:r>
            <w:bookmarkEnd w:id="333"/>
            <w:bookmarkEnd w:id="334"/>
          </w:p>
        </w:tc>
      </w:tr>
      <w:tr w:rsidR="00A1389D" w:rsidRPr="006B3AC6" w14:paraId="767A9865" w14:textId="77777777" w:rsidTr="00A8115B">
        <w:trPr>
          <w:trHeight w:val="427"/>
        </w:trPr>
        <w:tc>
          <w:tcPr>
            <w:tcW w:w="1613" w:type="dxa"/>
            <w:shd w:val="clear" w:color="auto" w:fill="2363AF"/>
            <w:vAlign w:val="center"/>
          </w:tcPr>
          <w:p w14:paraId="4979597B" w14:textId="5FD197B2" w:rsidR="00A1389D" w:rsidRPr="00A8115B" w:rsidRDefault="00A1389D" w:rsidP="003B35B0">
            <w:pPr>
              <w:rPr>
                <w:rFonts w:cstheme="minorHAnsi"/>
                <w:color w:val="FFFFFF" w:themeColor="background1"/>
                <w:sz w:val="16"/>
                <w:szCs w:val="16"/>
              </w:rPr>
            </w:pPr>
            <w:bookmarkStart w:id="335" w:name="_Toc89892552"/>
            <w:r w:rsidRPr="00A8115B">
              <w:rPr>
                <w:rFonts w:cstheme="minorHAnsi"/>
                <w:color w:val="FFFFFF" w:themeColor="background1"/>
                <w:sz w:val="16"/>
                <w:szCs w:val="16"/>
              </w:rPr>
              <w:t>Late payments</w:t>
            </w:r>
            <w:bookmarkEnd w:id="335"/>
          </w:p>
        </w:tc>
        <w:tc>
          <w:tcPr>
            <w:tcW w:w="1765" w:type="dxa"/>
            <w:vAlign w:val="center"/>
          </w:tcPr>
          <w:p w14:paraId="4F6AAAF0" w14:textId="77777777" w:rsidR="00A1389D" w:rsidRPr="002E3196" w:rsidRDefault="00A1389D" w:rsidP="003B35B0">
            <w:pPr>
              <w:jc w:val="right"/>
              <w:rPr>
                <w:rFonts w:cstheme="minorHAnsi"/>
                <w:color w:val="000000" w:themeColor="text1"/>
                <w:sz w:val="16"/>
                <w:szCs w:val="16"/>
              </w:rPr>
            </w:pPr>
            <w:bookmarkStart w:id="336" w:name="_Toc89892553"/>
            <w:bookmarkStart w:id="337" w:name="_Toc90552154"/>
            <w:r w:rsidRPr="002E3196">
              <w:rPr>
                <w:rFonts w:cstheme="minorHAnsi"/>
                <w:color w:val="000000" w:themeColor="text1"/>
                <w:sz w:val="16"/>
                <w:szCs w:val="16"/>
              </w:rPr>
              <w:t>£53,007,910</w:t>
            </w:r>
            <w:bookmarkEnd w:id="336"/>
            <w:bookmarkEnd w:id="337"/>
          </w:p>
        </w:tc>
        <w:tc>
          <w:tcPr>
            <w:tcW w:w="2228" w:type="dxa"/>
            <w:vAlign w:val="center"/>
          </w:tcPr>
          <w:p w14:paraId="4A2C8F34" w14:textId="77777777" w:rsidR="00A1389D" w:rsidRPr="002E3196" w:rsidRDefault="00A1389D" w:rsidP="003B35B0">
            <w:pPr>
              <w:jc w:val="right"/>
              <w:rPr>
                <w:rFonts w:cstheme="minorHAnsi"/>
                <w:color w:val="000000" w:themeColor="text1"/>
                <w:sz w:val="16"/>
                <w:szCs w:val="16"/>
              </w:rPr>
            </w:pPr>
            <w:bookmarkStart w:id="338" w:name="_Toc89892554"/>
            <w:bookmarkStart w:id="339" w:name="_Toc90552155"/>
            <w:r w:rsidRPr="002E3196">
              <w:rPr>
                <w:rFonts w:cstheme="minorHAnsi"/>
                <w:color w:val="000000" w:themeColor="text1"/>
                <w:sz w:val="16"/>
                <w:szCs w:val="16"/>
              </w:rPr>
              <w:t>£4,546,422</w:t>
            </w:r>
            <w:bookmarkEnd w:id="338"/>
            <w:bookmarkEnd w:id="339"/>
          </w:p>
        </w:tc>
        <w:tc>
          <w:tcPr>
            <w:tcW w:w="2454" w:type="dxa"/>
            <w:vAlign w:val="center"/>
          </w:tcPr>
          <w:p w14:paraId="2A7EABD0" w14:textId="77777777" w:rsidR="00A1389D" w:rsidRPr="002E3196" w:rsidRDefault="00A1389D" w:rsidP="003B35B0">
            <w:pPr>
              <w:jc w:val="right"/>
              <w:rPr>
                <w:rFonts w:cstheme="minorHAnsi"/>
                <w:color w:val="000000" w:themeColor="text1"/>
                <w:sz w:val="16"/>
                <w:szCs w:val="16"/>
              </w:rPr>
            </w:pPr>
            <w:bookmarkStart w:id="340" w:name="_Toc89892555"/>
            <w:bookmarkStart w:id="341" w:name="_Toc90552156"/>
            <w:r w:rsidRPr="002E3196">
              <w:rPr>
                <w:rFonts w:cstheme="minorHAnsi"/>
                <w:color w:val="000000" w:themeColor="text1"/>
                <w:sz w:val="16"/>
                <w:szCs w:val="16"/>
              </w:rPr>
              <w:t>£820,871</w:t>
            </w:r>
            <w:bookmarkEnd w:id="340"/>
            <w:bookmarkEnd w:id="341"/>
          </w:p>
        </w:tc>
        <w:tc>
          <w:tcPr>
            <w:tcW w:w="2045" w:type="dxa"/>
            <w:vAlign w:val="center"/>
          </w:tcPr>
          <w:p w14:paraId="58920FF2" w14:textId="77777777" w:rsidR="00A1389D" w:rsidRPr="002E3196" w:rsidRDefault="00A1389D" w:rsidP="003B35B0">
            <w:pPr>
              <w:jc w:val="right"/>
              <w:rPr>
                <w:rFonts w:cstheme="minorHAnsi"/>
                <w:color w:val="000000" w:themeColor="text1"/>
                <w:sz w:val="16"/>
                <w:szCs w:val="16"/>
              </w:rPr>
            </w:pPr>
            <w:bookmarkStart w:id="342" w:name="_Toc89892556"/>
            <w:bookmarkStart w:id="343" w:name="_Toc90552157"/>
            <w:r w:rsidRPr="002E3196">
              <w:rPr>
                <w:rFonts w:cstheme="minorHAnsi"/>
                <w:color w:val="000000" w:themeColor="text1"/>
                <w:sz w:val="16"/>
                <w:szCs w:val="16"/>
              </w:rPr>
              <w:t>£58,375,203</w:t>
            </w:r>
            <w:bookmarkEnd w:id="342"/>
            <w:bookmarkEnd w:id="343"/>
          </w:p>
        </w:tc>
      </w:tr>
      <w:tr w:rsidR="00A1389D" w:rsidRPr="006B3AC6" w14:paraId="5DF18AD9" w14:textId="77777777" w:rsidTr="003B35B0">
        <w:trPr>
          <w:trHeight w:val="362"/>
        </w:trPr>
        <w:tc>
          <w:tcPr>
            <w:tcW w:w="1613" w:type="dxa"/>
            <w:shd w:val="clear" w:color="auto" w:fill="2363AF"/>
            <w:vAlign w:val="center"/>
          </w:tcPr>
          <w:p w14:paraId="58354098" w14:textId="77777777" w:rsidR="00A1389D" w:rsidRPr="00060AA8" w:rsidRDefault="00A1389D" w:rsidP="003B35B0">
            <w:pPr>
              <w:rPr>
                <w:rFonts w:cstheme="minorHAnsi"/>
                <w:color w:val="FFFFFF" w:themeColor="background1"/>
                <w:sz w:val="16"/>
                <w:szCs w:val="16"/>
              </w:rPr>
            </w:pPr>
            <w:bookmarkStart w:id="344" w:name="_Toc89892557"/>
            <w:bookmarkStart w:id="345" w:name="_Toc90552158"/>
            <w:r w:rsidRPr="00060AA8">
              <w:rPr>
                <w:rFonts w:cstheme="minorHAnsi"/>
                <w:color w:val="FFFFFF" w:themeColor="background1"/>
                <w:sz w:val="16"/>
                <w:szCs w:val="16"/>
              </w:rPr>
              <w:t>Total</w:t>
            </w:r>
            <w:bookmarkEnd w:id="344"/>
            <w:bookmarkEnd w:id="345"/>
          </w:p>
        </w:tc>
        <w:tc>
          <w:tcPr>
            <w:tcW w:w="1765" w:type="dxa"/>
            <w:shd w:val="clear" w:color="auto" w:fill="2363AF"/>
            <w:vAlign w:val="center"/>
          </w:tcPr>
          <w:p w14:paraId="0DFBE243" w14:textId="77777777" w:rsidR="00A1389D" w:rsidRPr="003B35B0" w:rsidRDefault="00A1389D" w:rsidP="003B35B0">
            <w:pPr>
              <w:jc w:val="right"/>
              <w:rPr>
                <w:rFonts w:cstheme="minorHAnsi"/>
                <w:color w:val="FFFFFF" w:themeColor="background1"/>
                <w:sz w:val="16"/>
                <w:szCs w:val="16"/>
              </w:rPr>
            </w:pPr>
            <w:bookmarkStart w:id="346" w:name="_Toc89892558"/>
            <w:bookmarkStart w:id="347" w:name="_Toc90552159"/>
            <w:r w:rsidRPr="003B35B0">
              <w:rPr>
                <w:rFonts w:cstheme="minorHAnsi"/>
                <w:color w:val="FFFFFF" w:themeColor="background1"/>
                <w:sz w:val="16"/>
                <w:szCs w:val="16"/>
              </w:rPr>
              <w:t>£440,357,566</w:t>
            </w:r>
            <w:bookmarkEnd w:id="346"/>
            <w:bookmarkEnd w:id="347"/>
          </w:p>
        </w:tc>
        <w:tc>
          <w:tcPr>
            <w:tcW w:w="2228" w:type="dxa"/>
            <w:shd w:val="clear" w:color="auto" w:fill="2363AF"/>
            <w:vAlign w:val="center"/>
          </w:tcPr>
          <w:p w14:paraId="1323CC0E" w14:textId="77777777" w:rsidR="00A1389D" w:rsidRPr="003B35B0" w:rsidRDefault="00A1389D" w:rsidP="003B35B0">
            <w:pPr>
              <w:jc w:val="right"/>
              <w:rPr>
                <w:rFonts w:cstheme="minorHAnsi"/>
                <w:color w:val="FFFFFF" w:themeColor="background1"/>
                <w:sz w:val="16"/>
                <w:szCs w:val="16"/>
              </w:rPr>
            </w:pPr>
            <w:bookmarkStart w:id="348" w:name="_Toc89892559"/>
            <w:bookmarkStart w:id="349" w:name="_Toc90552160"/>
            <w:r w:rsidRPr="003B35B0">
              <w:rPr>
                <w:rFonts w:cstheme="minorHAnsi"/>
                <w:color w:val="FFFFFF" w:themeColor="background1"/>
                <w:sz w:val="16"/>
                <w:szCs w:val="16"/>
              </w:rPr>
              <w:t>£23,917,387</w:t>
            </w:r>
            <w:bookmarkEnd w:id="348"/>
            <w:bookmarkEnd w:id="349"/>
          </w:p>
        </w:tc>
        <w:tc>
          <w:tcPr>
            <w:tcW w:w="2454" w:type="dxa"/>
            <w:shd w:val="clear" w:color="auto" w:fill="2363AF"/>
            <w:vAlign w:val="center"/>
          </w:tcPr>
          <w:p w14:paraId="5F57F2E6" w14:textId="77777777" w:rsidR="00A1389D" w:rsidRPr="003B35B0" w:rsidRDefault="00A1389D" w:rsidP="003B35B0">
            <w:pPr>
              <w:jc w:val="right"/>
              <w:rPr>
                <w:rFonts w:cstheme="minorHAnsi"/>
                <w:color w:val="FFFFFF" w:themeColor="background1"/>
                <w:sz w:val="16"/>
                <w:szCs w:val="16"/>
              </w:rPr>
            </w:pPr>
            <w:bookmarkStart w:id="350" w:name="_Toc89892560"/>
            <w:bookmarkStart w:id="351" w:name="_Toc90552161"/>
            <w:r w:rsidRPr="003B35B0">
              <w:rPr>
                <w:rFonts w:cstheme="minorHAnsi"/>
                <w:color w:val="FFFFFF" w:themeColor="background1"/>
                <w:sz w:val="16"/>
                <w:szCs w:val="16"/>
              </w:rPr>
              <w:t>£1,597,858</w:t>
            </w:r>
            <w:bookmarkEnd w:id="350"/>
            <w:bookmarkEnd w:id="351"/>
          </w:p>
        </w:tc>
        <w:tc>
          <w:tcPr>
            <w:tcW w:w="2045" w:type="dxa"/>
            <w:shd w:val="clear" w:color="auto" w:fill="2363AF"/>
            <w:vAlign w:val="center"/>
          </w:tcPr>
          <w:p w14:paraId="4C0E5C23" w14:textId="77777777" w:rsidR="00A1389D" w:rsidRPr="003B35B0" w:rsidRDefault="00A1389D" w:rsidP="003B35B0">
            <w:pPr>
              <w:jc w:val="right"/>
              <w:rPr>
                <w:rFonts w:cstheme="minorHAnsi"/>
                <w:color w:val="FFFFFF" w:themeColor="background1"/>
                <w:sz w:val="16"/>
                <w:szCs w:val="16"/>
              </w:rPr>
            </w:pPr>
            <w:bookmarkStart w:id="352" w:name="_Toc89892561"/>
            <w:bookmarkStart w:id="353" w:name="_Toc90552162"/>
            <w:r w:rsidRPr="003B35B0">
              <w:rPr>
                <w:rFonts w:cstheme="minorHAnsi"/>
                <w:color w:val="FFFFFF" w:themeColor="background1"/>
                <w:sz w:val="16"/>
                <w:szCs w:val="16"/>
              </w:rPr>
              <w:t>£465,872,811</w:t>
            </w:r>
            <w:bookmarkEnd w:id="352"/>
            <w:bookmarkEnd w:id="353"/>
          </w:p>
        </w:tc>
      </w:tr>
    </w:tbl>
    <w:p w14:paraId="16688266" w14:textId="77777777" w:rsidR="00A1389D" w:rsidRPr="006B3AC6" w:rsidRDefault="00A1389D" w:rsidP="00A1389D">
      <w:pPr>
        <w:spacing w:line="240" w:lineRule="auto"/>
        <w:rPr>
          <w:rFonts w:eastAsiaTheme="minorEastAsia" w:cstheme="minorHAnsi"/>
          <w:color w:val="000000" w:themeColor="text1"/>
        </w:rPr>
      </w:pPr>
    </w:p>
    <w:p w14:paraId="19EEBD13" w14:textId="0A2D1F51" w:rsidR="00A1389D" w:rsidRPr="00BE30D1" w:rsidRDefault="00A1389D" w:rsidP="003B35B0">
      <w:pPr>
        <w:pStyle w:val="CH4normal"/>
        <w:ind w:left="567" w:hanging="567"/>
      </w:pPr>
      <w:bookmarkStart w:id="354" w:name="_Toc89892563"/>
      <w:bookmarkStart w:id="355" w:name="_Toc90552164"/>
      <w:r w:rsidRPr="00BE30D1">
        <w:t xml:space="preserve">We redistributed £58,375,203 in late payments, on the same basis as the buy-out funds (though without the withdrawal of administration costs) on 3 December 2021. This was in advance of the legislative deadline of 1 January 2022. </w:t>
      </w:r>
      <w:r w:rsidRPr="00F91CE5">
        <w:rPr>
          <w:b/>
          <w:bCs/>
        </w:rPr>
        <w:t>Figure 4.6</w:t>
      </w:r>
      <w:r w:rsidRPr="00BE30D1">
        <w:t xml:space="preserve"> shows the amounts we have redistributed each year since the scheme’s introduction in 2002.</w:t>
      </w:r>
      <w:bookmarkEnd w:id="354"/>
      <w:bookmarkEnd w:id="355"/>
    </w:p>
    <w:p w14:paraId="6FDD8F06" w14:textId="4FD9F93A" w:rsidR="00A1389D" w:rsidRDefault="000233A2" w:rsidP="003B35B0">
      <w:pPr>
        <w:autoSpaceDE w:val="0"/>
        <w:autoSpaceDN w:val="0"/>
        <w:adjustRightInd w:val="0"/>
        <w:spacing w:after="120"/>
        <w:rPr>
          <w:rFonts w:cstheme="minorHAnsi"/>
          <w:color w:val="000000"/>
        </w:rPr>
      </w:pPr>
      <w:r w:rsidRPr="00294371">
        <w:rPr>
          <w:rFonts w:eastAsiaTheme="minorEastAsia" w:cstheme="minorHAnsi"/>
          <w:b/>
          <w:color w:val="000000" w:themeColor="text1"/>
        </w:rPr>
        <w:t>Figure 4.</w:t>
      </w:r>
      <w:r w:rsidR="00C51CDB">
        <w:rPr>
          <w:rFonts w:eastAsiaTheme="minorEastAsia" w:cstheme="minorHAnsi"/>
          <w:b/>
          <w:color w:val="000000" w:themeColor="text1"/>
        </w:rPr>
        <w:t>6</w:t>
      </w:r>
      <w:r w:rsidRPr="00294371">
        <w:rPr>
          <w:rFonts w:eastAsiaTheme="minorEastAsia" w:cstheme="minorHAnsi"/>
          <w:b/>
          <w:color w:val="000000" w:themeColor="text1"/>
        </w:rPr>
        <w:t xml:space="preserve">: </w:t>
      </w:r>
      <w:r>
        <w:rPr>
          <w:rFonts w:eastAsiaTheme="minorEastAsia" w:cstheme="minorHAnsi"/>
          <w:b/>
          <w:color w:val="000000" w:themeColor="text1"/>
        </w:rPr>
        <w:t xml:space="preserve">Total redistributed to suppliers since 2002-03 </w:t>
      </w:r>
      <w:r w:rsidR="000A6799">
        <w:rPr>
          <w:rFonts w:eastAsiaTheme="minorEastAsia" w:cstheme="minorHAnsi"/>
          <w:b/>
          <w:color w:val="000000" w:themeColor="text1"/>
        </w:rPr>
        <w:t>(£m)</w:t>
      </w:r>
    </w:p>
    <w:p w14:paraId="10A058C0" w14:textId="6D3094B8" w:rsidR="00A1389D" w:rsidRPr="00BE30D1" w:rsidRDefault="00060AA8" w:rsidP="003B35B0">
      <w:pPr>
        <w:pStyle w:val="ListParagraph"/>
        <w:spacing w:after="120"/>
        <w:ind w:left="709" w:hanging="709"/>
        <w:rPr>
          <w:rStyle w:val="Heading3Char"/>
          <w:rFonts w:eastAsiaTheme="minorEastAsia" w:cstheme="minorHAnsi"/>
          <w:color w:val="000000" w:themeColor="text1"/>
          <w:sz w:val="20"/>
          <w:szCs w:val="20"/>
        </w:rPr>
      </w:pPr>
      <w:r>
        <w:rPr>
          <w:noProof/>
        </w:rPr>
        <w:drawing>
          <wp:inline distT="0" distB="0" distL="0" distR="0" wp14:anchorId="7BC65791" wp14:editId="45C3AA59">
            <wp:extent cx="6120130" cy="2834005"/>
            <wp:effectExtent l="0" t="0" r="0" b="4445"/>
            <wp:docPr id="238" name="Chart 238" descr="This chart shows the total amount of money redistributed to suppliers annually since 2002-03, in millions of pounds. &#10;&#10;The data used to produce this chart is published alongside this report on our website.">
              <a:extLst xmlns:a="http://schemas.openxmlformats.org/drawingml/2006/main">
                <a:ext uri="{FF2B5EF4-FFF2-40B4-BE49-F238E27FC236}">
                  <a16:creationId xmlns:a16="http://schemas.microsoft.com/office/drawing/2014/main" id="{2A82EFA4-A79D-4D00-BEFD-400B4C3CE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7975F2" w14:textId="37224C49" w:rsidR="00A1389D" w:rsidRPr="00BE30D1" w:rsidRDefault="00A1389D" w:rsidP="003B35B0">
      <w:pPr>
        <w:pStyle w:val="CH4normal"/>
        <w:ind w:left="567" w:hanging="567"/>
      </w:pPr>
      <w:bookmarkStart w:id="356" w:name="_Toc89892564"/>
      <w:bookmarkStart w:id="357" w:name="_Toc90552165"/>
      <w:r w:rsidRPr="00BE30D1">
        <w:t>Ofgem has occasionally received late payments from defaulting suppliers after the Late Payment deadline of 31 October has passed. Following an open consultation</w:t>
      </w:r>
      <w:r w:rsidRPr="002257AD">
        <w:rPr>
          <w:vertAlign w:val="superscript"/>
        </w:rPr>
        <w:footnoteReference w:id="71"/>
      </w:r>
      <w:r w:rsidRPr="00BE30D1">
        <w:t xml:space="preserve"> with suppliers and interested stakeholders, it was decided that when recycling these payments to eligible suppliers in years when mutualisation is triggered, it shall be in proportion to the total mutualisation payments each supplier is responsible for making.</w:t>
      </w:r>
      <w:r w:rsidRPr="002257AD">
        <w:rPr>
          <w:vertAlign w:val="superscript"/>
        </w:rPr>
        <w:footnoteReference w:id="72"/>
      </w:r>
      <w:r w:rsidRPr="00BE30D1">
        <w:t xml:space="preserve"> This methodology was first </w:t>
      </w:r>
      <w:r w:rsidR="00461289">
        <w:t>put in to practice</w:t>
      </w:r>
      <w:r w:rsidR="00461289" w:rsidRPr="00BE30D1">
        <w:t xml:space="preserve"> </w:t>
      </w:r>
      <w:r w:rsidRPr="00BE30D1">
        <w:t xml:space="preserve">on 15 January 2021 when Ofgem redistributed </w:t>
      </w:r>
      <w:r w:rsidR="00461289">
        <w:t>a payment of</w:t>
      </w:r>
      <w:r w:rsidRPr="00BE30D1">
        <w:t xml:space="preserve"> £507,369.57 received from one supplier after the </w:t>
      </w:r>
      <w:r w:rsidR="00461289">
        <w:t xml:space="preserve">2019-20 </w:t>
      </w:r>
      <w:r w:rsidRPr="00BE30D1">
        <w:t xml:space="preserve">late payment </w:t>
      </w:r>
      <w:r w:rsidRPr="00BE30D1">
        <w:lastRenderedPageBreak/>
        <w:t>deadline had passed.</w:t>
      </w:r>
      <w:r w:rsidRPr="002257AD">
        <w:rPr>
          <w:vertAlign w:val="superscript"/>
        </w:rPr>
        <w:footnoteReference w:id="73"/>
      </w:r>
      <w:r w:rsidRPr="00BE30D1">
        <w:t xml:space="preserve"> As of the time of writing we have received a payment of £100,000 after the </w:t>
      </w:r>
      <w:r w:rsidR="00461289">
        <w:t xml:space="preserve">2020-21 </w:t>
      </w:r>
      <w:r w:rsidRPr="00BE30D1">
        <w:t>late payment deadline from Delta</w:t>
      </w:r>
      <w:r w:rsidR="00461289">
        <w:t xml:space="preserve"> Gas and Power Ltd</w:t>
      </w:r>
      <w:r w:rsidRPr="00BE30D1">
        <w:t xml:space="preserve"> which </w:t>
      </w:r>
      <w:r w:rsidR="00461289">
        <w:t>we plan to redistribute</w:t>
      </w:r>
      <w:r w:rsidRPr="00BE30D1">
        <w:t xml:space="preserve"> in early 2022.</w:t>
      </w:r>
      <w:bookmarkEnd w:id="356"/>
      <w:bookmarkEnd w:id="357"/>
    </w:p>
    <w:p w14:paraId="0987C86B" w14:textId="14406273" w:rsidR="00A1389D" w:rsidRPr="006B3AC6" w:rsidRDefault="00A1389D" w:rsidP="003B35B0">
      <w:pPr>
        <w:pStyle w:val="Heading2"/>
        <w:rPr>
          <w:rFonts w:eastAsiaTheme="minorEastAsia"/>
        </w:rPr>
      </w:pPr>
      <w:bookmarkStart w:id="358" w:name="_Toc98852160"/>
      <w:r w:rsidRPr="00A87585">
        <w:t>Mutualisation</w:t>
      </w:r>
      <w:bookmarkEnd w:id="358"/>
    </w:p>
    <w:p w14:paraId="4D9A5E61" w14:textId="624B024B" w:rsidR="00A1389D" w:rsidRPr="00BE30D1" w:rsidRDefault="00A1389D" w:rsidP="003B35B0">
      <w:pPr>
        <w:pStyle w:val="CH4normal"/>
        <w:ind w:left="567" w:hanging="567"/>
      </w:pPr>
      <w:bookmarkStart w:id="359" w:name="_Toc89892566"/>
      <w:bookmarkStart w:id="360" w:name="_Toc90552167"/>
      <w:r w:rsidRPr="00BE30D1">
        <w:t>If a supplier</w:t>
      </w:r>
      <w:r w:rsidR="00CD4482">
        <w:t xml:space="preserve"> or </w:t>
      </w:r>
      <w:r w:rsidRPr="00BE30D1">
        <w:t>suppliers are unable to meet their obligations under the RO or ROS</w:t>
      </w:r>
      <w:r w:rsidR="00CD4482">
        <w:t>,</w:t>
      </w:r>
      <w:r w:rsidRPr="00BE30D1">
        <w:t xml:space="preserve"> there may be a shortfall in the late payment fund. The mutualisation provisions in RO legislation</w:t>
      </w:r>
      <w:r w:rsidRPr="00CD4482">
        <w:rPr>
          <w:vertAlign w:val="superscript"/>
        </w:rPr>
        <w:footnoteReference w:id="74"/>
      </w:r>
      <w:r w:rsidRPr="00BE30D1">
        <w:t xml:space="preserve"> are designed to account for this. Mutualisation is triggered above a certain threshold, known as relevant shortfall,</w:t>
      </w:r>
      <w:r w:rsidRPr="00CD4482">
        <w:rPr>
          <w:vertAlign w:val="superscript"/>
        </w:rPr>
        <w:footnoteReference w:id="75"/>
      </w:r>
      <w:r w:rsidRPr="00BE30D1">
        <w:t xml:space="preserve"> the amount of which</w:t>
      </w:r>
      <w:r w:rsidR="007351DE">
        <w:t xml:space="preserve"> for the 2020-21 year</w:t>
      </w:r>
      <w:r w:rsidRPr="00BE30D1">
        <w:t xml:space="preserve"> is equal to or more than £15.4</w:t>
      </w:r>
      <w:r w:rsidR="00032947">
        <w:t xml:space="preserve"> million</w:t>
      </w:r>
      <w:r w:rsidRPr="00BE30D1">
        <w:t xml:space="preserve"> for the RO and £1.54</w:t>
      </w:r>
      <w:r w:rsidR="00032947">
        <w:t xml:space="preserve"> million</w:t>
      </w:r>
      <w:r w:rsidRPr="00BE30D1">
        <w:t xml:space="preserve"> for ROS. Mutualisation does not apply in Northern Ireland.</w:t>
      </w:r>
      <w:bookmarkEnd w:id="359"/>
      <w:bookmarkEnd w:id="360"/>
    </w:p>
    <w:p w14:paraId="36237F30" w14:textId="534CA278" w:rsidR="00A1389D" w:rsidRPr="00BE30D1" w:rsidRDefault="00A1389D" w:rsidP="003B35B0">
      <w:pPr>
        <w:pStyle w:val="CH4normal"/>
        <w:ind w:left="567" w:hanging="567"/>
      </w:pPr>
      <w:bookmarkStart w:id="361" w:name="_Toc89892567"/>
      <w:bookmarkStart w:id="362" w:name="_Toc90552168"/>
      <w:r w:rsidRPr="00BE30D1">
        <w:t>If mutualisation is triggered, suppliers that discharged their obligations</w:t>
      </w:r>
      <w:r w:rsidR="00043BA7">
        <w:t xml:space="preserve"> in full or in part</w:t>
      </w:r>
      <w:r w:rsidRPr="00BE30D1">
        <w:t xml:space="preserve"> under the RO and ROS must make additional payments to make up the shortfall. These payments are capped at the mutualisation ceiling; we publish</w:t>
      </w:r>
      <w:r w:rsidR="0084257C">
        <w:t xml:space="preserve"> the amount</w:t>
      </w:r>
      <w:r w:rsidRPr="00BE30D1">
        <w:t xml:space="preserve"> every year before the start of the obligation period. We adjust this in the same way as the buy-out price, in line with the change in RPI from the previous calendar year. The mutualisation ceilings </w:t>
      </w:r>
      <w:r w:rsidR="0084257C">
        <w:t>were</w:t>
      </w:r>
      <w:r w:rsidRPr="00BE30D1">
        <w:t xml:space="preserve"> £301,471,100.35 in England and Wales and £30,147,110.03 in Scotland.</w:t>
      </w:r>
      <w:bookmarkEnd w:id="361"/>
      <w:bookmarkEnd w:id="362"/>
    </w:p>
    <w:p w14:paraId="0AD32703" w14:textId="0222E838" w:rsidR="00A1389D" w:rsidRPr="00BE30D1" w:rsidRDefault="00A1389D" w:rsidP="003B35B0">
      <w:pPr>
        <w:pStyle w:val="CH4normal"/>
        <w:ind w:left="567" w:hanging="567"/>
      </w:pPr>
      <w:bookmarkStart w:id="363" w:name="_Toc89892568"/>
      <w:bookmarkStart w:id="364" w:name="_Toc90552169"/>
      <w:r w:rsidRPr="00BE30D1">
        <w:t>Mutualisation payments are redistributed to suppliers on the same basis as the buy-out and late payment funds, using the single recycling mechanism to ‘UK compliant suppliers. These are suppliers who have presented ROCs within the relevant compliance period and have discharged their obligation in full by the late payment deadline of 31 October. Although mutualisation does not apply in NI, NI suppliers will receive a share of any mutualisation funds from the RO and ROS.</w:t>
      </w:r>
      <w:bookmarkEnd w:id="363"/>
      <w:bookmarkEnd w:id="364"/>
    </w:p>
    <w:p w14:paraId="618C5802" w14:textId="11F1E1A4" w:rsidR="00A1389D" w:rsidRPr="00BE30D1" w:rsidRDefault="00A1389D" w:rsidP="003B35B0">
      <w:pPr>
        <w:pStyle w:val="CH4normal"/>
        <w:spacing w:after="120"/>
        <w:ind w:left="567" w:hanging="567"/>
      </w:pPr>
      <w:bookmarkStart w:id="365" w:name="_Toc89892569"/>
      <w:bookmarkStart w:id="366" w:name="_Toc90552170"/>
      <w:r w:rsidRPr="00BE30D1">
        <w:t>In 2020-21, 28 suppliers did not meet their obligations in full. This resulted in a total shortfall of £218,300,151.73, (excluding interest)</w:t>
      </w:r>
      <w:r w:rsidR="005E7E55">
        <w:rPr>
          <w:rStyle w:val="FootnoteReference"/>
        </w:rPr>
        <w:footnoteReference w:id="76"/>
      </w:r>
      <w:r w:rsidRPr="00BE30D1">
        <w:t xml:space="preserve"> distributed across the schemes, as follows:</w:t>
      </w:r>
      <w:bookmarkEnd w:id="365"/>
      <w:bookmarkEnd w:id="366"/>
      <w:r w:rsidRPr="00BE30D1">
        <w:t xml:space="preserve"> </w:t>
      </w:r>
    </w:p>
    <w:p w14:paraId="60192E39" w14:textId="76869F1B" w:rsidR="00A1389D" w:rsidRPr="006B3AC6" w:rsidRDefault="00A1389D" w:rsidP="003B35B0">
      <w:pPr>
        <w:pStyle w:val="ListParagraph"/>
        <w:numPr>
          <w:ilvl w:val="0"/>
          <w:numId w:val="24"/>
        </w:numPr>
        <w:autoSpaceDE w:val="0"/>
        <w:autoSpaceDN w:val="0"/>
        <w:adjustRightInd w:val="0"/>
        <w:spacing w:line="240" w:lineRule="auto"/>
        <w:ind w:left="1135" w:hanging="284"/>
        <w:rPr>
          <w:rFonts w:cstheme="minorHAnsi"/>
          <w:color w:val="000000"/>
        </w:rPr>
      </w:pPr>
      <w:r w:rsidRPr="006B3AC6">
        <w:rPr>
          <w:rFonts w:cstheme="minorHAnsi"/>
          <w:color w:val="000000"/>
        </w:rPr>
        <w:t>RO: £204,786,037.53</w:t>
      </w:r>
      <w:r w:rsidR="007D4D05">
        <w:rPr>
          <w:rFonts w:cstheme="minorHAnsi"/>
          <w:color w:val="000000"/>
        </w:rPr>
        <w:t>.</w:t>
      </w:r>
    </w:p>
    <w:p w14:paraId="410F3752" w14:textId="2592CF76" w:rsidR="00A1389D" w:rsidRPr="006B3AC6" w:rsidRDefault="00A1389D" w:rsidP="003B35B0">
      <w:pPr>
        <w:pStyle w:val="ListParagraph"/>
        <w:numPr>
          <w:ilvl w:val="0"/>
          <w:numId w:val="24"/>
        </w:numPr>
        <w:autoSpaceDE w:val="0"/>
        <w:autoSpaceDN w:val="0"/>
        <w:adjustRightInd w:val="0"/>
        <w:spacing w:line="240" w:lineRule="auto"/>
        <w:ind w:left="1135" w:hanging="284"/>
        <w:rPr>
          <w:rFonts w:cstheme="minorHAnsi"/>
          <w:color w:val="000000"/>
        </w:rPr>
      </w:pPr>
      <w:r w:rsidRPr="006B3AC6">
        <w:rPr>
          <w:rFonts w:cstheme="minorHAnsi"/>
          <w:color w:val="000000"/>
        </w:rPr>
        <w:t>ROS: £13,514,114.20</w:t>
      </w:r>
      <w:r w:rsidR="007D4D05">
        <w:rPr>
          <w:rFonts w:cstheme="minorHAnsi"/>
          <w:color w:val="000000"/>
        </w:rPr>
        <w:t>.</w:t>
      </w:r>
    </w:p>
    <w:p w14:paraId="7FCA0CDE" w14:textId="7838CE02" w:rsidR="00A1389D" w:rsidRPr="006B3AC6" w:rsidRDefault="00A1389D" w:rsidP="003B35B0">
      <w:pPr>
        <w:pStyle w:val="ListParagraph"/>
        <w:numPr>
          <w:ilvl w:val="0"/>
          <w:numId w:val="24"/>
        </w:numPr>
        <w:autoSpaceDE w:val="0"/>
        <w:autoSpaceDN w:val="0"/>
        <w:adjustRightInd w:val="0"/>
        <w:spacing w:line="240" w:lineRule="auto"/>
        <w:ind w:left="1135" w:hanging="284"/>
        <w:rPr>
          <w:rFonts w:cstheme="minorHAnsi"/>
          <w:color w:val="000000"/>
        </w:rPr>
      </w:pPr>
      <w:r w:rsidRPr="006B3AC6">
        <w:rPr>
          <w:rFonts w:cstheme="minorHAnsi"/>
          <w:color w:val="000000"/>
        </w:rPr>
        <w:t>NIRO: £0</w:t>
      </w:r>
      <w:r w:rsidR="007D4D05">
        <w:rPr>
          <w:rFonts w:cstheme="minorHAnsi"/>
          <w:color w:val="000000"/>
        </w:rPr>
        <w:t>.</w:t>
      </w:r>
    </w:p>
    <w:p w14:paraId="055C96D0" w14:textId="05C8828E" w:rsidR="00A1389D" w:rsidRDefault="00A1389D" w:rsidP="003B35B0">
      <w:pPr>
        <w:pStyle w:val="CH4normal"/>
        <w:ind w:left="567" w:hanging="567"/>
      </w:pPr>
      <w:bookmarkStart w:id="367" w:name="_Toc90552171"/>
      <w:bookmarkStart w:id="368" w:name="_Toc89892570"/>
      <w:r w:rsidRPr="00BE30D1">
        <w:lastRenderedPageBreak/>
        <w:t>The resulting shortfall triggered mutualisation for both RO and ROS</w:t>
      </w:r>
      <w:r w:rsidR="003B7840">
        <w:rPr>
          <w:rStyle w:val="FootnoteReference"/>
        </w:rPr>
        <w:footnoteReference w:id="77"/>
      </w:r>
      <w:r w:rsidRPr="00BE30D1">
        <w:t xml:space="preserve">. In line with the RO Orders, suppliers who discharged </w:t>
      </w:r>
      <w:r w:rsidR="000A178D">
        <w:t>their</w:t>
      </w:r>
      <w:r w:rsidRPr="00BE30D1">
        <w:t xml:space="preserve"> obligation</w:t>
      </w:r>
      <w:r w:rsidR="000A178D">
        <w:t>s in full or in part</w:t>
      </w:r>
      <w:r w:rsidRPr="00BE30D1">
        <w:t xml:space="preserve"> have been contacted to make quarterly payments to make up the shortfall</w:t>
      </w:r>
      <w:bookmarkEnd w:id="367"/>
      <w:r w:rsidRPr="00BE30D1">
        <w:t>, in proportion to their obligation. The first of these payments will be due by 31 August 2022. The latest updates on all mutualisation activity are published on our ‘RO Publication and updates’ webpage</w:t>
      </w:r>
      <w:r w:rsidRPr="0084257C">
        <w:rPr>
          <w:vertAlign w:val="superscript"/>
        </w:rPr>
        <w:footnoteReference w:id="78"/>
      </w:r>
      <w:r w:rsidRPr="00BE30D1">
        <w:t xml:space="preserve"> whereas further information on mutualisation can be found within chapter 7 of our Renewables Obligation: Guidance for Suppliers</w:t>
      </w:r>
      <w:r w:rsidR="0084257C">
        <w:t>.</w:t>
      </w:r>
      <w:r w:rsidRPr="0084257C">
        <w:rPr>
          <w:vertAlign w:val="superscript"/>
        </w:rPr>
        <w:footnoteReference w:id="79"/>
      </w:r>
      <w:bookmarkEnd w:id="368"/>
    </w:p>
    <w:p w14:paraId="73BEB014" w14:textId="25513219" w:rsidR="00770F22" w:rsidRDefault="00770F22" w:rsidP="003B35B0">
      <w:pPr>
        <w:pStyle w:val="Heading3"/>
      </w:pPr>
      <w:r w:rsidRPr="00770F22">
        <w:rPr>
          <w:rStyle w:val="Heading3Char"/>
        </w:rPr>
        <w:t xml:space="preserve">Mutualisation </w:t>
      </w:r>
      <w:r>
        <w:rPr>
          <w:rStyle w:val="Heading3Char"/>
        </w:rPr>
        <w:t>p</w:t>
      </w:r>
      <w:r w:rsidRPr="00770F22">
        <w:rPr>
          <w:rStyle w:val="Heading3Char"/>
        </w:rPr>
        <w:t xml:space="preserve">ayments </w:t>
      </w:r>
      <w:r w:rsidR="00BD26FE">
        <w:rPr>
          <w:rStyle w:val="Heading3Char"/>
        </w:rPr>
        <w:t>and redistribution</w:t>
      </w:r>
      <w:r w:rsidR="005A21AA">
        <w:rPr>
          <w:rStyle w:val="Heading3Char"/>
        </w:rPr>
        <w:t>s</w:t>
      </w:r>
      <w:r w:rsidRPr="00770F22">
        <w:rPr>
          <w:rStyle w:val="Heading3Char"/>
        </w:rPr>
        <w:t xml:space="preserve"> for </w:t>
      </w:r>
      <w:r>
        <w:rPr>
          <w:rStyle w:val="Heading3Char"/>
        </w:rPr>
        <w:t>p</w:t>
      </w:r>
      <w:r w:rsidRPr="00770F22">
        <w:rPr>
          <w:rStyle w:val="Heading3Char"/>
        </w:rPr>
        <w:t xml:space="preserve">revious </w:t>
      </w:r>
      <w:r>
        <w:rPr>
          <w:rStyle w:val="Heading3Char"/>
        </w:rPr>
        <w:t>c</w:t>
      </w:r>
      <w:r w:rsidRPr="00770F22">
        <w:rPr>
          <w:rStyle w:val="Heading3Char"/>
        </w:rPr>
        <w:t xml:space="preserve">ompliance </w:t>
      </w:r>
      <w:r w:rsidR="00BD26FE">
        <w:rPr>
          <w:rStyle w:val="Heading3Char"/>
        </w:rPr>
        <w:t>periods</w:t>
      </w:r>
    </w:p>
    <w:p w14:paraId="56AB7683" w14:textId="1B942820" w:rsidR="00770F22" w:rsidRDefault="00770F22" w:rsidP="003B35B0">
      <w:pPr>
        <w:pStyle w:val="CH4normal"/>
        <w:ind w:left="567" w:hanging="567"/>
      </w:pPr>
      <w:r w:rsidRPr="00770F22">
        <w:t>During the obligated period from 1 April 2020 to 31 March 2021</w:t>
      </w:r>
      <w:r>
        <w:t>,</w:t>
      </w:r>
      <w:r w:rsidRPr="00770F22">
        <w:t xml:space="preserve"> relevant suppliers had an obligation to make quarterly mutualisation payments for past compliance years</w:t>
      </w:r>
      <w:r w:rsidR="00BD26FE">
        <w:t xml:space="preserve"> and we had an obligation to redistribute mutualisation payments received from suppliers.</w:t>
      </w:r>
      <w:r w:rsidR="00B2130D">
        <w:t xml:space="preserve"> </w:t>
      </w:r>
      <w:r w:rsidR="00FC4B0F">
        <w:t>This process</w:t>
      </w:r>
      <w:r w:rsidR="00B2130D">
        <w:t xml:space="preserve"> is set out</w:t>
      </w:r>
      <w:r w:rsidRPr="00770F22">
        <w:t xml:space="preserve"> in </w:t>
      </w:r>
      <w:r w:rsidR="00B2130D">
        <w:t xml:space="preserve">the </w:t>
      </w:r>
      <w:r w:rsidRPr="00770F22">
        <w:t>RO Supplier Guidance</w:t>
      </w:r>
      <w:r>
        <w:rPr>
          <w:rStyle w:val="FootnoteReference"/>
        </w:rPr>
        <w:footnoteReference w:id="80"/>
      </w:r>
      <w:r>
        <w:t>.</w:t>
      </w:r>
    </w:p>
    <w:p w14:paraId="6BCC30AE" w14:textId="30A4F017" w:rsidR="00B24D65" w:rsidRDefault="00B24D65" w:rsidP="003B35B0">
      <w:pPr>
        <w:pStyle w:val="CH4normal"/>
        <w:ind w:left="567" w:hanging="567"/>
      </w:pPr>
      <w:r w:rsidRPr="00B24D65">
        <w:t xml:space="preserve">The quarterly mutualisation payments required </w:t>
      </w:r>
      <w:r w:rsidR="00BD26FE">
        <w:t xml:space="preserve">from suppliers </w:t>
      </w:r>
      <w:r w:rsidRPr="00B24D65">
        <w:t xml:space="preserve">during this period were for </w:t>
      </w:r>
      <w:r>
        <w:t>the fourth quarter</w:t>
      </w:r>
      <w:r w:rsidRPr="00B24D65">
        <w:t xml:space="preserve"> of 2017-18 and </w:t>
      </w:r>
      <w:r>
        <w:t>the first</w:t>
      </w:r>
      <w:r w:rsidR="00BD26FE">
        <w:t>,</w:t>
      </w:r>
      <w:r>
        <w:t xml:space="preserve"> second</w:t>
      </w:r>
      <w:r w:rsidR="00BD26FE">
        <w:t xml:space="preserve"> and third</w:t>
      </w:r>
      <w:r>
        <w:t xml:space="preserve"> quarters of</w:t>
      </w:r>
      <w:r w:rsidRPr="00B24D65">
        <w:t xml:space="preserve"> 2018-19</w:t>
      </w:r>
      <w:r>
        <w:t>.</w:t>
      </w:r>
      <w:r w:rsidRPr="00B24D65">
        <w:t xml:space="preserve"> </w:t>
      </w:r>
    </w:p>
    <w:p w14:paraId="70D0A3B6" w14:textId="63E26ED3" w:rsidR="00BD26FE" w:rsidRDefault="00B2130D" w:rsidP="003B35B0">
      <w:pPr>
        <w:pStyle w:val="CH4normal"/>
        <w:ind w:left="567" w:hanging="567"/>
      </w:pPr>
      <w:r>
        <w:t>The mutualisation payments we</w:t>
      </w:r>
      <w:r w:rsidR="00BD26FE">
        <w:t xml:space="preserve"> redistributed</w:t>
      </w:r>
      <w:r>
        <w:t xml:space="preserve"> during 2020-21 were in </w:t>
      </w:r>
      <w:r w:rsidR="00BD26FE">
        <w:t xml:space="preserve">relation to the third and </w:t>
      </w:r>
      <w:r>
        <w:t>fourth</w:t>
      </w:r>
      <w:r w:rsidR="00BD26FE">
        <w:t xml:space="preserve"> quarters</w:t>
      </w:r>
      <w:r>
        <w:t xml:space="preserve"> of</w:t>
      </w:r>
      <w:r w:rsidR="00BD26FE">
        <w:t xml:space="preserve"> 2017-18</w:t>
      </w:r>
      <w:r>
        <w:t>,</w:t>
      </w:r>
      <w:r w:rsidR="00BD26FE">
        <w:t xml:space="preserve"> and the first and second quarters </w:t>
      </w:r>
      <w:r>
        <w:t xml:space="preserve">of </w:t>
      </w:r>
      <w:r w:rsidR="00BD26FE">
        <w:t>2018-19.</w:t>
      </w:r>
    </w:p>
    <w:p w14:paraId="5FDBF426" w14:textId="4890C144" w:rsidR="00BD26FE" w:rsidRPr="00BE30D1" w:rsidRDefault="00B2130D" w:rsidP="003B35B0">
      <w:pPr>
        <w:pStyle w:val="CH4normal"/>
        <w:ind w:left="567" w:hanging="567"/>
      </w:pPr>
      <w:r>
        <w:t>To provide a clear picture of activity in this area</w:t>
      </w:r>
      <w:r w:rsidR="00100276">
        <w:t>,</w:t>
      </w:r>
      <w:r>
        <w:t xml:space="preserve"> we have included a summary in </w:t>
      </w:r>
      <w:r w:rsidRPr="003B35B0">
        <w:rPr>
          <w:b/>
          <w:bCs/>
        </w:rPr>
        <w:t>Appendix 2</w:t>
      </w:r>
      <w:r>
        <w:t xml:space="preserve"> of mutualisation payments received and redistributed</w:t>
      </w:r>
      <w:r w:rsidR="00100276">
        <w:t>,</w:t>
      </w:r>
      <w:r>
        <w:t xml:space="preserve"> in the relation to the complete 2017-18 and 2018-19 compliance periods. </w:t>
      </w:r>
      <w:r w:rsidR="00BD26FE">
        <w:t xml:space="preserve">Summaries of the payments received and </w:t>
      </w:r>
      <w:r w:rsidR="00BD26FE" w:rsidRPr="00B24D65">
        <w:t>redistributed are</w:t>
      </w:r>
      <w:r>
        <w:t xml:space="preserve"> also</w:t>
      </w:r>
      <w:r w:rsidR="00BD26FE" w:rsidRPr="00B24D65">
        <w:t xml:space="preserve"> published on </w:t>
      </w:r>
      <w:r w:rsidR="00BD26FE">
        <w:t>our</w:t>
      </w:r>
      <w:r w:rsidR="00BD26FE" w:rsidRPr="00B24D65">
        <w:t xml:space="preserve"> website</w:t>
      </w:r>
      <w:r w:rsidR="00BD26FE">
        <w:t>.</w:t>
      </w:r>
      <w:r w:rsidR="00BD26FE">
        <w:rPr>
          <w:rStyle w:val="FootnoteReference"/>
        </w:rPr>
        <w:footnoteReference w:id="81"/>
      </w:r>
    </w:p>
    <w:p w14:paraId="6C0B8261" w14:textId="5429ACD5" w:rsidR="00426E9A" w:rsidRDefault="00426E9A">
      <w:pPr>
        <w:spacing w:line="276" w:lineRule="auto"/>
        <w:rPr>
          <w:rFonts w:eastAsiaTheme="majorEastAsia" w:cstheme="minorHAnsi"/>
          <w:b/>
          <w:color w:val="000000"/>
          <w:sz w:val="28"/>
          <w:szCs w:val="26"/>
        </w:rPr>
      </w:pPr>
      <w:r>
        <w:rPr>
          <w:rFonts w:cstheme="minorHAnsi"/>
          <w:color w:val="000000"/>
        </w:rPr>
        <w:br w:type="page"/>
      </w:r>
    </w:p>
    <w:p w14:paraId="039DDF5D" w14:textId="44D19341" w:rsidR="007A4F18" w:rsidRPr="003B35B0" w:rsidRDefault="007A4F18" w:rsidP="003B35B0">
      <w:pPr>
        <w:pStyle w:val="Heading2"/>
        <w:rPr>
          <w:rStyle w:val="Heading1Char"/>
          <w:b/>
          <w:bCs w:val="0"/>
          <w:sz w:val="28"/>
          <w:szCs w:val="26"/>
        </w:rPr>
      </w:pPr>
      <w:bookmarkStart w:id="369" w:name="_Toc98852161"/>
      <w:r w:rsidRPr="003B35B0">
        <w:rPr>
          <w:rStyle w:val="Heading1Char"/>
          <w:b/>
          <w:bCs w:val="0"/>
          <w:sz w:val="28"/>
          <w:szCs w:val="26"/>
        </w:rPr>
        <w:lastRenderedPageBreak/>
        <w:t>202</w:t>
      </w:r>
      <w:r w:rsidR="001275F8" w:rsidRPr="003B35B0">
        <w:rPr>
          <w:rStyle w:val="Heading1Char"/>
          <w:b/>
          <w:bCs w:val="0"/>
          <w:sz w:val="28"/>
          <w:szCs w:val="26"/>
        </w:rPr>
        <w:t>0</w:t>
      </w:r>
      <w:r w:rsidRPr="003B35B0">
        <w:rPr>
          <w:rStyle w:val="Heading1Char"/>
          <w:b/>
          <w:bCs w:val="0"/>
          <w:sz w:val="28"/>
          <w:szCs w:val="26"/>
        </w:rPr>
        <w:t>-21 Supplier Audits</w:t>
      </w:r>
      <w:bookmarkEnd w:id="369"/>
    </w:p>
    <w:p w14:paraId="159892DF" w14:textId="40C807EF" w:rsidR="007A4F18" w:rsidRPr="00AC0ADA" w:rsidRDefault="007A4F18" w:rsidP="003B35B0">
      <w:pPr>
        <w:pStyle w:val="CH4normal"/>
        <w:ind w:left="567" w:hanging="567"/>
      </w:pPr>
      <w:r w:rsidRPr="00AC0ADA">
        <w:t xml:space="preserve">Supplier audits are conducted each year to gain assurance on the accuracy of the electricity figures submitted to us by suppliers (in this case covering the period 2020-21) and to ensure suppliers’ internal processes are robust. The audits also aim to prevent/reduce the number of submissions with errors and to deter fraudulent activity. </w:t>
      </w:r>
    </w:p>
    <w:p w14:paraId="19472D49" w14:textId="672044FE" w:rsidR="007A4F18" w:rsidRPr="00AC0ADA" w:rsidRDefault="007A4F18" w:rsidP="003B35B0">
      <w:pPr>
        <w:pStyle w:val="CH4normal"/>
        <w:ind w:left="567" w:hanging="567"/>
      </w:pPr>
      <w:r w:rsidRPr="00AC0ADA">
        <w:t>The audits were</w:t>
      </w:r>
      <w:r w:rsidR="00974FB5">
        <w:t xml:space="preserve"> generally</w:t>
      </w:r>
      <w:r w:rsidRPr="00AC0ADA">
        <w:t xml:space="preserve"> targeted </w:t>
      </w:r>
      <w:r w:rsidR="000A790E">
        <w:t>to</w:t>
      </w:r>
      <w:r w:rsidRPr="00AC0ADA">
        <w:t xml:space="preserve"> include those</w:t>
      </w:r>
      <w:r w:rsidR="000A790E">
        <w:t xml:space="preserve"> suppliers</w:t>
      </w:r>
      <w:r w:rsidRPr="00AC0ADA">
        <w:t xml:space="preserve"> where we have concerns over internal processes and those where we have concerns over the accuracy of supply volumes being reported. </w:t>
      </w:r>
    </w:p>
    <w:p w14:paraId="5AA10CCE" w14:textId="64D7CDA6" w:rsidR="007A4F18" w:rsidRDefault="007A4F18" w:rsidP="003B35B0">
      <w:pPr>
        <w:pStyle w:val="CH4normal"/>
        <w:ind w:left="567" w:hanging="567"/>
      </w:pPr>
      <w:r w:rsidRPr="00AC0ADA">
        <w:t>In 2020-21, four suppliers were audited. Of the four audits, three were rated ‘</w:t>
      </w:r>
      <w:r w:rsidR="00C16D6E">
        <w:t>G</w:t>
      </w:r>
      <w:r w:rsidRPr="00AC0ADA">
        <w:t>ood’ and one was rated ‘</w:t>
      </w:r>
      <w:r w:rsidR="00C16D6E">
        <w:t>W</w:t>
      </w:r>
      <w:r w:rsidRPr="00AC0ADA">
        <w:t>eak’.</w:t>
      </w:r>
      <w:r w:rsidR="00845770">
        <w:t xml:space="preserve"> </w:t>
      </w:r>
      <w:r w:rsidR="00E403EF">
        <w:t xml:space="preserve">A summary of </w:t>
      </w:r>
      <w:r w:rsidR="001275F8">
        <w:t xml:space="preserve">supplier audit results from 2016-17 to 2020-21 are shown in </w:t>
      </w:r>
      <w:r w:rsidR="001275F8" w:rsidRPr="003B35B0">
        <w:rPr>
          <w:b/>
          <w:bCs/>
        </w:rPr>
        <w:t>Figure 4.7</w:t>
      </w:r>
      <w:r w:rsidR="001275F8">
        <w:t>.</w:t>
      </w:r>
    </w:p>
    <w:p w14:paraId="6614BB36" w14:textId="57C81F0B" w:rsidR="001275F8" w:rsidRDefault="001275F8" w:rsidP="001275F8">
      <w:pPr>
        <w:pStyle w:val="NormalWeb"/>
        <w:spacing w:before="0" w:beforeAutospacing="0" w:after="240" w:afterAutospacing="0" w:line="360" w:lineRule="auto"/>
        <w:jc w:val="both"/>
        <w:rPr>
          <w:rFonts w:ascii="Verdana" w:hAnsi="Verdana" w:cs="Calibri"/>
          <w:b/>
          <w:bCs/>
          <w:sz w:val="20"/>
          <w:szCs w:val="20"/>
        </w:rPr>
      </w:pPr>
      <w:r>
        <w:rPr>
          <w:rFonts w:ascii="Verdana" w:hAnsi="Verdana" w:cs="Calibri"/>
          <w:b/>
          <w:bCs/>
          <w:sz w:val="20"/>
          <w:szCs w:val="20"/>
        </w:rPr>
        <w:t>Figure 4.7 Supplier audit results 2016-17 to 2020-21</w:t>
      </w:r>
    </w:p>
    <w:p w14:paraId="63CFAF0E" w14:textId="11C4502E" w:rsidR="001275F8" w:rsidRDefault="00060AA8">
      <w:pPr>
        <w:pStyle w:val="NormalWeb"/>
        <w:spacing w:before="0" w:beforeAutospacing="0" w:after="240" w:afterAutospacing="0" w:line="360" w:lineRule="auto"/>
        <w:jc w:val="both"/>
        <w:rPr>
          <w:rFonts w:ascii="Verdana" w:hAnsi="Verdana" w:cs="Calibri"/>
          <w:b/>
          <w:sz w:val="20"/>
          <w:szCs w:val="20"/>
        </w:rPr>
      </w:pPr>
      <w:r>
        <w:rPr>
          <w:noProof/>
        </w:rPr>
        <w:drawing>
          <wp:inline distT="0" distB="0" distL="0" distR="0" wp14:anchorId="6775FB07" wp14:editId="5F03F264">
            <wp:extent cx="6438900" cy="3067050"/>
            <wp:effectExtent l="0" t="0" r="0" b="0"/>
            <wp:docPr id="239" name="Chart 239" descr="This chart shows the breakdown of supplier audit results from 2016-17 to 2020-21, as a percentage of all supplier audits conducted that year. Audit results can have one of four results; Good, Satisfactory, Weak, and Unsatisfactory. &#10;&#10;The data used to produce this chart is published alongside this report on our website.">
              <a:extLst xmlns:a="http://schemas.openxmlformats.org/drawingml/2006/main">
                <a:ext uri="{FF2B5EF4-FFF2-40B4-BE49-F238E27FC236}">
                  <a16:creationId xmlns:a16="http://schemas.microsoft.com/office/drawing/2014/main" id="{4C43FEB0-D311-41E6-BD58-353D0980C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35ABBA5" w14:textId="328167D1" w:rsidR="001275F8" w:rsidRDefault="00E403EF" w:rsidP="003B35B0">
      <w:pPr>
        <w:pStyle w:val="CH4normal"/>
        <w:ind w:left="567" w:hanging="567"/>
      </w:pPr>
      <w:r>
        <w:t>All audits from 2020-21 are now closed and t</w:t>
      </w:r>
      <w:r w:rsidR="007A4F18" w:rsidRPr="00AC0ADA">
        <w:t>he main findings related to</w:t>
      </w:r>
      <w:r w:rsidR="001275F8">
        <w:t>:</w:t>
      </w:r>
    </w:p>
    <w:p w14:paraId="68EF9AE9" w14:textId="131CE4CA" w:rsidR="001275F8" w:rsidRDefault="007D4D05" w:rsidP="003B35B0">
      <w:pPr>
        <w:pStyle w:val="NormalWeb"/>
        <w:numPr>
          <w:ilvl w:val="0"/>
          <w:numId w:val="50"/>
        </w:numPr>
        <w:spacing w:before="0" w:beforeAutospacing="0" w:after="0" w:afterAutospacing="0" w:line="360" w:lineRule="auto"/>
        <w:ind w:left="1134" w:hanging="357"/>
        <w:rPr>
          <w:rFonts w:ascii="Verdana" w:hAnsi="Verdana" w:cs="Calibri"/>
          <w:sz w:val="20"/>
          <w:szCs w:val="20"/>
        </w:rPr>
      </w:pPr>
      <w:r>
        <w:rPr>
          <w:rFonts w:ascii="Verdana" w:hAnsi="Verdana" w:cs="Calibri"/>
          <w:sz w:val="20"/>
          <w:szCs w:val="20"/>
        </w:rPr>
        <w:t>I</w:t>
      </w:r>
      <w:r w:rsidR="001275F8" w:rsidRPr="007B6E81">
        <w:rPr>
          <w:rFonts w:ascii="Verdana" w:hAnsi="Verdana" w:cs="Calibri"/>
          <w:sz w:val="20"/>
          <w:szCs w:val="20"/>
        </w:rPr>
        <w:t>naccuracies in processes</w:t>
      </w:r>
      <w:r>
        <w:rPr>
          <w:rFonts w:ascii="Verdana" w:hAnsi="Verdana" w:cs="Calibri"/>
          <w:sz w:val="20"/>
          <w:szCs w:val="20"/>
        </w:rPr>
        <w:t>.</w:t>
      </w:r>
    </w:p>
    <w:p w14:paraId="4457A920" w14:textId="501DBD3E" w:rsidR="001275F8" w:rsidRDefault="007D4D05" w:rsidP="003B35B0">
      <w:pPr>
        <w:pStyle w:val="NormalWeb"/>
        <w:numPr>
          <w:ilvl w:val="0"/>
          <w:numId w:val="50"/>
        </w:numPr>
        <w:spacing w:before="0" w:beforeAutospacing="0" w:after="0" w:afterAutospacing="0" w:line="360" w:lineRule="auto"/>
        <w:ind w:left="1134" w:hanging="357"/>
        <w:rPr>
          <w:rFonts w:ascii="Verdana" w:hAnsi="Verdana" w:cs="Calibri"/>
          <w:sz w:val="20"/>
          <w:szCs w:val="20"/>
        </w:rPr>
      </w:pPr>
      <w:r>
        <w:rPr>
          <w:rFonts w:ascii="Verdana" w:hAnsi="Verdana" w:cs="Calibri"/>
          <w:sz w:val="20"/>
          <w:szCs w:val="20"/>
        </w:rPr>
        <w:t>A</w:t>
      </w:r>
      <w:r w:rsidR="001275F8" w:rsidRPr="007B6E81">
        <w:rPr>
          <w:rFonts w:ascii="Verdana" w:hAnsi="Verdana" w:cs="Calibri"/>
          <w:sz w:val="20"/>
          <w:szCs w:val="20"/>
        </w:rPr>
        <w:t xml:space="preserve"> lack of risk assessments or independent assurance activities taking place</w:t>
      </w:r>
      <w:r>
        <w:rPr>
          <w:rFonts w:ascii="Verdana" w:hAnsi="Verdana" w:cs="Calibri"/>
          <w:sz w:val="20"/>
          <w:szCs w:val="20"/>
        </w:rPr>
        <w:t>.</w:t>
      </w:r>
    </w:p>
    <w:p w14:paraId="5DBBD003" w14:textId="1D17DB2A" w:rsidR="001275F8" w:rsidRDefault="007D4D05" w:rsidP="003B35B0">
      <w:pPr>
        <w:pStyle w:val="NormalWeb"/>
        <w:numPr>
          <w:ilvl w:val="0"/>
          <w:numId w:val="50"/>
        </w:numPr>
        <w:spacing w:before="0" w:beforeAutospacing="0" w:after="0" w:afterAutospacing="0" w:line="360" w:lineRule="auto"/>
        <w:ind w:left="1134" w:hanging="357"/>
        <w:rPr>
          <w:rFonts w:ascii="Verdana" w:hAnsi="Verdana" w:cs="Calibri"/>
          <w:sz w:val="20"/>
          <w:szCs w:val="20"/>
        </w:rPr>
      </w:pPr>
      <w:r>
        <w:rPr>
          <w:rFonts w:ascii="Verdana" w:hAnsi="Verdana" w:cs="Calibri"/>
          <w:sz w:val="20"/>
          <w:szCs w:val="20"/>
        </w:rPr>
        <w:t>I</w:t>
      </w:r>
      <w:r w:rsidR="001275F8" w:rsidRPr="007B6E81">
        <w:rPr>
          <w:rFonts w:ascii="Verdana" w:hAnsi="Verdana" w:cs="Calibri"/>
          <w:sz w:val="20"/>
          <w:szCs w:val="20"/>
        </w:rPr>
        <w:t>ssues with users and information held on the R&amp;CHP Register</w:t>
      </w:r>
      <w:r>
        <w:rPr>
          <w:rFonts w:ascii="Verdana" w:hAnsi="Verdana" w:cs="Calibri"/>
          <w:sz w:val="20"/>
          <w:szCs w:val="20"/>
        </w:rPr>
        <w:t>.</w:t>
      </w:r>
      <w:r w:rsidR="001275F8">
        <w:rPr>
          <w:rFonts w:ascii="Verdana" w:hAnsi="Verdana" w:cs="Calibri"/>
          <w:sz w:val="20"/>
          <w:szCs w:val="20"/>
        </w:rPr>
        <w:t xml:space="preserve"> </w:t>
      </w:r>
    </w:p>
    <w:p w14:paraId="75E626A8" w14:textId="373F8D6F" w:rsidR="001275F8" w:rsidRDefault="007D4D05" w:rsidP="003B35B0">
      <w:pPr>
        <w:pStyle w:val="NormalWeb"/>
        <w:numPr>
          <w:ilvl w:val="0"/>
          <w:numId w:val="50"/>
        </w:numPr>
        <w:spacing w:before="0" w:beforeAutospacing="0" w:after="120" w:afterAutospacing="0" w:line="360" w:lineRule="auto"/>
        <w:ind w:left="1134" w:hanging="357"/>
        <w:rPr>
          <w:rFonts w:ascii="Verdana" w:hAnsi="Verdana" w:cs="Calibri"/>
          <w:sz w:val="20"/>
          <w:szCs w:val="20"/>
        </w:rPr>
      </w:pPr>
      <w:r>
        <w:rPr>
          <w:rFonts w:ascii="Verdana" w:hAnsi="Verdana" w:cs="Calibri"/>
          <w:sz w:val="20"/>
          <w:szCs w:val="20"/>
        </w:rPr>
        <w:t>T</w:t>
      </w:r>
      <w:r w:rsidR="001275F8" w:rsidRPr="007B6E81">
        <w:rPr>
          <w:rFonts w:ascii="Verdana" w:hAnsi="Verdana" w:cs="Calibri"/>
          <w:sz w:val="20"/>
          <w:szCs w:val="20"/>
        </w:rPr>
        <w:t>he robustness of controls in place around compiling and checking the submission of data to us</w:t>
      </w:r>
      <w:r w:rsidR="00E403EF">
        <w:rPr>
          <w:rFonts w:ascii="Verdana" w:hAnsi="Verdana" w:cs="Calibri"/>
          <w:sz w:val="20"/>
          <w:szCs w:val="20"/>
        </w:rPr>
        <w:t>.</w:t>
      </w:r>
    </w:p>
    <w:p w14:paraId="4212D761" w14:textId="6DDB504F" w:rsidR="004A138E" w:rsidRDefault="004A138E" w:rsidP="003B35B0">
      <w:pPr>
        <w:pStyle w:val="CH4normal"/>
        <w:ind w:left="567" w:hanging="567"/>
      </w:pPr>
      <w:r w:rsidRPr="004A138E">
        <w:lastRenderedPageBreak/>
        <w:t>Where audit findings give cause for concern or identify areas for improvement, Ofgem engages with the relevant suppliers to develop an action plan. All instances of non-compliance will be added to the Supplier Performance Report (SPR)</w:t>
      </w:r>
      <w:r w:rsidR="00F93851">
        <w:rPr>
          <w:rStyle w:val="FootnoteReference"/>
          <w:rFonts w:cs="Calibri"/>
        </w:rPr>
        <w:footnoteReference w:id="82"/>
      </w:r>
      <w:r w:rsidR="00F93851">
        <w:t>.</w:t>
      </w:r>
    </w:p>
    <w:p w14:paraId="5D7D2D95" w14:textId="77777777" w:rsidR="00426E9A" w:rsidRDefault="00426E9A">
      <w:pPr>
        <w:spacing w:line="276" w:lineRule="auto"/>
        <w:rPr>
          <w:rFonts w:cs="Calibri"/>
        </w:rPr>
      </w:pPr>
      <w:r>
        <w:rPr>
          <w:rFonts w:cs="Calibri"/>
        </w:rPr>
        <w:br w:type="page"/>
      </w:r>
    </w:p>
    <w:p w14:paraId="510762B5" w14:textId="6A5B0A7C" w:rsidR="0080177F" w:rsidRPr="0076464C" w:rsidRDefault="0080177F" w:rsidP="0076464C">
      <w:pPr>
        <w:rPr>
          <w:rStyle w:val="Heading1Char"/>
        </w:rPr>
      </w:pPr>
      <w:bookmarkStart w:id="370" w:name="_Toc98852162"/>
      <w:r w:rsidRPr="00B84318">
        <w:rPr>
          <w:rStyle w:val="Heading1Char"/>
        </w:rPr>
        <w:lastRenderedPageBreak/>
        <w:t xml:space="preserve">5. </w:t>
      </w:r>
      <w:r w:rsidRPr="0076464C">
        <w:rPr>
          <w:rStyle w:val="Heading1Char"/>
        </w:rPr>
        <w:t>Compliance of RO generators</w:t>
      </w:r>
      <w:bookmarkEnd w:id="370"/>
    </w:p>
    <w:bookmarkStart w:id="371" w:name="_Toc98852163" w:displacedByCustomXml="next"/>
    <w:sdt>
      <w:sdtPr>
        <w:rPr>
          <w:rFonts w:ascii="Times New Roman" w:eastAsia="Times New Roman" w:hAnsi="Times New Roman" w:cs="Times New Roman"/>
          <w:b w:val="0"/>
          <w:noProof/>
          <w:color w:val="auto"/>
          <w:sz w:val="20"/>
          <w:szCs w:val="20"/>
        </w:rPr>
        <w:id w:val="1671289011"/>
        <w:docPartObj>
          <w:docPartGallery w:val="Cover Pages"/>
          <w:docPartUnique/>
        </w:docPartObj>
      </w:sdtPr>
      <w:sdtEndPr>
        <w:rPr>
          <w:rFonts w:ascii="Verdana" w:eastAsiaTheme="minorHAnsi" w:hAnsi="Verdana" w:cstheme="minorBidi"/>
        </w:rPr>
      </w:sdtEndPr>
      <w:sdtContent>
        <w:p w14:paraId="068402EC" w14:textId="14416544" w:rsidR="000A6C95" w:rsidRPr="000371B8" w:rsidRDefault="000A6C95" w:rsidP="000371B8">
          <w:pPr>
            <w:pStyle w:val="Heading2"/>
            <w:rPr>
              <w:rStyle w:val="ChaptersummaryheadingChar"/>
              <w:bCs w:val="0"/>
            </w:rPr>
          </w:pPr>
          <w:r w:rsidRPr="000371B8">
            <w:rPr>
              <w:rStyle w:val="ChaptersummaryheadingChar"/>
              <w:bCs w:val="0"/>
            </w:rPr>
            <w:t>Chapter summary</w:t>
          </w:r>
          <w:bookmarkEnd w:id="371"/>
        </w:p>
        <w:p w14:paraId="23E7FDC8" w14:textId="0CC06C8F" w:rsidR="002C5770" w:rsidRPr="002C5770" w:rsidRDefault="000A6C95" w:rsidP="002C5770">
          <w:pPr>
            <w:rPr>
              <w:rFonts w:eastAsia="Times New Roman" w:cs="Calibri"/>
              <w:b/>
            </w:rPr>
          </w:pPr>
          <w:r w:rsidRPr="0076464C">
            <w:rPr>
              <w:rFonts w:eastAsia="Times New Roman" w:cs="Calibri"/>
              <w:b/>
              <w:bCs/>
            </w:rPr>
            <w:t xml:space="preserve">The 2020-21 </w:t>
          </w:r>
          <w:r w:rsidR="00B94801">
            <w:rPr>
              <w:rFonts w:eastAsia="Times New Roman" w:cs="Calibri"/>
              <w:b/>
              <w:bCs/>
            </w:rPr>
            <w:t xml:space="preserve">generator </w:t>
          </w:r>
          <w:r w:rsidRPr="0076464C">
            <w:rPr>
              <w:rFonts w:eastAsia="Times New Roman" w:cs="Calibri"/>
              <w:b/>
              <w:bCs/>
            </w:rPr>
            <w:t xml:space="preserve">audit programme consisted of </w:t>
          </w:r>
          <w:r w:rsidR="00690B52">
            <w:rPr>
              <w:rFonts w:eastAsia="Times New Roman" w:cs="Calibri"/>
              <w:b/>
              <w:bCs/>
            </w:rPr>
            <w:t>83 targeted and 39</w:t>
          </w:r>
          <w:r w:rsidR="00AB2C04">
            <w:rPr>
              <w:rFonts w:eastAsia="Times New Roman" w:cs="Calibri"/>
              <w:b/>
              <w:bCs/>
            </w:rPr>
            <w:t>1</w:t>
          </w:r>
          <w:r w:rsidR="00690B52">
            <w:rPr>
              <w:rFonts w:eastAsia="Times New Roman" w:cs="Calibri"/>
              <w:b/>
              <w:bCs/>
            </w:rPr>
            <w:t xml:space="preserve"> statistical </w:t>
          </w:r>
          <w:r w:rsidRPr="0076464C">
            <w:rPr>
              <w:rFonts w:eastAsia="Times New Roman" w:cs="Calibri"/>
              <w:b/>
              <w:bCs/>
            </w:rPr>
            <w:t>audits being conducted on</w:t>
          </w:r>
          <w:r w:rsidRPr="000371B8">
            <w:rPr>
              <w:rFonts w:eastAsia="Times New Roman" w:cs="Calibri"/>
              <w:b/>
            </w:rPr>
            <w:t xml:space="preserve"> stations in the UK</w:t>
          </w:r>
          <w:r w:rsidR="00690B52" w:rsidRPr="000371B8">
            <w:rPr>
              <w:rFonts w:eastAsia="Times New Roman" w:cs="Calibri"/>
              <w:b/>
            </w:rPr>
            <w:t>.</w:t>
          </w:r>
          <w:r w:rsidR="00E91EC7" w:rsidRPr="000371B8">
            <w:rPr>
              <w:rFonts w:eastAsia="Times New Roman" w:cs="Calibri"/>
              <w:b/>
            </w:rPr>
            <w:t xml:space="preserve"> </w:t>
          </w:r>
          <w:r w:rsidR="002C5770" w:rsidRPr="002C5770">
            <w:rPr>
              <w:rFonts w:eastAsia="Times New Roman" w:cs="Calibri"/>
              <w:b/>
            </w:rPr>
            <w:t>This was the first year in which statistical audits have been conducted on the RO. Overall, 64% of targeted audits and 78% of statistical audits were rated as being either ‘Weak’ or ‘Unsatisfactory’. In addition to the generator audits we also conducted three agent or ‘rent-a-roof’ company audits and all were rated either ‘Good’ or ‘Satisfactory’.</w:t>
          </w:r>
        </w:p>
        <w:p w14:paraId="1170BB41" w14:textId="137B694F" w:rsidR="000A6C95" w:rsidRPr="0076464C" w:rsidRDefault="002C5770" w:rsidP="000371B8">
          <w:pPr>
            <w:rPr>
              <w:rFonts w:eastAsia="Times New Roman" w:cs="Calibri"/>
              <w:b/>
              <w:bCs/>
            </w:rPr>
          </w:pPr>
          <w:r w:rsidRPr="002C5770">
            <w:rPr>
              <w:rFonts w:eastAsia="Times New Roman" w:cs="Calibri"/>
              <w:b/>
            </w:rPr>
            <w:t>A total of 48 participant compliance investigations were closed during 2020-21 with seven of these cases resulting in compliance action being taken. This included the withdrawal of accreditation for three generating stations. Two of these withdrawal decisions resulted in applications to the High Court for judicial review. Ofgem successfully defended one case. The applicant in the other case ultimately withdrew their application for judicial review.</w:t>
          </w:r>
        </w:p>
        <w:p w14:paraId="54C92A5B" w14:textId="57A1DA7C" w:rsidR="008B613B" w:rsidRPr="008632B3" w:rsidRDefault="008B613B" w:rsidP="000371B8">
          <w:pPr>
            <w:pStyle w:val="NormalWeb"/>
            <w:numPr>
              <w:ilvl w:val="0"/>
              <w:numId w:val="45"/>
            </w:numPr>
            <w:spacing w:before="0" w:beforeAutospacing="0" w:after="200" w:afterAutospacing="0" w:line="360" w:lineRule="auto"/>
            <w:ind w:left="567" w:hanging="567"/>
            <w:rPr>
              <w:rFonts w:ascii="Verdana" w:eastAsiaTheme="minorHAnsi" w:hAnsi="Verdana" w:cstheme="minorBidi"/>
              <w:noProof/>
              <w:sz w:val="20"/>
              <w:szCs w:val="20"/>
            </w:rPr>
          </w:pPr>
          <w:r w:rsidRPr="008632B3">
            <w:rPr>
              <w:rFonts w:ascii="Verdana" w:eastAsiaTheme="minorHAnsi" w:hAnsi="Verdana" w:cstheme="minorBidi"/>
              <w:noProof/>
              <w:sz w:val="20"/>
              <w:szCs w:val="20"/>
            </w:rPr>
            <w:t xml:space="preserve">Accredited generating </w:t>
          </w:r>
          <w:r w:rsidRPr="000371B8">
            <w:rPr>
              <w:rStyle w:val="CH5normalChar"/>
              <w:rFonts w:eastAsiaTheme="minorHAnsi"/>
            </w:rPr>
            <w:t>stations are audited to ensure they remain compliant according to scheme eligibility requirements and guidance. As well as helping to ensure that stations continue to meet</w:t>
          </w:r>
          <w:r>
            <w:rPr>
              <w:rFonts w:ascii="Verdana" w:eastAsiaTheme="minorHAnsi" w:hAnsi="Verdana" w:cstheme="minorBidi"/>
              <w:noProof/>
              <w:sz w:val="20"/>
              <w:szCs w:val="20"/>
            </w:rPr>
            <w:t xml:space="preserve"> </w:t>
          </w:r>
          <w:r w:rsidRPr="008632B3">
            <w:rPr>
              <w:rFonts w:ascii="Verdana" w:eastAsiaTheme="minorHAnsi" w:hAnsi="Verdana" w:cstheme="minorBidi"/>
              <w:noProof/>
              <w:sz w:val="20"/>
              <w:szCs w:val="20"/>
            </w:rPr>
            <w:t>eligibility requirements</w:t>
          </w:r>
          <w:r>
            <w:rPr>
              <w:rFonts w:ascii="Verdana" w:eastAsiaTheme="minorHAnsi" w:hAnsi="Verdana" w:cstheme="minorBidi"/>
              <w:noProof/>
              <w:sz w:val="20"/>
              <w:szCs w:val="20"/>
            </w:rPr>
            <w:t>,</w:t>
          </w:r>
          <w:r w:rsidRPr="008632B3">
            <w:rPr>
              <w:rFonts w:ascii="Verdana" w:eastAsiaTheme="minorHAnsi" w:hAnsi="Verdana" w:cstheme="minorBidi"/>
              <w:noProof/>
              <w:sz w:val="20"/>
              <w:szCs w:val="20"/>
            </w:rPr>
            <w:t xml:space="preserve"> audits also provide assurance that the correct number of ROCs have been issued and that the information we hold is current. Furthermore, audits help identify</w:t>
          </w:r>
          <w:r>
            <w:rPr>
              <w:rFonts w:ascii="Verdana" w:eastAsiaTheme="minorHAnsi" w:hAnsi="Verdana" w:cstheme="minorBidi"/>
              <w:noProof/>
              <w:sz w:val="20"/>
              <w:szCs w:val="20"/>
            </w:rPr>
            <w:t xml:space="preserve"> and prevent</w:t>
          </w:r>
          <w:r w:rsidRPr="008632B3">
            <w:rPr>
              <w:rFonts w:ascii="Verdana" w:eastAsiaTheme="minorHAnsi" w:hAnsi="Verdana" w:cstheme="minorBidi"/>
              <w:noProof/>
              <w:sz w:val="20"/>
              <w:szCs w:val="20"/>
            </w:rPr>
            <w:t xml:space="preserve"> errors</w:t>
          </w:r>
          <w:r>
            <w:rPr>
              <w:rFonts w:ascii="Verdana" w:eastAsiaTheme="minorHAnsi" w:hAnsi="Verdana" w:cstheme="minorBidi"/>
              <w:noProof/>
              <w:sz w:val="20"/>
              <w:szCs w:val="20"/>
            </w:rPr>
            <w:t>,</w:t>
          </w:r>
          <w:r w:rsidRPr="008632B3">
            <w:rPr>
              <w:rFonts w:ascii="Verdana" w:eastAsiaTheme="minorHAnsi" w:hAnsi="Verdana" w:cstheme="minorBidi"/>
              <w:noProof/>
              <w:sz w:val="20"/>
              <w:szCs w:val="20"/>
            </w:rPr>
            <w:t xml:space="preserve"> and potentially fraudulent activity. </w:t>
          </w:r>
        </w:p>
        <w:p w14:paraId="27A965F2" w14:textId="355BAC99" w:rsidR="007E0D27" w:rsidRDefault="008B613B" w:rsidP="000371B8">
          <w:pPr>
            <w:pStyle w:val="CH5normal"/>
            <w:ind w:left="567" w:hanging="567"/>
          </w:pPr>
          <w:r>
            <w:t>As well as audits of accredited generating stations, w</w:t>
          </w:r>
          <w:r w:rsidR="000A6C95" w:rsidRPr="008632B3">
            <w:t xml:space="preserve">e </w:t>
          </w:r>
          <w:r>
            <w:t xml:space="preserve">also </w:t>
          </w:r>
          <w:r w:rsidR="000A6C95" w:rsidRPr="008632B3">
            <w:t xml:space="preserve">conduct audits on those applying for accreditation. The aim of auditing generating stations </w:t>
          </w:r>
          <w:r w:rsidR="009A2AE3">
            <w:t>before</w:t>
          </w:r>
          <w:r w:rsidR="009A2AE3" w:rsidRPr="008632B3">
            <w:t xml:space="preserve"> </w:t>
          </w:r>
          <w:r>
            <w:t>determining</w:t>
          </w:r>
          <w:r w:rsidR="009A2AE3" w:rsidRPr="008632B3">
            <w:t xml:space="preserve"> eligibility</w:t>
          </w:r>
          <w:r w:rsidR="009A2AE3">
            <w:t xml:space="preserve"> </w:t>
          </w:r>
          <w:r w:rsidR="000A6C95" w:rsidRPr="008632B3">
            <w:t>is to verify</w:t>
          </w:r>
          <w:r w:rsidR="009A2AE3">
            <w:t xml:space="preserve"> the</w:t>
          </w:r>
          <w:r w:rsidR="000A6C95" w:rsidRPr="008632B3">
            <w:t xml:space="preserve"> </w:t>
          </w:r>
          <w:r>
            <w:t>evidence</w:t>
          </w:r>
          <w:r w:rsidRPr="008632B3">
            <w:t xml:space="preserve"> </w:t>
          </w:r>
          <w:r w:rsidR="000A6C95" w:rsidRPr="008632B3">
            <w:t xml:space="preserve">submitted in support of </w:t>
          </w:r>
          <w:r w:rsidR="00B17854">
            <w:t>an</w:t>
          </w:r>
          <w:r w:rsidR="00B17854" w:rsidRPr="008632B3">
            <w:t xml:space="preserve"> </w:t>
          </w:r>
          <w:r w:rsidR="000A6C95" w:rsidRPr="008632B3">
            <w:t xml:space="preserve">application. </w:t>
          </w:r>
        </w:p>
        <w:p w14:paraId="2BBDD1D8" w14:textId="2EE65F22" w:rsidR="001C6BCE" w:rsidRDefault="000A6C95" w:rsidP="000371B8">
          <w:pPr>
            <w:pStyle w:val="CH5normal"/>
            <w:ind w:left="567" w:hanging="567"/>
          </w:pPr>
          <w:r w:rsidRPr="008632B3">
            <w:t>Each audit receives an assurance rating which is dependent on the findings. The ratings are as follows:</w:t>
          </w:r>
          <w:r w:rsidR="001C6BCE" w:rsidRPr="001C6BCE">
            <w:t xml:space="preserve"> </w:t>
          </w:r>
        </w:p>
        <w:p w14:paraId="700DD6D5" w14:textId="739BE1F0" w:rsidR="00396F8C" w:rsidRDefault="000A6C95" w:rsidP="000371B8">
          <w:pPr>
            <w:pStyle w:val="ListParagraph"/>
            <w:numPr>
              <w:ilvl w:val="0"/>
              <w:numId w:val="18"/>
            </w:numPr>
            <w:spacing w:after="0"/>
            <w:ind w:left="1276" w:hanging="425"/>
            <w:rPr>
              <w:rFonts w:eastAsia="Times New Roman" w:cs="Times New Roman"/>
            </w:rPr>
          </w:pPr>
          <w:r w:rsidRPr="000371B8">
            <w:rPr>
              <w:rFonts w:eastAsia="Times New Roman" w:cs="Times New Roman"/>
              <w:b/>
              <w:bCs/>
            </w:rPr>
            <w:t>Good</w:t>
          </w:r>
          <w:r w:rsidRPr="00396F8C">
            <w:rPr>
              <w:rFonts w:eastAsia="Times New Roman" w:cs="Times New Roman"/>
            </w:rPr>
            <w:t xml:space="preserve"> (no issues identified at audit)</w:t>
          </w:r>
          <w:r w:rsidR="007D4D05">
            <w:rPr>
              <w:rFonts w:eastAsia="Times New Roman" w:cs="Times New Roman"/>
            </w:rPr>
            <w:t>.</w:t>
          </w:r>
          <w:r w:rsidRPr="00396F8C">
            <w:rPr>
              <w:rFonts w:eastAsia="Times New Roman" w:cs="Times New Roman"/>
            </w:rPr>
            <w:t xml:space="preserve"> </w:t>
          </w:r>
        </w:p>
        <w:p w14:paraId="3921D7C1" w14:textId="3E37AE52" w:rsidR="000A6C95" w:rsidRPr="00396F8C" w:rsidRDefault="000A6C95" w:rsidP="000371B8">
          <w:pPr>
            <w:pStyle w:val="ListParagraph"/>
            <w:numPr>
              <w:ilvl w:val="0"/>
              <w:numId w:val="18"/>
            </w:numPr>
            <w:spacing w:after="0"/>
            <w:ind w:left="1276" w:hanging="425"/>
            <w:rPr>
              <w:rFonts w:eastAsia="Times New Roman" w:cs="Times New Roman"/>
            </w:rPr>
          </w:pPr>
          <w:r w:rsidRPr="000371B8">
            <w:rPr>
              <w:rFonts w:eastAsia="Times New Roman" w:cs="Times New Roman"/>
              <w:b/>
              <w:bCs/>
            </w:rPr>
            <w:t>Satisfactory</w:t>
          </w:r>
          <w:r w:rsidRPr="00396F8C">
            <w:rPr>
              <w:rFonts w:eastAsia="Times New Roman" w:cs="Times New Roman"/>
            </w:rPr>
            <w:t xml:space="preserve"> (minor issues or instances where best practice is not followed)</w:t>
          </w:r>
          <w:r w:rsidR="007D4D05">
            <w:rPr>
              <w:rFonts w:eastAsia="Times New Roman" w:cs="Times New Roman"/>
            </w:rPr>
            <w:t>.</w:t>
          </w:r>
          <w:r w:rsidRPr="00396F8C">
            <w:rPr>
              <w:rFonts w:eastAsia="Times New Roman" w:cs="Times New Roman"/>
            </w:rPr>
            <w:t xml:space="preserve"> </w:t>
          </w:r>
        </w:p>
        <w:p w14:paraId="625ECB85" w14:textId="79275C9F" w:rsidR="000A6C95" w:rsidRPr="00396F8C" w:rsidRDefault="000A6C95" w:rsidP="000371B8">
          <w:pPr>
            <w:pStyle w:val="ListParagraph"/>
            <w:numPr>
              <w:ilvl w:val="0"/>
              <w:numId w:val="18"/>
            </w:numPr>
            <w:spacing w:after="0"/>
            <w:ind w:left="1276" w:hanging="425"/>
            <w:rPr>
              <w:rFonts w:eastAsia="Times New Roman" w:cs="Times New Roman"/>
            </w:rPr>
          </w:pPr>
          <w:r w:rsidRPr="000371B8">
            <w:rPr>
              <w:rFonts w:eastAsia="Times New Roman" w:cs="Times New Roman"/>
              <w:b/>
              <w:bCs/>
            </w:rPr>
            <w:t>Weak</w:t>
          </w:r>
          <w:r w:rsidRPr="00396F8C">
            <w:rPr>
              <w:rFonts w:eastAsia="Times New Roman" w:cs="Times New Roman"/>
            </w:rPr>
            <w:t xml:space="preserve"> (the audit identified moderate issues of non-compliance)</w:t>
          </w:r>
          <w:r w:rsidR="007D4D05">
            <w:rPr>
              <w:rFonts w:eastAsia="Times New Roman" w:cs="Times New Roman"/>
            </w:rPr>
            <w:t>.</w:t>
          </w:r>
          <w:r w:rsidRPr="00396F8C">
            <w:rPr>
              <w:rFonts w:eastAsia="Times New Roman" w:cs="Times New Roman"/>
            </w:rPr>
            <w:t xml:space="preserve"> </w:t>
          </w:r>
        </w:p>
        <w:p w14:paraId="69B2A74C" w14:textId="761941FC" w:rsidR="000A6C95" w:rsidRDefault="000A6C95" w:rsidP="000371B8">
          <w:pPr>
            <w:pStyle w:val="ListParagraph"/>
            <w:numPr>
              <w:ilvl w:val="0"/>
              <w:numId w:val="18"/>
            </w:numPr>
            <w:spacing w:after="0"/>
            <w:ind w:left="1276" w:hanging="425"/>
            <w:rPr>
              <w:rFonts w:eastAsia="Times New Roman" w:cs="Times New Roman"/>
            </w:rPr>
          </w:pPr>
          <w:r w:rsidRPr="000371B8">
            <w:rPr>
              <w:rFonts w:eastAsia="Times New Roman" w:cs="Times New Roman"/>
              <w:b/>
              <w:bCs/>
            </w:rPr>
            <w:t>Unsatisfactory</w:t>
          </w:r>
          <w:r w:rsidRPr="00396F8C">
            <w:rPr>
              <w:rFonts w:eastAsia="Times New Roman" w:cs="Times New Roman"/>
            </w:rPr>
            <w:t xml:space="preserve"> (major instances of non-compliance or suspected fraud identified</w:t>
          </w:r>
          <w:r w:rsidR="008037C7">
            <w:rPr>
              <w:rFonts w:eastAsia="Times New Roman" w:cs="Times New Roman"/>
            </w:rPr>
            <w:t>)</w:t>
          </w:r>
          <w:r w:rsidR="007D4D05">
            <w:rPr>
              <w:rFonts w:eastAsia="Times New Roman" w:cs="Times New Roman"/>
            </w:rPr>
            <w:t>.</w:t>
          </w:r>
        </w:p>
        <w:p w14:paraId="01CA4D7C" w14:textId="77777777" w:rsidR="008037C7" w:rsidRPr="00396F8C" w:rsidRDefault="008037C7">
          <w:pPr>
            <w:pStyle w:val="ListParagraph"/>
            <w:spacing w:after="0"/>
            <w:ind w:left="1276"/>
            <w:rPr>
              <w:rFonts w:eastAsia="Times New Roman" w:cs="Times New Roman"/>
            </w:rPr>
          </w:pPr>
        </w:p>
        <w:p w14:paraId="65C058C7" w14:textId="28CD88F6" w:rsidR="001C6BCE" w:rsidRPr="00AB52A9" w:rsidRDefault="001C6BCE" w:rsidP="000371B8">
          <w:pPr>
            <w:pStyle w:val="CH5normal"/>
            <w:ind w:left="567" w:hanging="567"/>
          </w:pPr>
          <w:r w:rsidRPr="00BE1C55">
            <w:t>Following an audit, a report is issued to the</w:t>
          </w:r>
          <w:r w:rsidRPr="007D43FF">
            <w:t xml:space="preserve"> generator</w:t>
          </w:r>
          <w:r w:rsidR="00B17854">
            <w:t>,</w:t>
          </w:r>
          <w:r w:rsidRPr="00BE1C55">
            <w:t xml:space="preserve"> who </w:t>
          </w:r>
          <w:r w:rsidR="007E0D27">
            <w:t xml:space="preserve">we then work with </w:t>
          </w:r>
          <w:r w:rsidRPr="003313AF">
            <w:t xml:space="preserve">to ensure that findings are satisfactorily resolved and that any evidence which remains outstanding is provided. In the event of potential non-compliance, error or fraud being identified, </w:t>
          </w:r>
          <w:r w:rsidR="008037C7" w:rsidRPr="003313AF">
            <w:t>we</w:t>
          </w:r>
          <w:r w:rsidRPr="003313AF">
            <w:t xml:space="preserve"> </w:t>
          </w:r>
          <w:r w:rsidRPr="003313AF">
            <w:lastRenderedPageBreak/>
            <w:t>investigate thoroughly</w:t>
          </w:r>
          <w:r w:rsidR="00B17854">
            <w:t>,</w:t>
          </w:r>
          <w:r w:rsidRPr="00BE1C55">
            <w:t xml:space="preserve"> and</w:t>
          </w:r>
          <w:r w:rsidRPr="003313AF">
            <w:t xml:space="preserve"> where appropriate can withdraw accreditation, change a station’s ROC banding, and</w:t>
          </w:r>
          <w:r w:rsidR="007E0D27">
            <w:t>/or</w:t>
          </w:r>
          <w:r w:rsidRPr="00BE1C55">
            <w:t xml:space="preserve"> make amendments to ROC issue. </w:t>
          </w:r>
          <w:r w:rsidR="00F04A24">
            <w:t xml:space="preserve">Once </w:t>
          </w:r>
          <w:r w:rsidRPr="003313AF">
            <w:t>all outstanding findings have been resolved</w:t>
          </w:r>
          <w:r w:rsidR="00F04A24">
            <w:t xml:space="preserve"> the audit will be closed</w:t>
          </w:r>
          <w:r w:rsidRPr="00BE1C55">
            <w:t>. Ofgem can temporarily suspend ROC issue whilst awaiting further evidence</w:t>
          </w:r>
          <w:r w:rsidR="00B17854">
            <w:t>,</w:t>
          </w:r>
          <w:r w:rsidRPr="00BE1C55">
            <w:t xml:space="preserve"> </w:t>
          </w:r>
          <w:r w:rsidRPr="003313AF">
            <w:t xml:space="preserve">or for corrective actions to be taken. If fraudulent activity is suspected, </w:t>
          </w:r>
          <w:r w:rsidR="008037C7" w:rsidRPr="003313AF">
            <w:t>we</w:t>
          </w:r>
          <w:r w:rsidRPr="003313AF">
            <w:t xml:space="preserve"> can refer cases to Action Fraud and law enforcement agencies.</w:t>
          </w:r>
        </w:p>
        <w:p w14:paraId="59A16A73" w14:textId="1808549D" w:rsidR="007E0D27" w:rsidRDefault="001C6BCE" w:rsidP="000371B8">
          <w:pPr>
            <w:pStyle w:val="CH5normal"/>
            <w:ind w:left="567" w:hanging="567"/>
          </w:pPr>
          <w:r>
            <w:t xml:space="preserve">The 2020-21 </w:t>
          </w:r>
          <w:r w:rsidR="002E4D19">
            <w:t xml:space="preserve">generator </w:t>
          </w:r>
          <w:r>
            <w:t>audit programme consisted of two types of audit; targeted audits and statistical audits</w:t>
          </w:r>
          <w:r w:rsidR="007D4D05">
            <w:t>:</w:t>
          </w:r>
          <w:r>
            <w:t xml:space="preserve"> </w:t>
          </w:r>
        </w:p>
        <w:p w14:paraId="3945E160" w14:textId="5F440408" w:rsidR="007E0D27" w:rsidRDefault="001C6BCE" w:rsidP="007E0D27">
          <w:pPr>
            <w:pStyle w:val="ListParagraph"/>
            <w:numPr>
              <w:ilvl w:val="0"/>
              <w:numId w:val="18"/>
            </w:numPr>
            <w:spacing w:after="0"/>
            <w:ind w:left="1276" w:hanging="425"/>
          </w:pPr>
          <w:bookmarkStart w:id="372" w:name="_Hlk93308575"/>
          <w:r w:rsidRPr="000371B8">
            <w:rPr>
              <w:rFonts w:eastAsia="Times New Roman" w:cs="Times New Roman"/>
              <w:b/>
              <w:bCs/>
            </w:rPr>
            <w:t>Targeted</w:t>
          </w:r>
          <w:r>
            <w:t xml:space="preserve"> </w:t>
          </w:r>
          <w:r w:rsidR="007E0D27">
            <w:t xml:space="preserve">– </w:t>
          </w:r>
          <w:r w:rsidR="007E0D27" w:rsidRPr="000371B8">
            <w:t xml:space="preserve">These </w:t>
          </w:r>
          <w:r w:rsidRPr="007E0D27">
            <w:t>audits</w:t>
          </w:r>
          <w:r>
            <w:t xml:space="preserve"> </w:t>
          </w:r>
          <w:r w:rsidR="007E0D27">
            <w:t>included</w:t>
          </w:r>
          <w:r>
            <w:t xml:space="preserve"> stations that were </w:t>
          </w:r>
          <w:r w:rsidR="007E0D27">
            <w:t xml:space="preserve">selected </w:t>
          </w:r>
          <w:r w:rsidRPr="00CA1FA6">
            <w:t xml:space="preserve">based on </w:t>
          </w:r>
          <w:r w:rsidR="007E0D27" w:rsidRPr="00CA1FA6">
            <w:t>concern</w:t>
          </w:r>
          <w:r w:rsidR="007E0D27">
            <w:t>s</w:t>
          </w:r>
          <w:r w:rsidRPr="00CA1FA6">
            <w:t xml:space="preserve"> identified through our internal </w:t>
          </w:r>
          <w:r w:rsidR="00B17854" w:rsidRPr="00CA1FA6">
            <w:t>processes</w:t>
          </w:r>
          <w:r w:rsidR="00543FFA">
            <w:t>, external sources of information</w:t>
          </w:r>
          <w:r w:rsidR="00B17854" w:rsidRPr="00CA1FA6">
            <w:t xml:space="preserve"> or</w:t>
          </w:r>
          <w:r w:rsidRPr="00CA1FA6">
            <w:t xml:space="preserve"> known risk areas in the scheme population.</w:t>
          </w:r>
          <w:r w:rsidRPr="008632B3">
            <w:t xml:space="preserve"> </w:t>
          </w:r>
        </w:p>
        <w:p w14:paraId="1F1AC135" w14:textId="76C57EB8" w:rsidR="001C6BCE" w:rsidRDefault="007E0D27">
          <w:pPr>
            <w:pStyle w:val="ListParagraph"/>
            <w:numPr>
              <w:ilvl w:val="0"/>
              <w:numId w:val="18"/>
            </w:numPr>
            <w:spacing w:after="240"/>
            <w:ind w:left="1276" w:hanging="425"/>
          </w:pPr>
          <w:r>
            <w:rPr>
              <w:rFonts w:eastAsia="Times New Roman" w:cs="Times New Roman"/>
              <w:b/>
              <w:bCs/>
            </w:rPr>
            <w:t xml:space="preserve">Statistical - </w:t>
          </w:r>
          <w:r w:rsidR="00B17854">
            <w:t xml:space="preserve">To better understand the level and types of non-compliance on the RO scheme, accredited stations were randomly selected across the scheme population. </w:t>
          </w:r>
          <w:r w:rsidR="001C6BCE" w:rsidRPr="008632B3">
            <w:t xml:space="preserve">The </w:t>
          </w:r>
          <w:r w:rsidR="00B17854">
            <w:t xml:space="preserve">RO </w:t>
          </w:r>
          <w:r w:rsidR="001C6BCE" w:rsidRPr="008632B3">
            <w:t xml:space="preserve">statistical audit programme was </w:t>
          </w:r>
          <w:r w:rsidR="00F50C78">
            <w:t xml:space="preserve">first </w:t>
          </w:r>
          <w:r w:rsidR="001C6BCE" w:rsidRPr="008632B3">
            <w:t xml:space="preserve">introduced by </w:t>
          </w:r>
          <w:r>
            <w:t xml:space="preserve">us </w:t>
          </w:r>
          <w:r w:rsidR="001C6BCE" w:rsidRPr="008632B3">
            <w:t>in 2020-21.</w:t>
          </w:r>
          <w:r w:rsidR="001C6BCE" w:rsidRPr="000574E1">
            <w:t xml:space="preserve"> </w:t>
          </w:r>
        </w:p>
        <w:bookmarkEnd w:id="372"/>
        <w:p w14:paraId="4DB09B30" w14:textId="77777777" w:rsidR="00FE55F1" w:rsidRPr="00231AEB" w:rsidRDefault="00FE55F1" w:rsidP="000371B8">
          <w:pPr>
            <w:pStyle w:val="CH5normal"/>
          </w:pPr>
          <w:r w:rsidRPr="008B545B">
            <w:t xml:space="preserve">Due </w:t>
          </w:r>
          <w:r>
            <w:t>to</w:t>
          </w:r>
          <w:r w:rsidRPr="008B545B">
            <w:t xml:space="preserve"> restrictions during the C</w:t>
          </w:r>
          <w:r>
            <w:t>OVID</w:t>
          </w:r>
          <w:r w:rsidRPr="008B545B">
            <w:t>-19 pandemic</w:t>
          </w:r>
          <w:r>
            <w:t>,</w:t>
          </w:r>
          <w:r w:rsidRPr="008B545B">
            <w:t xml:space="preserve"> </w:t>
          </w:r>
          <w:r>
            <w:t>audits were</w:t>
          </w:r>
          <w:r w:rsidRPr="008B545B">
            <w:t xml:space="preserve"> conducted</w:t>
          </w:r>
          <w:r>
            <w:t xml:space="preserve"> remotely </w:t>
          </w:r>
          <w:r w:rsidRPr="008B545B">
            <w:t>where appropriate. In cases w</w:t>
          </w:r>
          <w:r>
            <w:t>h</w:t>
          </w:r>
          <w:r w:rsidRPr="008B545B">
            <w:t>ere we had concerns relating to the onsite configuration of the generating station, we postpone</w:t>
          </w:r>
          <w:r>
            <w:t>d</w:t>
          </w:r>
          <w:r w:rsidRPr="008B545B">
            <w:t xml:space="preserve"> the audit until a site visit was possible. </w:t>
          </w:r>
        </w:p>
        <w:p w14:paraId="577D5194" w14:textId="56DC75CA" w:rsidR="000A6C95" w:rsidRPr="00396F8C" w:rsidRDefault="000A6C95" w:rsidP="000371B8">
          <w:pPr>
            <w:pStyle w:val="Heading2"/>
          </w:pPr>
          <w:bookmarkStart w:id="373" w:name="_Toc98852164"/>
          <w:bookmarkStart w:id="374" w:name="_Hlk86924002"/>
          <w:r w:rsidRPr="00396F8C">
            <w:t>Targeted Generator Audits</w:t>
          </w:r>
          <w:bookmarkEnd w:id="373"/>
        </w:p>
        <w:p w14:paraId="65A0BD69" w14:textId="72A3E6A9" w:rsidR="000A6C95" w:rsidRPr="008B545B" w:rsidRDefault="000A6C95" w:rsidP="000371B8">
          <w:pPr>
            <w:pStyle w:val="CH5normal"/>
            <w:ind w:left="567" w:hanging="567"/>
          </w:pPr>
          <w:bookmarkStart w:id="375" w:name="_Hlk93308586"/>
          <w:bookmarkEnd w:id="374"/>
          <w:r w:rsidRPr="008B545B">
            <w:t>In 2020-21, our external auditor carried out</w:t>
          </w:r>
          <w:r w:rsidR="00595B23">
            <w:t xml:space="preserve"> targeted audits on</w:t>
          </w:r>
          <w:r w:rsidRPr="008B545B">
            <w:t xml:space="preserve"> 83 generating station</w:t>
          </w:r>
          <w:r w:rsidR="00595B23">
            <w:t>s</w:t>
          </w:r>
          <w:r w:rsidRPr="008B545B">
            <w:t xml:space="preserve"> (&gt;50</w:t>
          </w:r>
          <w:r w:rsidR="00032947">
            <w:t xml:space="preserve"> </w:t>
          </w:r>
          <w:r w:rsidRPr="008B545B">
            <w:t xml:space="preserve">kW DNC). </w:t>
          </w:r>
          <w:r w:rsidR="008A49A3">
            <w:t>Eleven</w:t>
          </w:r>
          <w:r w:rsidRPr="008B545B">
            <w:t xml:space="preserve"> of the audited generating stations were based in Scotland, 23 in Northern Ireland, 45 in England and </w:t>
          </w:r>
          <w:r w:rsidR="00FF2C7E">
            <w:t xml:space="preserve">four </w:t>
          </w:r>
          <w:r w:rsidRPr="008B545B">
            <w:t xml:space="preserve">in Wales. </w:t>
          </w:r>
          <w:r w:rsidRPr="008A49A3">
            <w:rPr>
              <w:b/>
              <w:bCs/>
            </w:rPr>
            <w:t>Figure 5.1</w:t>
          </w:r>
          <w:r w:rsidRPr="008B545B">
            <w:t xml:space="preserve"> shows the breakdown of the targeted audits by country and the rating given by the auditor. </w:t>
          </w:r>
          <w:r w:rsidRPr="008A49A3">
            <w:rPr>
              <w:b/>
              <w:bCs/>
            </w:rPr>
            <w:t>Figure 5.2</w:t>
          </w:r>
          <w:r w:rsidRPr="008B545B">
            <w:t xml:space="preserve"> shows the </w:t>
          </w:r>
          <w:r w:rsidR="00B17854">
            <w:t>same information but broken down by technology type.</w:t>
          </w:r>
        </w:p>
      </w:sdtContent>
    </w:sdt>
    <w:bookmarkEnd w:id="375"/>
    <w:p w14:paraId="628F63B2" w14:textId="3A759841" w:rsidR="00113909" w:rsidRDefault="00113909">
      <w:pPr>
        <w:spacing w:line="276" w:lineRule="auto"/>
        <w:rPr>
          <w:b/>
          <w:bCs/>
        </w:rPr>
      </w:pPr>
      <w:r>
        <w:rPr>
          <w:b/>
          <w:bCs/>
        </w:rPr>
        <w:br w:type="page"/>
      </w:r>
    </w:p>
    <w:p w14:paraId="67793BE4" w14:textId="3ECDD2EE" w:rsidR="000A6C95" w:rsidRPr="0076464C" w:rsidRDefault="000A6C95">
      <w:pPr>
        <w:rPr>
          <w:b/>
          <w:bCs/>
        </w:rPr>
      </w:pPr>
      <w:r w:rsidRPr="0076464C">
        <w:rPr>
          <w:b/>
          <w:bCs/>
        </w:rPr>
        <w:lastRenderedPageBreak/>
        <w:t>Figure 5.1</w:t>
      </w:r>
      <w:r w:rsidR="006D27A1">
        <w:rPr>
          <w:b/>
          <w:bCs/>
        </w:rPr>
        <w:t xml:space="preserve"> (a-</w:t>
      </w:r>
      <w:r w:rsidR="00426E9A">
        <w:rPr>
          <w:b/>
          <w:bCs/>
        </w:rPr>
        <w:t>e</w:t>
      </w:r>
      <w:r w:rsidR="006D27A1">
        <w:rPr>
          <w:b/>
          <w:bCs/>
        </w:rPr>
        <w:t>)</w:t>
      </w:r>
      <w:r w:rsidRPr="0076464C">
        <w:rPr>
          <w:b/>
          <w:bCs/>
        </w:rPr>
        <w:t xml:space="preserve">: </w:t>
      </w:r>
      <w:r w:rsidR="00571CC2">
        <w:rPr>
          <w:b/>
          <w:bCs/>
        </w:rPr>
        <w:t>Targeted audit</w:t>
      </w:r>
      <w:r w:rsidR="00571CC2" w:rsidRPr="0076464C">
        <w:rPr>
          <w:b/>
          <w:bCs/>
        </w:rPr>
        <w:t xml:space="preserve"> </w:t>
      </w:r>
      <w:r w:rsidR="00571CC2">
        <w:rPr>
          <w:b/>
          <w:bCs/>
        </w:rPr>
        <w:t>r</w:t>
      </w:r>
      <w:r w:rsidRPr="0076464C">
        <w:rPr>
          <w:b/>
          <w:bCs/>
        </w:rPr>
        <w:t xml:space="preserve">atings by </w:t>
      </w:r>
      <w:r w:rsidR="00723B3C">
        <w:rPr>
          <w:b/>
          <w:bCs/>
        </w:rPr>
        <w:t>country</w:t>
      </w:r>
      <w:r w:rsidR="00723B3C" w:rsidRPr="0076464C">
        <w:rPr>
          <w:b/>
          <w:bCs/>
        </w:rPr>
        <w:t xml:space="preserve"> </w:t>
      </w:r>
      <w:r w:rsidRPr="0076464C">
        <w:rPr>
          <w:b/>
          <w:bCs/>
        </w:rPr>
        <w:t>in 2020-21</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6251A7" w14:paraId="6EBFC5B2" w14:textId="450DFCF3" w:rsidTr="006251A7">
        <w:trPr>
          <w:trHeight w:val="3249"/>
        </w:trPr>
        <w:tc>
          <w:tcPr>
            <w:tcW w:w="4959" w:type="dxa"/>
          </w:tcPr>
          <w:p w14:paraId="730D5C00" w14:textId="01396663" w:rsidR="006251A7" w:rsidRPr="006251A7" w:rsidRDefault="006251A7" w:rsidP="000371B8">
            <w:pPr>
              <w:spacing w:line="276" w:lineRule="auto"/>
              <w:jc w:val="center"/>
              <w:rPr>
                <w:b/>
                <w:bCs/>
              </w:rPr>
            </w:pPr>
            <w:r w:rsidRPr="006251A7">
              <w:rPr>
                <w:b/>
                <w:bCs/>
              </w:rPr>
              <w:t>a) England</w:t>
            </w:r>
          </w:p>
          <w:p w14:paraId="6D291B54" w14:textId="05B0699E" w:rsidR="006251A7" w:rsidRDefault="006251A7" w:rsidP="00A03E86">
            <w:pPr>
              <w:spacing w:line="276" w:lineRule="auto"/>
              <w:rPr>
                <w:b/>
                <w:bCs/>
              </w:rPr>
            </w:pPr>
            <w:r>
              <w:rPr>
                <w:noProof/>
              </w:rPr>
              <w:drawing>
                <wp:inline distT="0" distB="0" distL="0" distR="0" wp14:anchorId="5BD08307" wp14:editId="01C85CC8">
                  <wp:extent cx="3001274" cy="2225040"/>
                  <wp:effectExtent l="0" t="0" r="8890" b="3810"/>
                  <wp:docPr id="254" name="Chart 254" descr="This chart shows the results of targeted audits on RO generators in England. &#10;&#10;The data used to produce this chart is published alongside this report on our website.&#10;">
                    <a:extLst xmlns:a="http://schemas.openxmlformats.org/drawingml/2006/main">
                      <a:ext uri="{FF2B5EF4-FFF2-40B4-BE49-F238E27FC236}">
                        <a16:creationId xmlns:a16="http://schemas.microsoft.com/office/drawing/2014/main" id="{443D0282-50CB-420B-BCDA-3BC4FE8A9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959" w:type="dxa"/>
          </w:tcPr>
          <w:p w14:paraId="5809472F" w14:textId="77777777" w:rsidR="006251A7" w:rsidRPr="00AC736C" w:rsidRDefault="006251A7" w:rsidP="006251A7">
            <w:pPr>
              <w:spacing w:line="276" w:lineRule="auto"/>
              <w:jc w:val="center"/>
              <w:rPr>
                <w:b/>
                <w:bCs/>
              </w:rPr>
            </w:pPr>
            <w:r w:rsidRPr="00AC736C">
              <w:rPr>
                <w:b/>
                <w:bCs/>
              </w:rPr>
              <w:t>b) Scotland</w:t>
            </w:r>
          </w:p>
          <w:p w14:paraId="44ADCB05" w14:textId="7824CF31" w:rsidR="006251A7" w:rsidRPr="006251A7" w:rsidRDefault="006251A7">
            <w:pPr>
              <w:spacing w:line="276" w:lineRule="auto"/>
              <w:jc w:val="center"/>
              <w:rPr>
                <w:b/>
                <w:bCs/>
              </w:rPr>
            </w:pPr>
            <w:r>
              <w:rPr>
                <w:noProof/>
              </w:rPr>
              <w:drawing>
                <wp:inline distT="0" distB="0" distL="0" distR="0" wp14:anchorId="372D7B0B" wp14:editId="10AC18ED">
                  <wp:extent cx="3001274" cy="2225040"/>
                  <wp:effectExtent l="0" t="0" r="8890" b="3810"/>
                  <wp:docPr id="237" name="Chart 237" descr="This chart shows the results of targeted audits on RO generators in Scotland. &#10;&#10;The data used to produce this chart is published alongside this report on our website.">
                    <a:extLst xmlns:a="http://schemas.openxmlformats.org/drawingml/2006/main">
                      <a:ext uri="{FF2B5EF4-FFF2-40B4-BE49-F238E27FC236}">
                        <a16:creationId xmlns:a16="http://schemas.microsoft.com/office/drawing/2014/main" id="{443D0282-50CB-420B-BCDA-3BC4FE8A9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6251A7" w14:paraId="79577C97" w14:textId="20BC01BB" w:rsidTr="006251A7">
        <w:trPr>
          <w:trHeight w:val="567"/>
        </w:trPr>
        <w:tc>
          <w:tcPr>
            <w:tcW w:w="4959" w:type="dxa"/>
          </w:tcPr>
          <w:p w14:paraId="0B0C4B4A" w14:textId="77777777" w:rsidR="006251A7" w:rsidRPr="00AC736C" w:rsidRDefault="006251A7" w:rsidP="006251A7">
            <w:pPr>
              <w:spacing w:line="276" w:lineRule="auto"/>
              <w:jc w:val="center"/>
              <w:rPr>
                <w:b/>
                <w:bCs/>
              </w:rPr>
            </w:pPr>
            <w:r w:rsidRPr="00AC736C">
              <w:rPr>
                <w:b/>
                <w:bCs/>
              </w:rPr>
              <w:t>c) Wales</w:t>
            </w:r>
          </w:p>
          <w:p w14:paraId="4E1042E3" w14:textId="7C87731A" w:rsidR="006251A7" w:rsidRDefault="006251A7" w:rsidP="00A03E86">
            <w:pPr>
              <w:spacing w:line="276" w:lineRule="auto"/>
              <w:rPr>
                <w:b/>
                <w:bCs/>
              </w:rPr>
            </w:pPr>
            <w:r>
              <w:rPr>
                <w:noProof/>
              </w:rPr>
              <w:drawing>
                <wp:inline distT="0" distB="0" distL="0" distR="0" wp14:anchorId="339687D9" wp14:editId="44C2BBA3">
                  <wp:extent cx="3001274" cy="2225040"/>
                  <wp:effectExtent l="0" t="0" r="8890" b="3810"/>
                  <wp:docPr id="241" name="Chart 241" descr="This chart shows the results of targeted audits on RO generators in Wales. &#10;&#10;The data used to produce this chart is published alongside this report on our website.">
                    <a:extLst xmlns:a="http://schemas.openxmlformats.org/drawingml/2006/main">
                      <a:ext uri="{FF2B5EF4-FFF2-40B4-BE49-F238E27FC236}">
                        <a16:creationId xmlns:a16="http://schemas.microsoft.com/office/drawing/2014/main" id="{443D0282-50CB-420B-BCDA-3BC4FE8A9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959" w:type="dxa"/>
          </w:tcPr>
          <w:p w14:paraId="571C573F" w14:textId="77777777" w:rsidR="006251A7" w:rsidRPr="00AC736C" w:rsidRDefault="006251A7" w:rsidP="006251A7">
            <w:pPr>
              <w:spacing w:line="276" w:lineRule="auto"/>
              <w:jc w:val="center"/>
              <w:rPr>
                <w:b/>
                <w:bCs/>
              </w:rPr>
            </w:pPr>
            <w:r w:rsidRPr="00AC736C">
              <w:rPr>
                <w:b/>
                <w:bCs/>
              </w:rPr>
              <w:t>d) Northern Ireland</w:t>
            </w:r>
          </w:p>
          <w:p w14:paraId="679B2FBC" w14:textId="5A023F32" w:rsidR="006251A7" w:rsidRPr="006251A7" w:rsidRDefault="006251A7" w:rsidP="00876AAA">
            <w:pPr>
              <w:spacing w:line="276" w:lineRule="auto"/>
              <w:jc w:val="center"/>
              <w:rPr>
                <w:b/>
                <w:bCs/>
              </w:rPr>
            </w:pPr>
            <w:r>
              <w:rPr>
                <w:noProof/>
              </w:rPr>
              <w:drawing>
                <wp:inline distT="0" distB="0" distL="0" distR="0" wp14:anchorId="233F51DC" wp14:editId="7D8BFCDF">
                  <wp:extent cx="3001274" cy="2225040"/>
                  <wp:effectExtent l="0" t="0" r="8890" b="3810"/>
                  <wp:docPr id="248" name="Chart 248" descr="This chart shows the results of targeted audits on RO generators in Northern Ireland. &#10;&#10;The data used to produce this chart is published alongside this report on our website.">
                    <a:extLst xmlns:a="http://schemas.openxmlformats.org/drawingml/2006/main">
                      <a:ext uri="{FF2B5EF4-FFF2-40B4-BE49-F238E27FC236}">
                        <a16:creationId xmlns:a16="http://schemas.microsoft.com/office/drawing/2014/main" id="{443D0282-50CB-420B-BCDA-3BC4FE8A9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426E9A" w14:paraId="7B39D069" w14:textId="77777777" w:rsidTr="000371B8">
        <w:trPr>
          <w:trHeight w:val="567"/>
        </w:trPr>
        <w:tc>
          <w:tcPr>
            <w:tcW w:w="4959" w:type="dxa"/>
          </w:tcPr>
          <w:p w14:paraId="52C3770B" w14:textId="7636CABA" w:rsidR="00426E9A" w:rsidRDefault="00426E9A" w:rsidP="006251A7">
            <w:pPr>
              <w:spacing w:line="276" w:lineRule="auto"/>
              <w:jc w:val="center"/>
              <w:rPr>
                <w:b/>
                <w:bCs/>
              </w:rPr>
            </w:pPr>
            <w:r>
              <w:rPr>
                <w:b/>
                <w:bCs/>
              </w:rPr>
              <w:t>e) UK combined</w:t>
            </w:r>
          </w:p>
          <w:p w14:paraId="54079D28" w14:textId="312ACF0A" w:rsidR="00426E9A" w:rsidRPr="00AC736C" w:rsidRDefault="00426E9A" w:rsidP="006251A7">
            <w:pPr>
              <w:spacing w:line="276" w:lineRule="auto"/>
              <w:jc w:val="center"/>
              <w:rPr>
                <w:b/>
                <w:bCs/>
              </w:rPr>
            </w:pPr>
            <w:r>
              <w:rPr>
                <w:noProof/>
              </w:rPr>
              <w:drawing>
                <wp:inline distT="0" distB="0" distL="0" distR="0" wp14:anchorId="525577A4" wp14:editId="735ED4E0">
                  <wp:extent cx="3001274" cy="2225040"/>
                  <wp:effectExtent l="0" t="0" r="8890" b="3810"/>
                  <wp:docPr id="207" name="Chart 207" descr="This chart shows the total results of targeted audits on RO generators in the UK. &#10;&#10;The data used to produce this chart is published alongside this report on our website.">
                    <a:extLst xmlns:a="http://schemas.openxmlformats.org/drawingml/2006/main">
                      <a:ext uri="{FF2B5EF4-FFF2-40B4-BE49-F238E27FC236}">
                        <a16:creationId xmlns:a16="http://schemas.microsoft.com/office/drawing/2014/main" id="{443D0282-50CB-420B-BCDA-3BC4FE8A9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959" w:type="dxa"/>
          </w:tcPr>
          <w:p w14:paraId="4324F0E1" w14:textId="77777777" w:rsidR="00426E9A" w:rsidRPr="00AC736C" w:rsidRDefault="00426E9A" w:rsidP="006251A7">
            <w:pPr>
              <w:spacing w:line="276" w:lineRule="auto"/>
              <w:jc w:val="center"/>
              <w:rPr>
                <w:b/>
                <w:bCs/>
              </w:rPr>
            </w:pPr>
          </w:p>
        </w:tc>
      </w:tr>
    </w:tbl>
    <w:p w14:paraId="31F09BDA" w14:textId="6C256EF3" w:rsidR="000A6C95" w:rsidRPr="00396F8C" w:rsidRDefault="000A6C95" w:rsidP="00A03E86">
      <w:pPr>
        <w:spacing w:line="276" w:lineRule="auto"/>
        <w:rPr>
          <w:highlight w:val="yellow"/>
        </w:rPr>
      </w:pPr>
    </w:p>
    <w:p w14:paraId="45F3E3D6" w14:textId="5C54E067" w:rsidR="00FF6C12" w:rsidRDefault="00FF6C12" w:rsidP="008632B3">
      <w:pPr>
        <w:rPr>
          <w:b/>
          <w:bCs/>
        </w:rPr>
      </w:pPr>
    </w:p>
    <w:p w14:paraId="4173BA0F" w14:textId="77777777" w:rsidR="00A56637" w:rsidRDefault="00A56637">
      <w:pPr>
        <w:spacing w:line="276" w:lineRule="auto"/>
        <w:rPr>
          <w:b/>
          <w:bCs/>
        </w:rPr>
      </w:pPr>
      <w:r>
        <w:rPr>
          <w:b/>
          <w:bCs/>
        </w:rPr>
        <w:br w:type="page"/>
      </w:r>
    </w:p>
    <w:p w14:paraId="1680C234" w14:textId="6FCF5E33" w:rsidR="00957315" w:rsidRPr="0076464C" w:rsidRDefault="000A6C95" w:rsidP="008632B3">
      <w:pPr>
        <w:rPr>
          <w:b/>
          <w:bCs/>
        </w:rPr>
      </w:pPr>
      <w:r w:rsidRPr="0076464C">
        <w:rPr>
          <w:b/>
          <w:bCs/>
        </w:rPr>
        <w:lastRenderedPageBreak/>
        <w:t>Figure 5.2</w:t>
      </w:r>
      <w:r w:rsidR="006D27A1">
        <w:rPr>
          <w:b/>
          <w:bCs/>
        </w:rPr>
        <w:t xml:space="preserve"> (a-f)</w:t>
      </w:r>
      <w:r w:rsidRPr="0076464C">
        <w:rPr>
          <w:b/>
          <w:bCs/>
        </w:rPr>
        <w:t xml:space="preserve">: </w:t>
      </w:r>
      <w:r w:rsidR="00571CC2">
        <w:rPr>
          <w:b/>
          <w:bCs/>
        </w:rPr>
        <w:t>Targeted audit ratings</w:t>
      </w:r>
      <w:r w:rsidRPr="0076464C">
        <w:rPr>
          <w:b/>
          <w:bCs/>
        </w:rPr>
        <w:t xml:space="preserve"> by </w:t>
      </w:r>
      <w:r w:rsidR="00723B3C">
        <w:rPr>
          <w:b/>
          <w:bCs/>
        </w:rPr>
        <w:t>t</w:t>
      </w:r>
      <w:r w:rsidRPr="0076464C">
        <w:rPr>
          <w:b/>
          <w:bCs/>
        </w:rPr>
        <w:t>echnology in 2020-21</w:t>
      </w:r>
    </w:p>
    <w:tbl>
      <w:tblPr>
        <w:tblStyle w:val="TableGrid"/>
        <w:tblW w:w="10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466"/>
      </w:tblGrid>
      <w:tr w:rsidR="00182D5B" w14:paraId="6470E32A" w14:textId="77777777" w:rsidTr="000371B8">
        <w:trPr>
          <w:trHeight w:val="1358"/>
        </w:trPr>
        <w:tc>
          <w:tcPr>
            <w:tcW w:w="5353" w:type="dxa"/>
          </w:tcPr>
          <w:p w14:paraId="70A64C6E" w14:textId="77777777" w:rsidR="00182D5B" w:rsidRPr="00A56637" w:rsidRDefault="00182D5B" w:rsidP="00182D5B">
            <w:pPr>
              <w:jc w:val="center"/>
              <w:rPr>
                <w:b/>
                <w:bCs/>
              </w:rPr>
            </w:pPr>
            <w:r w:rsidRPr="00A56637">
              <w:rPr>
                <w:b/>
                <w:bCs/>
              </w:rPr>
              <w:t>a) Fuelled</w:t>
            </w:r>
          </w:p>
          <w:p w14:paraId="55BAAD1F" w14:textId="3744EA1D" w:rsidR="00182D5B" w:rsidRDefault="00A56637">
            <w:pPr>
              <w:rPr>
                <w:b/>
                <w:bCs/>
              </w:rPr>
            </w:pPr>
            <w:r>
              <w:rPr>
                <w:noProof/>
              </w:rPr>
              <w:drawing>
                <wp:inline distT="0" distB="0" distL="0" distR="0" wp14:anchorId="2B39FA1A" wp14:editId="1AD43FBA">
                  <wp:extent cx="3002400" cy="2224800"/>
                  <wp:effectExtent l="0" t="0" r="7620" b="4445"/>
                  <wp:docPr id="250" name="Chart 250" descr="This chart shows the results of targeted audits on RO generators, specifically fuelled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466" w:type="dxa"/>
          </w:tcPr>
          <w:p w14:paraId="4C267187" w14:textId="77777777" w:rsidR="00182D5B" w:rsidRPr="00A56637" w:rsidRDefault="00182D5B" w:rsidP="00182D5B">
            <w:pPr>
              <w:jc w:val="center"/>
              <w:rPr>
                <w:b/>
                <w:bCs/>
              </w:rPr>
            </w:pPr>
            <w:r w:rsidRPr="00A56637">
              <w:rPr>
                <w:b/>
                <w:bCs/>
              </w:rPr>
              <w:t>b) Hydro</w:t>
            </w:r>
          </w:p>
          <w:p w14:paraId="7590674F" w14:textId="1874CFF2" w:rsidR="00182D5B" w:rsidRDefault="00B32C45">
            <w:pPr>
              <w:rPr>
                <w:b/>
                <w:bCs/>
              </w:rPr>
            </w:pPr>
            <w:r>
              <w:rPr>
                <w:noProof/>
              </w:rPr>
              <w:drawing>
                <wp:inline distT="0" distB="0" distL="0" distR="0" wp14:anchorId="35D635A6" wp14:editId="3F87B22E">
                  <wp:extent cx="3002400" cy="2224800"/>
                  <wp:effectExtent l="0" t="0" r="7620" b="4445"/>
                  <wp:docPr id="251" name="Chart 251" descr="This chart shows the results of targeted audits on RO generators, specifically hydro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182D5B" w14:paraId="0C17F983" w14:textId="77777777" w:rsidTr="000371B8">
        <w:trPr>
          <w:trHeight w:val="1395"/>
        </w:trPr>
        <w:tc>
          <w:tcPr>
            <w:tcW w:w="5353" w:type="dxa"/>
          </w:tcPr>
          <w:p w14:paraId="6E51E290" w14:textId="77777777" w:rsidR="00182D5B" w:rsidRDefault="00182D5B" w:rsidP="00182D5B">
            <w:pPr>
              <w:jc w:val="center"/>
              <w:rPr>
                <w:b/>
                <w:bCs/>
              </w:rPr>
            </w:pPr>
            <w:r>
              <w:rPr>
                <w:b/>
                <w:bCs/>
              </w:rPr>
              <w:t>c) Landfill gas</w:t>
            </w:r>
          </w:p>
          <w:p w14:paraId="59C7BD24" w14:textId="2B6BDFDC" w:rsidR="00182D5B" w:rsidRDefault="00B32C45">
            <w:pPr>
              <w:rPr>
                <w:b/>
                <w:bCs/>
              </w:rPr>
            </w:pPr>
            <w:r>
              <w:rPr>
                <w:noProof/>
              </w:rPr>
              <w:drawing>
                <wp:inline distT="0" distB="0" distL="0" distR="0" wp14:anchorId="508FADAC" wp14:editId="72EE5826">
                  <wp:extent cx="3002400" cy="2224800"/>
                  <wp:effectExtent l="0" t="0" r="7620" b="4445"/>
                  <wp:docPr id="252" name="Chart 252" descr="This chart shows the results of targeted audits on RO generators, specifically landfill gas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5466" w:type="dxa"/>
          </w:tcPr>
          <w:p w14:paraId="7870F153" w14:textId="77777777" w:rsidR="00182D5B" w:rsidRDefault="00182D5B" w:rsidP="00182D5B">
            <w:pPr>
              <w:jc w:val="center"/>
              <w:rPr>
                <w:b/>
                <w:bCs/>
              </w:rPr>
            </w:pPr>
            <w:r>
              <w:rPr>
                <w:b/>
                <w:bCs/>
              </w:rPr>
              <w:t>d) Onshore wind</w:t>
            </w:r>
          </w:p>
          <w:p w14:paraId="5EAFE3B8" w14:textId="6FADAF7F" w:rsidR="00182D5B" w:rsidRDefault="00B32C45">
            <w:pPr>
              <w:rPr>
                <w:b/>
                <w:bCs/>
              </w:rPr>
            </w:pPr>
            <w:r>
              <w:rPr>
                <w:noProof/>
              </w:rPr>
              <w:drawing>
                <wp:inline distT="0" distB="0" distL="0" distR="0" wp14:anchorId="3037C232" wp14:editId="1330DDFD">
                  <wp:extent cx="3002400" cy="2224800"/>
                  <wp:effectExtent l="0" t="0" r="7620" b="4445"/>
                  <wp:docPr id="253" name="Chart 253" descr="This chart shows the results of targeted audits on RO generators, specifically onshore wind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82D5B" w14:paraId="28E051BA" w14:textId="77777777" w:rsidTr="000371B8">
        <w:trPr>
          <w:trHeight w:val="1395"/>
        </w:trPr>
        <w:tc>
          <w:tcPr>
            <w:tcW w:w="5353" w:type="dxa"/>
          </w:tcPr>
          <w:p w14:paraId="74283B2A" w14:textId="36F90C44" w:rsidR="00182D5B" w:rsidRDefault="00182D5B" w:rsidP="00182D5B">
            <w:pPr>
              <w:jc w:val="center"/>
              <w:rPr>
                <w:b/>
                <w:bCs/>
              </w:rPr>
            </w:pPr>
            <w:r>
              <w:rPr>
                <w:b/>
                <w:bCs/>
              </w:rPr>
              <w:t xml:space="preserve">e) </w:t>
            </w:r>
            <w:r w:rsidR="00685787">
              <w:rPr>
                <w:b/>
                <w:bCs/>
              </w:rPr>
              <w:t>Solar PV</w:t>
            </w:r>
          </w:p>
          <w:p w14:paraId="5E902302" w14:textId="23C81AE8" w:rsidR="00182D5B" w:rsidRDefault="00182D5B" w:rsidP="000371B8">
            <w:pPr>
              <w:rPr>
                <w:b/>
                <w:bCs/>
              </w:rPr>
            </w:pPr>
            <w:r>
              <w:rPr>
                <w:noProof/>
              </w:rPr>
              <w:drawing>
                <wp:inline distT="0" distB="0" distL="0" distR="0" wp14:anchorId="4EBCF299" wp14:editId="0DD4E569">
                  <wp:extent cx="3002400" cy="2224800"/>
                  <wp:effectExtent l="0" t="0" r="7620" b="4445"/>
                  <wp:docPr id="263" name="Chart 263" descr="This chart shows the results of targeted audits on RO generators, specifically solar PV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466" w:type="dxa"/>
          </w:tcPr>
          <w:p w14:paraId="446C28B0" w14:textId="77777777" w:rsidR="00182D5B" w:rsidRDefault="00182D5B" w:rsidP="00182D5B">
            <w:pPr>
              <w:jc w:val="center"/>
              <w:rPr>
                <w:b/>
                <w:bCs/>
              </w:rPr>
            </w:pPr>
            <w:r>
              <w:rPr>
                <w:b/>
                <w:bCs/>
              </w:rPr>
              <w:t>f) Sewage gas</w:t>
            </w:r>
          </w:p>
          <w:p w14:paraId="5A9BDFAA" w14:textId="14E5ED52" w:rsidR="00182D5B" w:rsidRDefault="00B32C45" w:rsidP="000371B8">
            <w:pPr>
              <w:rPr>
                <w:b/>
                <w:bCs/>
              </w:rPr>
            </w:pPr>
            <w:r>
              <w:rPr>
                <w:noProof/>
              </w:rPr>
              <w:drawing>
                <wp:inline distT="0" distB="0" distL="0" distR="0" wp14:anchorId="5CB0FA43" wp14:editId="1F7481F6">
                  <wp:extent cx="3002400" cy="2224800"/>
                  <wp:effectExtent l="0" t="0" r="7620" b="4445"/>
                  <wp:docPr id="258" name="Chart 258" descr="This chart shows the results of targeted audits on RO generators, specifically sewage gas stations. &#10;&#10;The data used to produce this chart is published alongside this report on our website.">
                    <a:extLst xmlns:a="http://schemas.openxmlformats.org/drawingml/2006/main">
                      <a:ext uri="{FF2B5EF4-FFF2-40B4-BE49-F238E27FC236}">
                        <a16:creationId xmlns:a16="http://schemas.microsoft.com/office/drawing/2014/main" id="{C348B227-121D-4118-B324-DB19435B9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33A7379A" w14:textId="387AC38B" w:rsidR="00723B3C" w:rsidRDefault="00723B3C" w:rsidP="000371B8">
      <w:pPr>
        <w:pStyle w:val="CH5normal"/>
        <w:numPr>
          <w:ilvl w:val="0"/>
          <w:numId w:val="0"/>
        </w:numPr>
        <w:ind w:left="567"/>
        <w:rPr>
          <w:rFonts w:eastAsia="Times New Roman"/>
        </w:rPr>
      </w:pPr>
      <w:bookmarkStart w:id="376" w:name="_Hlk93308655"/>
    </w:p>
    <w:p w14:paraId="527360DD" w14:textId="77777777" w:rsidR="00723B3C" w:rsidRDefault="00723B3C">
      <w:pPr>
        <w:spacing w:line="276" w:lineRule="auto"/>
        <w:rPr>
          <w:rFonts w:eastAsia="Times New Roman"/>
          <w:noProof/>
        </w:rPr>
      </w:pPr>
      <w:r>
        <w:rPr>
          <w:rFonts w:eastAsia="Times New Roman"/>
        </w:rPr>
        <w:br w:type="page"/>
      </w:r>
    </w:p>
    <w:p w14:paraId="09E8CBC5" w14:textId="58AC8EED" w:rsidR="000A6C95" w:rsidRPr="000371B8" w:rsidRDefault="00723B3C" w:rsidP="000371B8">
      <w:pPr>
        <w:pStyle w:val="CH5normal"/>
        <w:ind w:left="567" w:hanging="567"/>
      </w:pPr>
      <w:r>
        <w:rPr>
          <w:rFonts w:eastAsia="Times New Roman"/>
        </w:rPr>
        <w:lastRenderedPageBreak/>
        <w:t xml:space="preserve">As </w:t>
      </w:r>
      <w:r w:rsidR="00E52A32" w:rsidRPr="00E52A32">
        <w:rPr>
          <w:rFonts w:eastAsia="Times New Roman"/>
        </w:rPr>
        <w:t xml:space="preserve">shown in </w:t>
      </w:r>
      <w:r w:rsidR="00E52A32" w:rsidRPr="000371B8">
        <w:rPr>
          <w:rFonts w:eastAsia="Times New Roman"/>
          <w:b/>
          <w:bCs/>
        </w:rPr>
        <w:t>Figure 5.3</w:t>
      </w:r>
      <w:r w:rsidR="00E52A32" w:rsidRPr="00E52A32">
        <w:rPr>
          <w:rFonts w:eastAsia="Times New Roman"/>
        </w:rPr>
        <w:t xml:space="preserve"> the proportion of ‘</w:t>
      </w:r>
      <w:r w:rsidR="00C16D6E">
        <w:rPr>
          <w:rFonts w:eastAsia="Times New Roman"/>
        </w:rPr>
        <w:t>W</w:t>
      </w:r>
      <w:r w:rsidR="00E52A32" w:rsidRPr="00E52A32">
        <w:rPr>
          <w:rFonts w:eastAsia="Times New Roman"/>
        </w:rPr>
        <w:t>eak’ and ‘</w:t>
      </w:r>
      <w:r w:rsidR="00C16D6E">
        <w:rPr>
          <w:rFonts w:eastAsia="Times New Roman"/>
        </w:rPr>
        <w:t>U</w:t>
      </w:r>
      <w:r w:rsidR="00E52A32" w:rsidRPr="00E52A32">
        <w:rPr>
          <w:rFonts w:eastAsia="Times New Roman"/>
        </w:rPr>
        <w:t>nsatisfactory’ audit ratings was almost 64%, a decrease from 70% in 2019-20. We expect a high level of non-compliance due to the audits being targeted.</w:t>
      </w:r>
    </w:p>
    <w:p w14:paraId="0E1ACED5" w14:textId="4CA07C3F" w:rsidR="00117C32" w:rsidRPr="000371B8" w:rsidRDefault="00117C32" w:rsidP="000371B8">
      <w:pPr>
        <w:pStyle w:val="CH5normal"/>
        <w:ind w:left="567" w:hanging="567"/>
      </w:pPr>
      <w:r>
        <w:t>The most common findings from the targeted audit programme were:</w:t>
      </w:r>
    </w:p>
    <w:p w14:paraId="4F1F754E" w14:textId="6EF3F55C" w:rsidR="00117C32" w:rsidRPr="003D172F" w:rsidRDefault="007D4D05" w:rsidP="000371B8">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D</w:t>
      </w:r>
      <w:r w:rsidR="00117C32" w:rsidRPr="000371B8">
        <w:rPr>
          <w:rFonts w:ascii="Verdana" w:hAnsi="Verdana" w:cs="Calibri"/>
          <w:sz w:val="20"/>
          <w:szCs w:val="20"/>
        </w:rPr>
        <w:t>iscrepancies with the information provided in the accreditation application</w:t>
      </w:r>
      <w:r>
        <w:rPr>
          <w:rFonts w:ascii="Verdana" w:hAnsi="Verdana" w:cs="Calibri"/>
          <w:sz w:val="20"/>
          <w:szCs w:val="20"/>
        </w:rPr>
        <w:t>.</w:t>
      </w:r>
    </w:p>
    <w:p w14:paraId="04E40256" w14:textId="6DC1204E" w:rsidR="00117C32" w:rsidRPr="003D172F" w:rsidRDefault="007D4D05" w:rsidP="000371B8">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m</w:t>
      </w:r>
      <w:r w:rsidR="00117C32" w:rsidRPr="000371B8">
        <w:rPr>
          <w:rFonts w:ascii="Verdana" w:hAnsi="Verdana" w:cs="Calibri"/>
          <w:sz w:val="20"/>
          <w:szCs w:val="20"/>
        </w:rPr>
        <w:t>eters outside calibration period</w:t>
      </w:r>
      <w:r>
        <w:rPr>
          <w:rFonts w:ascii="Verdana" w:hAnsi="Verdana" w:cs="Calibri"/>
          <w:sz w:val="20"/>
          <w:szCs w:val="20"/>
        </w:rPr>
        <w:t>.</w:t>
      </w:r>
    </w:p>
    <w:p w14:paraId="3A3A5E48" w14:textId="3EDA6B8A" w:rsidR="00117C32" w:rsidRPr="003D172F" w:rsidRDefault="007D4D05" w:rsidP="000371B8">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D</w:t>
      </w:r>
      <w:r w:rsidR="00117C32" w:rsidRPr="000371B8">
        <w:rPr>
          <w:rFonts w:ascii="Verdana" w:hAnsi="Verdana" w:cs="Calibri"/>
          <w:sz w:val="20"/>
          <w:szCs w:val="20"/>
        </w:rPr>
        <w:t>iscrepancies with the stated TIC/DNC</w:t>
      </w:r>
      <w:r>
        <w:rPr>
          <w:rFonts w:ascii="Verdana" w:hAnsi="Verdana" w:cs="Calibri"/>
          <w:sz w:val="20"/>
          <w:szCs w:val="20"/>
        </w:rPr>
        <w:t>.</w:t>
      </w:r>
    </w:p>
    <w:p w14:paraId="6C3FBD1B" w14:textId="5C5C519E" w:rsidR="00117C32" w:rsidRPr="003D172F" w:rsidRDefault="007D4D05" w:rsidP="000371B8">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U</w:t>
      </w:r>
      <w:r w:rsidR="00117C32" w:rsidRPr="000371B8">
        <w:rPr>
          <w:rFonts w:ascii="Verdana" w:hAnsi="Verdana" w:cs="Calibri"/>
          <w:sz w:val="20"/>
          <w:szCs w:val="20"/>
        </w:rPr>
        <w:t>nable to confirm the commissioning date due to insufficient evidence</w:t>
      </w:r>
      <w:r>
        <w:rPr>
          <w:rFonts w:ascii="Verdana" w:hAnsi="Verdana" w:cs="Calibri"/>
          <w:sz w:val="20"/>
          <w:szCs w:val="20"/>
        </w:rPr>
        <w:t>.</w:t>
      </w:r>
    </w:p>
    <w:p w14:paraId="6446A38D" w14:textId="5CB3F4FC" w:rsidR="00117C32" w:rsidRPr="003313AF" w:rsidRDefault="007D4D05">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O</w:t>
      </w:r>
      <w:r w:rsidR="00117C32" w:rsidRPr="000371B8">
        <w:rPr>
          <w:rFonts w:ascii="Verdana" w:hAnsi="Verdana" w:cs="Calibri"/>
          <w:sz w:val="20"/>
          <w:szCs w:val="20"/>
        </w:rPr>
        <w:t>utstanding documents/information</w:t>
      </w:r>
      <w:r>
        <w:rPr>
          <w:rFonts w:ascii="Verdana" w:hAnsi="Verdana" w:cs="Calibri"/>
          <w:sz w:val="20"/>
          <w:szCs w:val="20"/>
        </w:rPr>
        <w:t>.</w:t>
      </w:r>
    </w:p>
    <w:p w14:paraId="1EC0E0CA" w14:textId="7ECA5889" w:rsidR="003C12E6" w:rsidRPr="003D172F" w:rsidRDefault="007D4D05" w:rsidP="000371B8">
      <w:pPr>
        <w:pStyle w:val="NormalWeb"/>
        <w:numPr>
          <w:ilvl w:val="0"/>
          <w:numId w:val="53"/>
        </w:numPr>
        <w:spacing w:before="0" w:beforeAutospacing="0" w:after="0" w:afterAutospacing="0" w:line="360" w:lineRule="auto"/>
        <w:ind w:left="1276" w:hanging="425"/>
        <w:rPr>
          <w:rFonts w:cs="Calibri"/>
        </w:rPr>
      </w:pPr>
      <w:r>
        <w:rPr>
          <w:rFonts w:ascii="Verdana" w:hAnsi="Verdana" w:cs="Calibri"/>
          <w:sz w:val="20"/>
          <w:szCs w:val="20"/>
        </w:rPr>
        <w:t>O</w:t>
      </w:r>
      <w:r w:rsidR="00117C32" w:rsidRPr="000371B8">
        <w:rPr>
          <w:rFonts w:ascii="Verdana" w:hAnsi="Verdana" w:cs="Calibri"/>
          <w:sz w:val="20"/>
          <w:szCs w:val="20"/>
        </w:rPr>
        <w:t>ver</w:t>
      </w:r>
      <w:r w:rsidR="00117C32">
        <w:rPr>
          <w:rFonts w:ascii="Verdana" w:hAnsi="Verdana" w:cs="Calibri"/>
          <w:sz w:val="20"/>
          <w:szCs w:val="20"/>
        </w:rPr>
        <w:t>/under-claiming of ROCs</w:t>
      </w:r>
      <w:r w:rsidR="00136A5E">
        <w:rPr>
          <w:rFonts w:ascii="Verdana" w:hAnsi="Verdana" w:cs="Calibri"/>
          <w:sz w:val="20"/>
          <w:szCs w:val="20"/>
        </w:rPr>
        <w:t>.</w:t>
      </w:r>
    </w:p>
    <w:bookmarkEnd w:id="376"/>
    <w:p w14:paraId="4929D161" w14:textId="22340C79" w:rsidR="00117C32" w:rsidRDefault="00117C32">
      <w:pPr>
        <w:spacing w:line="276" w:lineRule="auto"/>
        <w:rPr>
          <w:rFonts w:eastAsia="Times New Roman" w:cs="Times New Roman"/>
          <w:b/>
          <w:bCs/>
        </w:rPr>
      </w:pPr>
    </w:p>
    <w:p w14:paraId="0A3E83C0" w14:textId="2868DE43" w:rsidR="00052AD0" w:rsidRPr="00052AD0" w:rsidRDefault="00052AD0" w:rsidP="00052AD0">
      <w:pPr>
        <w:pStyle w:val="NormalWeb"/>
        <w:spacing w:before="0" w:beforeAutospacing="0" w:after="240" w:afterAutospacing="0" w:line="360" w:lineRule="auto"/>
        <w:rPr>
          <w:rFonts w:ascii="Verdana" w:hAnsi="Verdana" w:cs="Calibri"/>
          <w:sz w:val="20"/>
          <w:szCs w:val="20"/>
        </w:rPr>
      </w:pPr>
      <w:r w:rsidRPr="000371B8">
        <w:rPr>
          <w:rFonts w:ascii="Verdana" w:hAnsi="Verdana"/>
          <w:b/>
          <w:bCs/>
          <w:sz w:val="20"/>
          <w:szCs w:val="20"/>
        </w:rPr>
        <w:t>Figure 5.</w:t>
      </w:r>
      <w:r>
        <w:rPr>
          <w:rFonts w:ascii="Verdana" w:hAnsi="Verdana"/>
          <w:b/>
          <w:bCs/>
          <w:sz w:val="20"/>
          <w:szCs w:val="20"/>
        </w:rPr>
        <w:t>3</w:t>
      </w:r>
      <w:r w:rsidRPr="000371B8">
        <w:rPr>
          <w:rFonts w:ascii="Verdana" w:hAnsi="Verdana"/>
          <w:b/>
          <w:bCs/>
          <w:sz w:val="20"/>
          <w:szCs w:val="20"/>
        </w:rPr>
        <w:t xml:space="preserve">: </w:t>
      </w:r>
      <w:r>
        <w:rPr>
          <w:rFonts w:ascii="Verdana" w:hAnsi="Verdana"/>
          <w:b/>
          <w:bCs/>
          <w:sz w:val="20"/>
          <w:szCs w:val="20"/>
        </w:rPr>
        <w:t>Targeted a</w:t>
      </w:r>
      <w:r w:rsidRPr="000371B8">
        <w:rPr>
          <w:rFonts w:ascii="Verdana" w:hAnsi="Verdana"/>
          <w:b/>
          <w:bCs/>
          <w:sz w:val="20"/>
          <w:szCs w:val="20"/>
        </w:rPr>
        <w:t xml:space="preserve">udit </w:t>
      </w:r>
      <w:r>
        <w:rPr>
          <w:rFonts w:ascii="Verdana" w:hAnsi="Verdana"/>
          <w:b/>
          <w:bCs/>
          <w:sz w:val="20"/>
          <w:szCs w:val="20"/>
        </w:rPr>
        <w:t xml:space="preserve">results 2016-17 to </w:t>
      </w:r>
      <w:r w:rsidRPr="000371B8">
        <w:rPr>
          <w:rFonts w:ascii="Verdana" w:hAnsi="Verdana"/>
          <w:b/>
          <w:bCs/>
          <w:sz w:val="20"/>
          <w:szCs w:val="20"/>
        </w:rPr>
        <w:t>2020-21</w:t>
      </w:r>
    </w:p>
    <w:p w14:paraId="0EAC20F9" w14:textId="23366A97" w:rsidR="00052AD0" w:rsidRDefault="00CB129E" w:rsidP="000371B8">
      <w:pPr>
        <w:pStyle w:val="NormalWeb"/>
        <w:spacing w:before="0" w:beforeAutospacing="0" w:after="240" w:afterAutospacing="0" w:line="360" w:lineRule="auto"/>
        <w:rPr>
          <w:rFonts w:ascii="Verdana" w:hAnsi="Verdana" w:cs="Calibri"/>
          <w:sz w:val="20"/>
          <w:szCs w:val="20"/>
        </w:rPr>
      </w:pPr>
      <w:r>
        <w:rPr>
          <w:noProof/>
        </w:rPr>
        <w:drawing>
          <wp:inline distT="0" distB="0" distL="0" distR="0" wp14:anchorId="44DF6A6A" wp14:editId="06F88817">
            <wp:extent cx="6120130" cy="3203575"/>
            <wp:effectExtent l="0" t="0" r="0" b="0"/>
            <wp:docPr id="266" name="Chart 266" descr="This chart shows the breakdown of targeted generator audit results from 2016-17 to 2020-21, as a percentage of all targeted audits conducted that year. Audit results can have one of four results; Good, Satisfactory, Weak, and Unsatisfactory. &#10;&#10;The data used to produce this chart is published alongside this report on our website.">
              <a:extLst xmlns:a="http://schemas.openxmlformats.org/drawingml/2006/main">
                <a:ext uri="{FF2B5EF4-FFF2-40B4-BE49-F238E27FC236}">
                  <a16:creationId xmlns:a16="http://schemas.microsoft.com/office/drawing/2014/main" id="{70F8A808-8C88-426D-B4EF-33CCBC79C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F7B071D" w14:textId="1A99EF39" w:rsidR="00AE53F4" w:rsidRDefault="00AE53F4" w:rsidP="000371B8">
      <w:pPr>
        <w:pStyle w:val="CH5normal"/>
        <w:ind w:left="567" w:hanging="567"/>
      </w:pPr>
      <w:r>
        <w:t xml:space="preserve">A review of the audit process was conducted to improve and shorten the procedure and </w:t>
      </w:r>
      <w:r w:rsidR="00113909">
        <w:t xml:space="preserve">where possible, </w:t>
      </w:r>
      <w:r w:rsidRPr="008B545B">
        <w:t>minimise the demand on generators</w:t>
      </w:r>
      <w:r w:rsidR="000A6C95" w:rsidRPr="008B545B">
        <w:t>. As such, we no longer request a full response f</w:t>
      </w:r>
      <w:r w:rsidR="00FC36C1">
        <w:t>rom</w:t>
      </w:r>
      <w:r w:rsidR="000A6C95" w:rsidRPr="008B545B">
        <w:t xml:space="preserve"> </w:t>
      </w:r>
      <w:r w:rsidR="00FC36C1">
        <w:t>operators</w:t>
      </w:r>
      <w:r w:rsidR="000A6C95" w:rsidRPr="008B545B">
        <w:t xml:space="preserve"> where the audit is rated as ‘Satisfactory’</w:t>
      </w:r>
      <w:r w:rsidR="00FC36C1">
        <w:t xml:space="preserve"> or ‘Good’</w:t>
      </w:r>
      <w:r w:rsidR="000A6C95" w:rsidRPr="008B545B">
        <w:t xml:space="preserve">. </w:t>
      </w:r>
      <w:r w:rsidR="00FC36C1">
        <w:t>For these audit</w:t>
      </w:r>
      <w:r>
        <w:t>s</w:t>
      </w:r>
      <w:r w:rsidR="00FC36C1">
        <w:t>, once the final report is provided to the operator the audit is closed</w:t>
      </w:r>
      <w:r>
        <w:t>.</w:t>
      </w:r>
      <w:r w:rsidR="00FC36C1">
        <w:t xml:space="preserve"> </w:t>
      </w:r>
      <w:r>
        <w:t>Any outstanding findings are however progressed separately</w:t>
      </w:r>
      <w:r w:rsidR="006A47E2">
        <w:t>,</w:t>
      </w:r>
      <w:r>
        <w:t xml:space="preserve"> and where relevant this </w:t>
      </w:r>
      <w:r w:rsidR="006A47E2">
        <w:t xml:space="preserve">can </w:t>
      </w:r>
      <w:r>
        <w:t>include compliance action</w:t>
      </w:r>
      <w:r w:rsidR="00FC36C1">
        <w:t xml:space="preserve">. </w:t>
      </w:r>
    </w:p>
    <w:p w14:paraId="60D4F134" w14:textId="491D6DA7" w:rsidR="000A6C95" w:rsidRPr="00396F8C" w:rsidRDefault="000A6C95" w:rsidP="000371B8">
      <w:pPr>
        <w:pStyle w:val="Heading2"/>
      </w:pPr>
      <w:bookmarkStart w:id="377" w:name="_Toc98852165"/>
      <w:bookmarkStart w:id="378" w:name="_Hlk93308681"/>
      <w:r w:rsidRPr="00396F8C">
        <w:lastRenderedPageBreak/>
        <w:t>Statistical Generator Audits</w:t>
      </w:r>
      <w:bookmarkEnd w:id="377"/>
    </w:p>
    <w:p w14:paraId="1CCB9C7D" w14:textId="14D4E56C" w:rsidR="000A6C95" w:rsidRPr="00E5371A" w:rsidRDefault="000A6C95" w:rsidP="000371B8">
      <w:pPr>
        <w:pStyle w:val="CH5normal"/>
        <w:ind w:left="567" w:hanging="567"/>
      </w:pPr>
      <w:r w:rsidRPr="00E5371A">
        <w:t>In 2020-21, our external auditor carried out 39</w:t>
      </w:r>
      <w:r w:rsidR="00AB2C04" w:rsidRPr="00E5371A">
        <w:t>1</w:t>
      </w:r>
      <w:r w:rsidRPr="00E5371A">
        <w:t xml:space="preserve"> </w:t>
      </w:r>
      <w:r w:rsidR="006A47E2" w:rsidRPr="00E5371A">
        <w:t xml:space="preserve">statistical audits </w:t>
      </w:r>
      <w:r w:rsidR="006A47E2">
        <w:t xml:space="preserve">of </w:t>
      </w:r>
      <w:r w:rsidRPr="00E5371A">
        <w:t>generating station</w:t>
      </w:r>
      <w:r w:rsidR="006A47E2">
        <w:t>s</w:t>
      </w:r>
      <w:r w:rsidRPr="00E5371A">
        <w:t xml:space="preserve"> &gt;50</w:t>
      </w:r>
      <w:r w:rsidR="00032947">
        <w:t xml:space="preserve"> </w:t>
      </w:r>
      <w:r w:rsidRPr="00E5371A">
        <w:t xml:space="preserve">kW DNC. </w:t>
      </w:r>
      <w:r w:rsidR="006A47E2">
        <w:t>Ninety-seven</w:t>
      </w:r>
      <w:r w:rsidRPr="00E5371A">
        <w:t xml:space="preserve"> of the audited generating stations were based in Scotland, 57 in Northern Ireland, 207 in England and 30 in Wales. The statistical audit sample was selected by taking a random selection from </w:t>
      </w:r>
      <w:r w:rsidR="0041366A">
        <w:t xml:space="preserve">various </w:t>
      </w:r>
      <w:r w:rsidRPr="00E5371A">
        <w:t xml:space="preserve">technology </w:t>
      </w:r>
      <w:r w:rsidR="0041366A">
        <w:t xml:space="preserve">groups </w:t>
      </w:r>
      <w:r w:rsidRPr="00E5371A">
        <w:t xml:space="preserve">across the </w:t>
      </w:r>
      <w:r w:rsidR="006A47E2">
        <w:t>RO</w:t>
      </w:r>
      <w:r w:rsidRPr="00E5371A">
        <w:t xml:space="preserve"> scheme population. </w:t>
      </w:r>
      <w:r w:rsidRPr="00E5371A">
        <w:rPr>
          <w:b/>
        </w:rPr>
        <w:t>Figure 5.</w:t>
      </w:r>
      <w:r w:rsidR="00FB1C92">
        <w:rPr>
          <w:b/>
        </w:rPr>
        <w:t>4</w:t>
      </w:r>
      <w:r w:rsidRPr="00E5371A">
        <w:t xml:space="preserve"> shows the breakdown of the statistical audits by country and the rating given by the auditor. </w:t>
      </w:r>
      <w:r w:rsidRPr="00E5371A">
        <w:rPr>
          <w:b/>
        </w:rPr>
        <w:t>Figure 5.</w:t>
      </w:r>
      <w:r w:rsidR="00FB1C92">
        <w:rPr>
          <w:b/>
        </w:rPr>
        <w:t>5</w:t>
      </w:r>
      <w:r w:rsidRPr="00E5371A">
        <w:t xml:space="preserve"> </w:t>
      </w:r>
      <w:r w:rsidR="006A47E2" w:rsidRPr="006A47E2">
        <w:t>shows the same information but broken down by technology type.</w:t>
      </w:r>
    </w:p>
    <w:bookmarkEnd w:id="378"/>
    <w:p w14:paraId="446B36D9" w14:textId="7D297988" w:rsidR="00B94279" w:rsidRPr="0076464C" w:rsidRDefault="000A6C95" w:rsidP="0094071E">
      <w:pPr>
        <w:rPr>
          <w:b/>
          <w:bCs/>
        </w:rPr>
      </w:pPr>
      <w:r w:rsidRPr="000371B8">
        <w:rPr>
          <w:b/>
          <w:bCs/>
        </w:rPr>
        <w:t>Figure 5.</w:t>
      </w:r>
      <w:r w:rsidR="00FB1C92" w:rsidRPr="000371B8">
        <w:rPr>
          <w:b/>
          <w:bCs/>
        </w:rPr>
        <w:t>4</w:t>
      </w:r>
      <w:r w:rsidR="006D27A1">
        <w:rPr>
          <w:b/>
          <w:bCs/>
        </w:rPr>
        <w:t xml:space="preserve"> (a-</w:t>
      </w:r>
      <w:r w:rsidR="00007254">
        <w:rPr>
          <w:b/>
          <w:bCs/>
        </w:rPr>
        <w:t>e</w:t>
      </w:r>
      <w:r w:rsidR="006D27A1">
        <w:rPr>
          <w:b/>
          <w:bCs/>
        </w:rPr>
        <w:t>)</w:t>
      </w:r>
      <w:r w:rsidRPr="000371B8">
        <w:rPr>
          <w:b/>
          <w:bCs/>
        </w:rPr>
        <w:t xml:space="preserve">: </w:t>
      </w:r>
      <w:r w:rsidR="00571CC2">
        <w:rPr>
          <w:b/>
          <w:bCs/>
        </w:rPr>
        <w:t>Statistical audit r</w:t>
      </w:r>
      <w:r w:rsidRPr="000371B8">
        <w:rPr>
          <w:b/>
          <w:bCs/>
        </w:rPr>
        <w:t xml:space="preserve">atings by </w:t>
      </w:r>
      <w:r w:rsidR="00723B3C">
        <w:rPr>
          <w:b/>
          <w:bCs/>
        </w:rPr>
        <w:t>c</w:t>
      </w:r>
      <w:r w:rsidRPr="000371B8">
        <w:rPr>
          <w:b/>
          <w:bCs/>
        </w:rPr>
        <w:t>ountry 2020-21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C5DA1" w14:paraId="60C5A0EA" w14:textId="77777777" w:rsidTr="000371B8">
        <w:tc>
          <w:tcPr>
            <w:tcW w:w="4956" w:type="dxa"/>
          </w:tcPr>
          <w:p w14:paraId="2E03AE61" w14:textId="77777777" w:rsidR="00DC5DA1" w:rsidRPr="00AC736C" w:rsidRDefault="00DC5DA1" w:rsidP="00DC5DA1">
            <w:pPr>
              <w:spacing w:line="276" w:lineRule="auto"/>
              <w:jc w:val="center"/>
              <w:rPr>
                <w:b/>
                <w:bCs/>
              </w:rPr>
            </w:pPr>
            <w:r w:rsidRPr="00AC736C">
              <w:rPr>
                <w:b/>
                <w:bCs/>
              </w:rPr>
              <w:t>a) England</w:t>
            </w:r>
          </w:p>
          <w:p w14:paraId="5AB5C0C3" w14:textId="4D2B3B71" w:rsidR="00DC5DA1" w:rsidRDefault="00DC5DA1">
            <w:pPr>
              <w:spacing w:line="276" w:lineRule="auto"/>
            </w:pPr>
            <w:r>
              <w:rPr>
                <w:noProof/>
              </w:rPr>
              <w:drawing>
                <wp:inline distT="0" distB="0" distL="0" distR="0" wp14:anchorId="0E94392B" wp14:editId="2C184C65">
                  <wp:extent cx="3002400" cy="2224800"/>
                  <wp:effectExtent l="0" t="0" r="7620" b="4445"/>
                  <wp:docPr id="265" name="Chart 265" descr="This chart shows the results of statistical audits on RO generators in England. &#10;&#10;The data used to produce this chart is published alongside this report on our website.">
                    <a:extLst xmlns:a="http://schemas.openxmlformats.org/drawingml/2006/main">
                      <a:ext uri="{FF2B5EF4-FFF2-40B4-BE49-F238E27FC236}">
                        <a16:creationId xmlns:a16="http://schemas.microsoft.com/office/drawing/2014/main" id="{1C2F79F3-7A26-44C1-90F2-3EF74FB8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72" w:type="dxa"/>
          </w:tcPr>
          <w:p w14:paraId="03C7A947" w14:textId="77777777" w:rsidR="00DC5DA1" w:rsidRPr="00AC736C" w:rsidRDefault="00DC5DA1" w:rsidP="00DC5DA1">
            <w:pPr>
              <w:spacing w:line="276" w:lineRule="auto"/>
              <w:jc w:val="center"/>
              <w:rPr>
                <w:b/>
                <w:bCs/>
              </w:rPr>
            </w:pPr>
            <w:r w:rsidRPr="00AC736C">
              <w:rPr>
                <w:b/>
                <w:bCs/>
              </w:rPr>
              <w:t>b) Scotland</w:t>
            </w:r>
          </w:p>
          <w:p w14:paraId="09B0DAC6" w14:textId="61839E8A" w:rsidR="00DC5DA1" w:rsidRDefault="00DC5DA1">
            <w:pPr>
              <w:spacing w:line="276" w:lineRule="auto"/>
            </w:pPr>
            <w:r>
              <w:rPr>
                <w:noProof/>
              </w:rPr>
              <w:drawing>
                <wp:inline distT="0" distB="0" distL="0" distR="0" wp14:anchorId="1165EDAD" wp14:editId="7C949087">
                  <wp:extent cx="3002400" cy="2224800"/>
                  <wp:effectExtent l="0" t="0" r="7620" b="4445"/>
                  <wp:docPr id="268" name="Chart 268" descr="This chart shows the results of statistical audits on RO generators in Scotland. &#10;&#10;The data used to produce this chart is published alongside this report on our website.">
                    <a:extLst xmlns:a="http://schemas.openxmlformats.org/drawingml/2006/main">
                      <a:ext uri="{FF2B5EF4-FFF2-40B4-BE49-F238E27FC236}">
                        <a16:creationId xmlns:a16="http://schemas.microsoft.com/office/drawing/2014/main" id="{1C2F79F3-7A26-44C1-90F2-3EF74FB8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DC5DA1" w14:paraId="770F2C9A" w14:textId="77777777" w:rsidTr="000371B8">
        <w:tc>
          <w:tcPr>
            <w:tcW w:w="4956" w:type="dxa"/>
          </w:tcPr>
          <w:p w14:paraId="67A155C3" w14:textId="77777777" w:rsidR="00DC5DA1" w:rsidRPr="00AC736C" w:rsidRDefault="00DC5DA1" w:rsidP="00DC5DA1">
            <w:pPr>
              <w:spacing w:line="276" w:lineRule="auto"/>
              <w:jc w:val="center"/>
              <w:rPr>
                <w:b/>
                <w:bCs/>
              </w:rPr>
            </w:pPr>
            <w:r w:rsidRPr="00AC736C">
              <w:rPr>
                <w:b/>
                <w:bCs/>
              </w:rPr>
              <w:t>c) Wales</w:t>
            </w:r>
          </w:p>
          <w:p w14:paraId="18BB19AF" w14:textId="496B847F" w:rsidR="00DC5DA1" w:rsidRDefault="0062311C">
            <w:pPr>
              <w:spacing w:line="276" w:lineRule="auto"/>
            </w:pPr>
            <w:r>
              <w:rPr>
                <w:noProof/>
              </w:rPr>
              <w:drawing>
                <wp:inline distT="0" distB="0" distL="0" distR="0" wp14:anchorId="3CC6DE85" wp14:editId="146AF88E">
                  <wp:extent cx="3002400" cy="2224800"/>
                  <wp:effectExtent l="0" t="0" r="7620" b="4445"/>
                  <wp:docPr id="269" name="Chart 269" descr="This chart shows the results of statistical audits on RO generators in Wales. &#10;&#10;The data used to produce this chart is published alongside this report on our website.">
                    <a:extLst xmlns:a="http://schemas.openxmlformats.org/drawingml/2006/main">
                      <a:ext uri="{FF2B5EF4-FFF2-40B4-BE49-F238E27FC236}">
                        <a16:creationId xmlns:a16="http://schemas.microsoft.com/office/drawing/2014/main" id="{1C2F79F3-7A26-44C1-90F2-3EF74FB8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672" w:type="dxa"/>
          </w:tcPr>
          <w:p w14:paraId="356AC599" w14:textId="77777777" w:rsidR="00DC5DA1" w:rsidRPr="00AC736C" w:rsidRDefault="00DC5DA1" w:rsidP="00DC5DA1">
            <w:pPr>
              <w:spacing w:line="276" w:lineRule="auto"/>
              <w:jc w:val="center"/>
              <w:rPr>
                <w:b/>
                <w:bCs/>
              </w:rPr>
            </w:pPr>
            <w:r w:rsidRPr="00AC736C">
              <w:rPr>
                <w:b/>
                <w:bCs/>
              </w:rPr>
              <w:t>d) Northern Ireland</w:t>
            </w:r>
          </w:p>
          <w:p w14:paraId="5CD51EE5" w14:textId="715D7E3D" w:rsidR="00DC5DA1" w:rsidRDefault="0062311C">
            <w:pPr>
              <w:spacing w:line="276" w:lineRule="auto"/>
            </w:pPr>
            <w:r>
              <w:rPr>
                <w:noProof/>
              </w:rPr>
              <w:drawing>
                <wp:inline distT="0" distB="0" distL="0" distR="0" wp14:anchorId="2AC0D157" wp14:editId="1273D3E6">
                  <wp:extent cx="3002400" cy="2224800"/>
                  <wp:effectExtent l="0" t="0" r="7620" b="4445"/>
                  <wp:docPr id="270" name="Chart 270" descr="This chart shows the results of statistical audits on RO generators in Northern Ireland.&#10;&#10;The data used to produce this chart is published alongside this report on our website. ">
                    <a:extLst xmlns:a="http://schemas.openxmlformats.org/drawingml/2006/main">
                      <a:ext uri="{FF2B5EF4-FFF2-40B4-BE49-F238E27FC236}">
                        <a16:creationId xmlns:a16="http://schemas.microsoft.com/office/drawing/2014/main" id="{1C2F79F3-7A26-44C1-90F2-3EF74FB8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4152EBC3" w14:textId="7A076DA6" w:rsidR="00113909" w:rsidRDefault="00113909">
      <w:pPr>
        <w:spacing w:line="276" w:lineRule="auto"/>
        <w:rPr>
          <w:b/>
          <w:bCs/>
        </w:rPr>
      </w:pPr>
    </w:p>
    <w:p w14:paraId="17B3D14C" w14:textId="5C6FF7BA" w:rsidR="0062311C" w:rsidRDefault="0062311C">
      <w:pPr>
        <w:spacing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82"/>
      </w:tblGrid>
      <w:tr w:rsidR="00007254" w14:paraId="43527DAB" w14:textId="77777777" w:rsidTr="000371B8">
        <w:tc>
          <w:tcPr>
            <w:tcW w:w="4814" w:type="dxa"/>
          </w:tcPr>
          <w:p w14:paraId="4BD60AD7" w14:textId="65F3A2AC" w:rsidR="00007254" w:rsidRPr="00AC736C" w:rsidRDefault="00007254" w:rsidP="00007254">
            <w:pPr>
              <w:spacing w:line="276" w:lineRule="auto"/>
              <w:jc w:val="center"/>
              <w:rPr>
                <w:b/>
                <w:bCs/>
              </w:rPr>
            </w:pPr>
            <w:r>
              <w:rPr>
                <w:b/>
                <w:bCs/>
              </w:rPr>
              <w:lastRenderedPageBreak/>
              <w:t>e</w:t>
            </w:r>
            <w:r w:rsidRPr="00AC736C">
              <w:rPr>
                <w:b/>
                <w:bCs/>
              </w:rPr>
              <w:t xml:space="preserve">) </w:t>
            </w:r>
            <w:r>
              <w:rPr>
                <w:b/>
                <w:bCs/>
              </w:rPr>
              <w:t>UK combined</w:t>
            </w:r>
          </w:p>
          <w:p w14:paraId="16BC220F" w14:textId="29949B69" w:rsidR="00007254" w:rsidRDefault="00007254" w:rsidP="00A03E86">
            <w:pPr>
              <w:spacing w:line="276" w:lineRule="auto"/>
              <w:rPr>
                <w:b/>
              </w:rPr>
            </w:pPr>
            <w:r>
              <w:rPr>
                <w:noProof/>
              </w:rPr>
              <w:drawing>
                <wp:inline distT="0" distB="0" distL="0" distR="0" wp14:anchorId="451AC7D6" wp14:editId="4F2241C5">
                  <wp:extent cx="3002400" cy="2224800"/>
                  <wp:effectExtent l="0" t="0" r="7620" b="4445"/>
                  <wp:docPr id="267" name="Chart 267" descr="This chart shows the results of statistical audits on RO generators in the UK. &#10;&#10;The data used to produce this chart is published alongside this report on our website.">
                    <a:extLst xmlns:a="http://schemas.openxmlformats.org/drawingml/2006/main">
                      <a:ext uri="{FF2B5EF4-FFF2-40B4-BE49-F238E27FC236}">
                        <a16:creationId xmlns:a16="http://schemas.microsoft.com/office/drawing/2014/main" id="{1C2F79F3-7A26-44C1-90F2-3EF74FB8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814" w:type="dxa"/>
          </w:tcPr>
          <w:p w14:paraId="4A734608" w14:textId="77777777" w:rsidR="00007254" w:rsidRDefault="00007254" w:rsidP="00A03E86">
            <w:pPr>
              <w:spacing w:line="276" w:lineRule="auto"/>
              <w:rPr>
                <w:b/>
              </w:rPr>
            </w:pPr>
          </w:p>
        </w:tc>
      </w:tr>
    </w:tbl>
    <w:p w14:paraId="4D630489" w14:textId="77777777" w:rsidR="00007254" w:rsidRPr="00F25AF8" w:rsidRDefault="00007254" w:rsidP="00A03E86">
      <w:pPr>
        <w:spacing w:line="276" w:lineRule="auto"/>
        <w:rPr>
          <w:b/>
        </w:rPr>
      </w:pPr>
    </w:p>
    <w:p w14:paraId="0EA3A1BF" w14:textId="354CCE2A" w:rsidR="00215F00" w:rsidRDefault="000A6C95" w:rsidP="00A03E86">
      <w:pPr>
        <w:spacing w:line="276" w:lineRule="auto"/>
        <w:rPr>
          <w:b/>
          <w:bCs/>
        </w:rPr>
      </w:pPr>
      <w:r w:rsidRPr="000371B8">
        <w:rPr>
          <w:b/>
          <w:bCs/>
        </w:rPr>
        <w:t>Figure 5.</w:t>
      </w:r>
      <w:r w:rsidR="00FB1C92" w:rsidRPr="000371B8">
        <w:rPr>
          <w:b/>
          <w:bCs/>
        </w:rPr>
        <w:t>5</w:t>
      </w:r>
      <w:r w:rsidR="006D27A1">
        <w:rPr>
          <w:b/>
          <w:bCs/>
        </w:rPr>
        <w:t xml:space="preserve"> (a-g)</w:t>
      </w:r>
      <w:r w:rsidRPr="000371B8">
        <w:rPr>
          <w:b/>
          <w:bCs/>
        </w:rPr>
        <w:t xml:space="preserve">: </w:t>
      </w:r>
      <w:r w:rsidR="00571CC2">
        <w:rPr>
          <w:b/>
          <w:bCs/>
        </w:rPr>
        <w:t>Statistical audit</w:t>
      </w:r>
      <w:r w:rsidR="00571CC2" w:rsidRPr="000371B8">
        <w:rPr>
          <w:b/>
          <w:bCs/>
        </w:rPr>
        <w:t xml:space="preserve"> </w:t>
      </w:r>
      <w:r w:rsidR="00571CC2">
        <w:rPr>
          <w:b/>
          <w:bCs/>
        </w:rPr>
        <w:t>r</w:t>
      </w:r>
      <w:r w:rsidRPr="000371B8">
        <w:rPr>
          <w:b/>
          <w:bCs/>
        </w:rPr>
        <w:t xml:space="preserve">atings by </w:t>
      </w:r>
      <w:r w:rsidR="00723B3C">
        <w:rPr>
          <w:b/>
          <w:bCs/>
        </w:rPr>
        <w:t>t</w:t>
      </w:r>
      <w:r w:rsidRPr="000371B8">
        <w:rPr>
          <w:b/>
          <w:bCs/>
        </w:rPr>
        <w:t>echnology 2020-21</w:t>
      </w:r>
      <w:r w:rsidR="006D27A1">
        <w:rPr>
          <w:b/>
          <w:bCs/>
        </w:rPr>
        <w:t xml:space="preserve"> </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215F00" w14:paraId="1A418BE8" w14:textId="77777777" w:rsidTr="000371B8">
        <w:trPr>
          <w:trHeight w:val="3969"/>
        </w:trPr>
        <w:tc>
          <w:tcPr>
            <w:tcW w:w="4820" w:type="dxa"/>
          </w:tcPr>
          <w:p w14:paraId="029C7814" w14:textId="77777777" w:rsidR="00215F00" w:rsidRPr="000371B8" w:rsidRDefault="00215F00" w:rsidP="00215F00">
            <w:pPr>
              <w:spacing w:line="276" w:lineRule="auto"/>
              <w:jc w:val="center"/>
              <w:rPr>
                <w:b/>
                <w:bCs/>
              </w:rPr>
            </w:pPr>
            <w:r w:rsidRPr="00A26423">
              <w:rPr>
                <w:b/>
                <w:bCs/>
              </w:rPr>
              <w:t>a) Fuelled</w:t>
            </w:r>
          </w:p>
          <w:p w14:paraId="3AC52DDE" w14:textId="2C2F4EC1" w:rsidR="00215F00" w:rsidRPr="000371B8" w:rsidRDefault="00215F00">
            <w:pPr>
              <w:spacing w:line="276" w:lineRule="auto"/>
            </w:pPr>
            <w:r>
              <w:rPr>
                <w:noProof/>
              </w:rPr>
              <w:drawing>
                <wp:inline distT="0" distB="0" distL="0" distR="0" wp14:anchorId="2DED1CC7" wp14:editId="1C0606C0">
                  <wp:extent cx="3002400" cy="2296160"/>
                  <wp:effectExtent l="0" t="0" r="7620" b="8890"/>
                  <wp:docPr id="6" name="Chart 6" descr="This chart shows the results of statistical audits on RO generators, specifically fuelled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819" w:type="dxa"/>
          </w:tcPr>
          <w:p w14:paraId="300243DA" w14:textId="77777777" w:rsidR="00215F00" w:rsidRPr="000371B8" w:rsidRDefault="00215F00" w:rsidP="00215F00">
            <w:pPr>
              <w:spacing w:line="276" w:lineRule="auto"/>
              <w:jc w:val="center"/>
              <w:rPr>
                <w:b/>
                <w:bCs/>
              </w:rPr>
            </w:pPr>
            <w:r w:rsidRPr="00A26423">
              <w:rPr>
                <w:b/>
                <w:bCs/>
              </w:rPr>
              <w:t>b) Hydro</w:t>
            </w:r>
          </w:p>
          <w:p w14:paraId="397D62BC" w14:textId="1049E2E8" w:rsidR="00215F00" w:rsidRPr="000371B8" w:rsidRDefault="00A26423">
            <w:pPr>
              <w:spacing w:line="276" w:lineRule="auto"/>
            </w:pPr>
            <w:r>
              <w:rPr>
                <w:noProof/>
              </w:rPr>
              <w:drawing>
                <wp:inline distT="0" distB="0" distL="0" distR="0" wp14:anchorId="364162BA" wp14:editId="289AA193">
                  <wp:extent cx="3002400" cy="2296160"/>
                  <wp:effectExtent l="0" t="0" r="7620" b="8890"/>
                  <wp:docPr id="275" name="Chart 275" descr="This chart shows the results of statistical audits on RO generators, specifically hydro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215F00" w14:paraId="44ED1D89" w14:textId="77777777" w:rsidTr="000371B8">
        <w:trPr>
          <w:trHeight w:val="3969"/>
        </w:trPr>
        <w:tc>
          <w:tcPr>
            <w:tcW w:w="4820" w:type="dxa"/>
          </w:tcPr>
          <w:p w14:paraId="6CD94F7E" w14:textId="77777777" w:rsidR="00215F00" w:rsidRPr="000371B8" w:rsidRDefault="00215F00" w:rsidP="00215F00">
            <w:pPr>
              <w:spacing w:line="276" w:lineRule="auto"/>
              <w:jc w:val="center"/>
              <w:rPr>
                <w:b/>
                <w:bCs/>
              </w:rPr>
            </w:pPr>
            <w:r w:rsidRPr="00A26423">
              <w:rPr>
                <w:b/>
                <w:bCs/>
              </w:rPr>
              <w:t>c) Landfill gas</w:t>
            </w:r>
          </w:p>
          <w:p w14:paraId="5FA1134E" w14:textId="3843E0E6" w:rsidR="006D27A1" w:rsidRPr="000371B8" w:rsidRDefault="00A26423">
            <w:pPr>
              <w:spacing w:line="276" w:lineRule="auto"/>
            </w:pPr>
            <w:r>
              <w:rPr>
                <w:noProof/>
              </w:rPr>
              <w:drawing>
                <wp:inline distT="0" distB="0" distL="0" distR="0" wp14:anchorId="5D36BCE3" wp14:editId="5F16844A">
                  <wp:extent cx="3002400" cy="2296160"/>
                  <wp:effectExtent l="0" t="0" r="7620" b="8890"/>
                  <wp:docPr id="281" name="Chart 281" descr="This chart shows the results of statistical audits on RO generators, specifically landfill gas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819" w:type="dxa"/>
          </w:tcPr>
          <w:p w14:paraId="25E79E71" w14:textId="77777777" w:rsidR="00215F00" w:rsidRPr="000371B8" w:rsidRDefault="00215F00" w:rsidP="00215F00">
            <w:pPr>
              <w:spacing w:line="276" w:lineRule="auto"/>
              <w:jc w:val="center"/>
              <w:rPr>
                <w:b/>
                <w:bCs/>
              </w:rPr>
            </w:pPr>
            <w:r w:rsidRPr="00A26423">
              <w:rPr>
                <w:b/>
                <w:bCs/>
              </w:rPr>
              <w:t>d) Offshore wind</w:t>
            </w:r>
          </w:p>
          <w:p w14:paraId="416E70E0" w14:textId="0345E300" w:rsidR="006D27A1" w:rsidRPr="000371B8" w:rsidRDefault="00A26423">
            <w:pPr>
              <w:spacing w:line="276" w:lineRule="auto"/>
            </w:pPr>
            <w:r>
              <w:rPr>
                <w:noProof/>
              </w:rPr>
              <w:drawing>
                <wp:inline distT="0" distB="0" distL="0" distR="0" wp14:anchorId="3E8E6776" wp14:editId="07857D4B">
                  <wp:extent cx="3002400" cy="2296160"/>
                  <wp:effectExtent l="0" t="0" r="7620" b="8890"/>
                  <wp:docPr id="282" name="Chart 282" descr="This chart shows the results of statistical audits on RO generators, specifically offshore wind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215F00" w14:paraId="54A471F6" w14:textId="77777777" w:rsidTr="000371B8">
        <w:trPr>
          <w:trHeight w:val="3969"/>
        </w:trPr>
        <w:tc>
          <w:tcPr>
            <w:tcW w:w="4820" w:type="dxa"/>
          </w:tcPr>
          <w:p w14:paraId="357BABAE" w14:textId="77777777" w:rsidR="00215F00" w:rsidRPr="000371B8" w:rsidRDefault="00215F00" w:rsidP="00215F00">
            <w:pPr>
              <w:spacing w:line="276" w:lineRule="auto"/>
              <w:jc w:val="center"/>
              <w:rPr>
                <w:b/>
                <w:bCs/>
              </w:rPr>
            </w:pPr>
            <w:r w:rsidRPr="00A26423">
              <w:rPr>
                <w:b/>
                <w:bCs/>
              </w:rPr>
              <w:lastRenderedPageBreak/>
              <w:t>e) Onshore wind</w:t>
            </w:r>
          </w:p>
          <w:p w14:paraId="5792FAA4" w14:textId="2D1EA687" w:rsidR="006D27A1" w:rsidRPr="000371B8" w:rsidRDefault="00A26423">
            <w:pPr>
              <w:spacing w:line="276" w:lineRule="auto"/>
            </w:pPr>
            <w:r>
              <w:rPr>
                <w:noProof/>
              </w:rPr>
              <w:drawing>
                <wp:inline distT="0" distB="0" distL="0" distR="0" wp14:anchorId="5D16D52C" wp14:editId="3C44AEAC">
                  <wp:extent cx="3002400" cy="2296160"/>
                  <wp:effectExtent l="0" t="0" r="7620" b="8890"/>
                  <wp:docPr id="283" name="Chart 283" descr="This chart shows the results of statistical audits on RO generators, specifically onshore wind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819" w:type="dxa"/>
          </w:tcPr>
          <w:p w14:paraId="4DDCA14C" w14:textId="585FE89E" w:rsidR="00215F00" w:rsidRPr="000371B8" w:rsidRDefault="00215F00" w:rsidP="00215F00">
            <w:pPr>
              <w:spacing w:line="276" w:lineRule="auto"/>
              <w:jc w:val="center"/>
              <w:rPr>
                <w:b/>
                <w:bCs/>
              </w:rPr>
            </w:pPr>
            <w:r w:rsidRPr="00A26423">
              <w:rPr>
                <w:b/>
                <w:bCs/>
              </w:rPr>
              <w:t xml:space="preserve">f) </w:t>
            </w:r>
            <w:r w:rsidR="00685787">
              <w:rPr>
                <w:b/>
                <w:bCs/>
              </w:rPr>
              <w:t>Solar PV</w:t>
            </w:r>
          </w:p>
          <w:p w14:paraId="3CA658AB" w14:textId="726BD9E0" w:rsidR="006D27A1" w:rsidRPr="000371B8" w:rsidRDefault="00A26423">
            <w:pPr>
              <w:spacing w:line="276" w:lineRule="auto"/>
            </w:pPr>
            <w:r>
              <w:rPr>
                <w:noProof/>
              </w:rPr>
              <w:drawing>
                <wp:inline distT="0" distB="0" distL="0" distR="0" wp14:anchorId="4371218B" wp14:editId="7AAEA3D3">
                  <wp:extent cx="3002400" cy="2296160"/>
                  <wp:effectExtent l="0" t="0" r="7620" b="8890"/>
                  <wp:docPr id="284" name="Chart 284" descr="This chart shows the results of statistical audits on RO generators, specifically solar PV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215F00" w14:paraId="6C2DA567" w14:textId="77777777" w:rsidTr="000371B8">
        <w:trPr>
          <w:trHeight w:val="3969"/>
        </w:trPr>
        <w:tc>
          <w:tcPr>
            <w:tcW w:w="4820" w:type="dxa"/>
          </w:tcPr>
          <w:p w14:paraId="3B958A39" w14:textId="77777777" w:rsidR="00215F00" w:rsidRPr="000371B8" w:rsidRDefault="00215F00" w:rsidP="00215F00">
            <w:pPr>
              <w:spacing w:line="276" w:lineRule="auto"/>
              <w:jc w:val="center"/>
              <w:rPr>
                <w:b/>
                <w:bCs/>
              </w:rPr>
            </w:pPr>
            <w:r w:rsidRPr="00A26423">
              <w:rPr>
                <w:b/>
                <w:bCs/>
              </w:rPr>
              <w:t>g) Sewage gas</w:t>
            </w:r>
          </w:p>
          <w:p w14:paraId="43B4BC0A" w14:textId="50ADBAA7" w:rsidR="006D27A1" w:rsidRPr="000371B8" w:rsidRDefault="00A26423">
            <w:pPr>
              <w:spacing w:line="276" w:lineRule="auto"/>
            </w:pPr>
            <w:r>
              <w:rPr>
                <w:noProof/>
              </w:rPr>
              <w:drawing>
                <wp:inline distT="0" distB="0" distL="0" distR="0" wp14:anchorId="66755640" wp14:editId="589DF663">
                  <wp:extent cx="3002400" cy="2296160"/>
                  <wp:effectExtent l="0" t="0" r="7620" b="8890"/>
                  <wp:docPr id="285" name="Chart 285" descr="This chart shows the results of statistical audits on RO generators, specifically sewage gas stations. &#10;&#10;The data used to produce this chart is published alongside this report on our website.">
                    <a:extLst xmlns:a="http://schemas.openxmlformats.org/drawingml/2006/main">
                      <a:ext uri="{FF2B5EF4-FFF2-40B4-BE49-F238E27FC236}">
                        <a16:creationId xmlns:a16="http://schemas.microsoft.com/office/drawing/2014/main" id="{51CF989A-64E5-48CE-B62D-2C3FD76C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819" w:type="dxa"/>
          </w:tcPr>
          <w:p w14:paraId="079EA507" w14:textId="77777777" w:rsidR="00215F00" w:rsidRPr="000371B8" w:rsidRDefault="00215F00" w:rsidP="000371B8">
            <w:pPr>
              <w:spacing w:line="276" w:lineRule="auto"/>
              <w:jc w:val="center"/>
            </w:pPr>
          </w:p>
        </w:tc>
      </w:tr>
    </w:tbl>
    <w:p w14:paraId="6F08AB33" w14:textId="1089B9A5" w:rsidR="00117C32" w:rsidRDefault="00117C32" w:rsidP="00A03E86">
      <w:pPr>
        <w:spacing w:line="276" w:lineRule="auto"/>
        <w:rPr>
          <w:b/>
          <w:bCs/>
        </w:rPr>
      </w:pPr>
    </w:p>
    <w:p w14:paraId="0E3D104E" w14:textId="62384C0B" w:rsidR="00482E14" w:rsidRPr="00E52A32" w:rsidRDefault="00415047" w:rsidP="000371B8">
      <w:pPr>
        <w:pStyle w:val="CH5normal"/>
        <w:ind w:left="567" w:hanging="567"/>
      </w:pPr>
      <w:bookmarkStart w:id="379" w:name="_Hlk93308710"/>
      <w:r w:rsidRPr="000371B8">
        <w:t xml:space="preserve">Overall, </w:t>
      </w:r>
      <w:r w:rsidR="00945C1E" w:rsidRPr="000371B8">
        <w:t>78</w:t>
      </w:r>
      <w:r w:rsidR="000A6C95" w:rsidRPr="000371B8">
        <w:t xml:space="preserve">% of stations </w:t>
      </w:r>
      <w:r w:rsidRPr="000371B8">
        <w:t>received</w:t>
      </w:r>
      <w:r w:rsidR="000A6C95" w:rsidRPr="000371B8">
        <w:t xml:space="preserve"> ‘</w:t>
      </w:r>
      <w:r w:rsidR="00C16D6E">
        <w:t>W</w:t>
      </w:r>
      <w:r w:rsidR="000A6C95" w:rsidRPr="000371B8">
        <w:t>eak’ and ‘</w:t>
      </w:r>
      <w:r w:rsidR="00C16D6E">
        <w:t>U</w:t>
      </w:r>
      <w:r w:rsidR="000A6C95" w:rsidRPr="000371B8">
        <w:t xml:space="preserve">nsatisfactory’ audit ratings, with the most common audit findings </w:t>
      </w:r>
      <w:r w:rsidR="00117C32">
        <w:t>reflecting those on the targeted programme</w:t>
      </w:r>
      <w:r w:rsidR="00482E14" w:rsidRPr="000371B8">
        <w:t>:</w:t>
      </w:r>
    </w:p>
    <w:p w14:paraId="7B3163DA" w14:textId="24CA1D7C" w:rsidR="00482E14" w:rsidRPr="00E52A32" w:rsidRDefault="007D4D05" w:rsidP="000371B8">
      <w:pPr>
        <w:pStyle w:val="NormalWeb"/>
        <w:numPr>
          <w:ilvl w:val="0"/>
          <w:numId w:val="53"/>
        </w:numPr>
        <w:spacing w:before="0" w:beforeAutospacing="0" w:after="0" w:afterAutospacing="0" w:line="360" w:lineRule="auto"/>
        <w:ind w:left="1276" w:hanging="425"/>
        <w:rPr>
          <w:rFonts w:ascii="Verdana" w:hAnsi="Verdana" w:cs="Calibri"/>
          <w:sz w:val="20"/>
          <w:szCs w:val="20"/>
        </w:rPr>
      </w:pPr>
      <w:r>
        <w:rPr>
          <w:rFonts w:ascii="Verdana" w:hAnsi="Verdana" w:cs="Calibri"/>
          <w:sz w:val="20"/>
          <w:szCs w:val="20"/>
        </w:rPr>
        <w:t>D</w:t>
      </w:r>
      <w:r w:rsidR="000A6C95" w:rsidRPr="000371B8">
        <w:rPr>
          <w:rFonts w:ascii="Verdana" w:hAnsi="Verdana" w:cs="Calibri"/>
          <w:sz w:val="20"/>
          <w:szCs w:val="20"/>
        </w:rPr>
        <w:t>iscrepancies with the</w:t>
      </w:r>
      <w:r w:rsidR="006A47E2" w:rsidRPr="000371B8">
        <w:rPr>
          <w:rFonts w:ascii="Verdana" w:hAnsi="Verdana" w:cs="Calibri"/>
          <w:sz w:val="20"/>
          <w:szCs w:val="20"/>
        </w:rPr>
        <w:t xml:space="preserve"> information provided in the</w:t>
      </w:r>
      <w:r w:rsidR="000A6C95" w:rsidRPr="000371B8">
        <w:rPr>
          <w:rFonts w:ascii="Verdana" w:hAnsi="Verdana" w:cs="Calibri"/>
          <w:sz w:val="20"/>
          <w:szCs w:val="20"/>
        </w:rPr>
        <w:t xml:space="preserve"> accreditation application</w:t>
      </w:r>
      <w:r>
        <w:rPr>
          <w:rFonts w:ascii="Verdana" w:hAnsi="Verdana" w:cs="Calibri"/>
          <w:sz w:val="20"/>
          <w:szCs w:val="20"/>
        </w:rPr>
        <w:t>.</w:t>
      </w:r>
    </w:p>
    <w:p w14:paraId="3AFD3C87" w14:textId="5BC87F7E" w:rsidR="00482E14" w:rsidRPr="00E52A32" w:rsidRDefault="007D4D05" w:rsidP="000371B8">
      <w:pPr>
        <w:pStyle w:val="NormalWeb"/>
        <w:numPr>
          <w:ilvl w:val="0"/>
          <w:numId w:val="53"/>
        </w:numPr>
        <w:spacing w:before="0" w:beforeAutospacing="0" w:after="0" w:afterAutospacing="0" w:line="360" w:lineRule="auto"/>
        <w:ind w:left="1276" w:hanging="425"/>
        <w:rPr>
          <w:rFonts w:ascii="Verdana" w:hAnsi="Verdana" w:cs="Calibri"/>
          <w:sz w:val="20"/>
          <w:szCs w:val="20"/>
        </w:rPr>
      </w:pPr>
      <w:r>
        <w:rPr>
          <w:rFonts w:ascii="Verdana" w:hAnsi="Verdana" w:cs="Calibri"/>
          <w:sz w:val="20"/>
          <w:szCs w:val="20"/>
        </w:rPr>
        <w:t>M</w:t>
      </w:r>
      <w:r w:rsidR="000A6C95" w:rsidRPr="000371B8">
        <w:rPr>
          <w:rFonts w:ascii="Verdana" w:hAnsi="Verdana" w:cs="Calibri"/>
          <w:sz w:val="20"/>
          <w:szCs w:val="20"/>
        </w:rPr>
        <w:t xml:space="preserve">eters </w:t>
      </w:r>
      <w:r w:rsidR="00C92C6C" w:rsidRPr="000371B8">
        <w:rPr>
          <w:rFonts w:ascii="Verdana" w:hAnsi="Verdana" w:cs="Calibri"/>
          <w:sz w:val="20"/>
          <w:szCs w:val="20"/>
        </w:rPr>
        <w:t>out</w:t>
      </w:r>
      <w:r w:rsidR="00117C32">
        <w:rPr>
          <w:rFonts w:ascii="Verdana" w:hAnsi="Verdana" w:cs="Calibri"/>
          <w:sz w:val="20"/>
          <w:szCs w:val="20"/>
        </w:rPr>
        <w:t>side</w:t>
      </w:r>
      <w:r w:rsidR="00C92C6C" w:rsidRPr="000371B8">
        <w:rPr>
          <w:rFonts w:ascii="Verdana" w:hAnsi="Verdana" w:cs="Calibri"/>
          <w:sz w:val="20"/>
          <w:szCs w:val="20"/>
        </w:rPr>
        <w:t xml:space="preserve"> calibration period</w:t>
      </w:r>
      <w:r>
        <w:rPr>
          <w:rFonts w:ascii="Verdana" w:hAnsi="Verdana" w:cs="Calibri"/>
          <w:sz w:val="20"/>
          <w:szCs w:val="20"/>
        </w:rPr>
        <w:t>.</w:t>
      </w:r>
      <w:r w:rsidR="000A6C95" w:rsidRPr="000371B8">
        <w:rPr>
          <w:rFonts w:ascii="Verdana" w:hAnsi="Verdana" w:cs="Calibri"/>
          <w:sz w:val="20"/>
          <w:szCs w:val="20"/>
        </w:rPr>
        <w:t xml:space="preserve"> </w:t>
      </w:r>
    </w:p>
    <w:p w14:paraId="607A6D0D" w14:textId="0F7073C0" w:rsidR="00482E14" w:rsidRPr="00E52A32" w:rsidRDefault="007D4D05" w:rsidP="000371B8">
      <w:pPr>
        <w:pStyle w:val="NormalWeb"/>
        <w:numPr>
          <w:ilvl w:val="0"/>
          <w:numId w:val="53"/>
        </w:numPr>
        <w:spacing w:before="0" w:beforeAutospacing="0" w:after="0" w:afterAutospacing="0" w:line="360" w:lineRule="auto"/>
        <w:ind w:left="1276" w:hanging="425"/>
        <w:rPr>
          <w:rFonts w:ascii="Verdana" w:hAnsi="Verdana" w:cs="Calibri"/>
          <w:sz w:val="20"/>
          <w:szCs w:val="20"/>
        </w:rPr>
      </w:pPr>
      <w:r>
        <w:rPr>
          <w:rFonts w:ascii="Verdana" w:hAnsi="Verdana" w:cs="Calibri"/>
          <w:sz w:val="20"/>
          <w:szCs w:val="20"/>
        </w:rPr>
        <w:t>D</w:t>
      </w:r>
      <w:r w:rsidR="000A6C95" w:rsidRPr="000371B8">
        <w:rPr>
          <w:rFonts w:ascii="Verdana" w:hAnsi="Verdana" w:cs="Calibri"/>
          <w:sz w:val="20"/>
          <w:szCs w:val="20"/>
        </w:rPr>
        <w:t>iscrepancies with the</w:t>
      </w:r>
      <w:r w:rsidR="00E3460F">
        <w:rPr>
          <w:rFonts w:ascii="Verdana" w:hAnsi="Verdana" w:cs="Calibri"/>
          <w:sz w:val="20"/>
          <w:szCs w:val="20"/>
        </w:rPr>
        <w:t xml:space="preserve"> stated</w:t>
      </w:r>
      <w:r w:rsidR="00C611B6">
        <w:rPr>
          <w:rFonts w:ascii="Verdana" w:hAnsi="Verdana" w:cs="Calibri"/>
          <w:sz w:val="20"/>
          <w:szCs w:val="20"/>
        </w:rPr>
        <w:t xml:space="preserve"> </w:t>
      </w:r>
      <w:r w:rsidR="000A6C95" w:rsidRPr="000371B8">
        <w:rPr>
          <w:rFonts w:ascii="Verdana" w:hAnsi="Verdana" w:cs="Calibri"/>
          <w:sz w:val="20"/>
          <w:szCs w:val="20"/>
        </w:rPr>
        <w:t>TIC/DNC</w:t>
      </w:r>
      <w:r>
        <w:rPr>
          <w:rFonts w:ascii="Verdana" w:hAnsi="Verdana" w:cs="Calibri"/>
          <w:sz w:val="20"/>
          <w:szCs w:val="20"/>
        </w:rPr>
        <w:t>.</w:t>
      </w:r>
      <w:r w:rsidR="000A6C95" w:rsidRPr="000371B8">
        <w:rPr>
          <w:rFonts w:ascii="Verdana" w:hAnsi="Verdana" w:cs="Calibri"/>
          <w:sz w:val="20"/>
          <w:szCs w:val="20"/>
        </w:rPr>
        <w:t xml:space="preserve"> </w:t>
      </w:r>
    </w:p>
    <w:p w14:paraId="0240A859" w14:textId="68154AA3" w:rsidR="00482E14" w:rsidRPr="00E52A32" w:rsidRDefault="007D4D05" w:rsidP="000371B8">
      <w:pPr>
        <w:pStyle w:val="NormalWeb"/>
        <w:numPr>
          <w:ilvl w:val="0"/>
          <w:numId w:val="53"/>
        </w:numPr>
        <w:spacing w:before="0" w:beforeAutospacing="0" w:after="0" w:afterAutospacing="0" w:line="360" w:lineRule="auto"/>
        <w:ind w:left="1276" w:hanging="425"/>
        <w:rPr>
          <w:rFonts w:ascii="Verdana" w:hAnsi="Verdana" w:cs="Calibri"/>
          <w:sz w:val="20"/>
          <w:szCs w:val="20"/>
        </w:rPr>
      </w:pPr>
      <w:r>
        <w:rPr>
          <w:rFonts w:ascii="Verdana" w:hAnsi="Verdana" w:cs="Calibri"/>
          <w:sz w:val="20"/>
          <w:szCs w:val="20"/>
        </w:rPr>
        <w:t>U</w:t>
      </w:r>
      <w:r w:rsidR="000A6C95" w:rsidRPr="000371B8">
        <w:rPr>
          <w:rFonts w:ascii="Verdana" w:hAnsi="Verdana" w:cs="Calibri"/>
          <w:sz w:val="20"/>
          <w:szCs w:val="20"/>
        </w:rPr>
        <w:t>nable to confirm the commissioning date due to insufficient evidence</w:t>
      </w:r>
      <w:r>
        <w:rPr>
          <w:rFonts w:ascii="Verdana" w:hAnsi="Verdana" w:cs="Calibri"/>
          <w:sz w:val="20"/>
          <w:szCs w:val="20"/>
        </w:rPr>
        <w:t>.</w:t>
      </w:r>
    </w:p>
    <w:p w14:paraId="67A24205" w14:textId="13DD50C5" w:rsidR="00482E14" w:rsidRPr="00E52A32" w:rsidRDefault="007D4D05" w:rsidP="000371B8">
      <w:pPr>
        <w:pStyle w:val="NormalWeb"/>
        <w:numPr>
          <w:ilvl w:val="0"/>
          <w:numId w:val="53"/>
        </w:numPr>
        <w:spacing w:before="0" w:beforeAutospacing="0" w:after="0" w:afterAutospacing="0" w:line="360" w:lineRule="auto"/>
        <w:ind w:left="1276" w:hanging="425"/>
        <w:rPr>
          <w:rFonts w:ascii="Verdana" w:hAnsi="Verdana" w:cs="Calibri"/>
          <w:sz w:val="20"/>
          <w:szCs w:val="20"/>
        </w:rPr>
      </w:pPr>
      <w:r>
        <w:rPr>
          <w:rFonts w:ascii="Verdana" w:hAnsi="Verdana" w:cs="Calibri"/>
          <w:sz w:val="20"/>
          <w:szCs w:val="20"/>
        </w:rPr>
        <w:t>O</w:t>
      </w:r>
      <w:r w:rsidR="000A6C95" w:rsidRPr="000371B8">
        <w:rPr>
          <w:rFonts w:ascii="Verdana" w:hAnsi="Verdana" w:cs="Calibri"/>
          <w:sz w:val="20"/>
          <w:szCs w:val="20"/>
        </w:rPr>
        <w:t>utstanding documents</w:t>
      </w:r>
      <w:r w:rsidR="008114B5" w:rsidRPr="00E52A32">
        <w:rPr>
          <w:rFonts w:ascii="Verdana" w:hAnsi="Verdana" w:cs="Calibri"/>
          <w:sz w:val="20"/>
          <w:szCs w:val="20"/>
        </w:rPr>
        <w:t>/information</w:t>
      </w:r>
      <w:r>
        <w:rPr>
          <w:rFonts w:ascii="Verdana" w:hAnsi="Verdana" w:cs="Calibri"/>
          <w:sz w:val="20"/>
          <w:szCs w:val="20"/>
        </w:rPr>
        <w:t>.</w:t>
      </w:r>
    </w:p>
    <w:p w14:paraId="1A9D185B" w14:textId="2C704B37" w:rsidR="00482E14" w:rsidRDefault="007D4D05" w:rsidP="000371B8">
      <w:pPr>
        <w:pStyle w:val="NormalWeb"/>
        <w:numPr>
          <w:ilvl w:val="0"/>
          <w:numId w:val="53"/>
        </w:numPr>
        <w:spacing w:before="0" w:beforeAutospacing="0" w:after="240" w:afterAutospacing="0" w:line="360" w:lineRule="auto"/>
        <w:ind w:left="1276" w:hanging="425"/>
        <w:rPr>
          <w:rFonts w:ascii="Verdana" w:hAnsi="Verdana" w:cs="Calibri"/>
          <w:sz w:val="20"/>
          <w:szCs w:val="20"/>
        </w:rPr>
      </w:pPr>
      <w:r>
        <w:rPr>
          <w:rFonts w:ascii="Verdana" w:hAnsi="Verdana" w:cs="Calibri"/>
          <w:sz w:val="20"/>
          <w:szCs w:val="20"/>
        </w:rPr>
        <w:t>O</w:t>
      </w:r>
      <w:r w:rsidR="000A6C95" w:rsidRPr="000371B8">
        <w:rPr>
          <w:rFonts w:ascii="Verdana" w:hAnsi="Verdana" w:cs="Calibri"/>
          <w:sz w:val="20"/>
          <w:szCs w:val="20"/>
        </w:rPr>
        <w:t>ver/under-claiming of ROCs</w:t>
      </w:r>
      <w:r>
        <w:rPr>
          <w:rFonts w:ascii="Verdana" w:hAnsi="Verdana" w:cs="Calibri"/>
          <w:sz w:val="20"/>
          <w:szCs w:val="20"/>
        </w:rPr>
        <w:t>.</w:t>
      </w:r>
    </w:p>
    <w:p w14:paraId="417EB2C6" w14:textId="711C1116" w:rsidR="000A6C95" w:rsidRPr="008B545B" w:rsidRDefault="000A6C95" w:rsidP="000371B8">
      <w:pPr>
        <w:pStyle w:val="CH5normal"/>
        <w:ind w:left="567" w:hanging="567"/>
      </w:pPr>
      <w:r w:rsidRPr="008B545B">
        <w:t xml:space="preserve">As this is the first year audits of this type </w:t>
      </w:r>
      <w:r w:rsidR="00F05BF2">
        <w:t>have</w:t>
      </w:r>
      <w:r w:rsidRPr="008B545B">
        <w:t xml:space="preserve"> been conducted, a comparison of </w:t>
      </w:r>
      <w:r w:rsidR="006A47E2">
        <w:t>results</w:t>
      </w:r>
      <w:r w:rsidR="006A47E2" w:rsidRPr="008B545B">
        <w:t xml:space="preserve"> </w:t>
      </w:r>
      <w:r w:rsidR="006A47E2">
        <w:t>with</w:t>
      </w:r>
      <w:r w:rsidR="006A47E2" w:rsidRPr="008B545B">
        <w:t xml:space="preserve"> </w:t>
      </w:r>
      <w:r w:rsidRPr="008B545B">
        <w:t xml:space="preserve">previous years is not </w:t>
      </w:r>
      <w:r w:rsidR="006A47E2">
        <w:t>possible</w:t>
      </w:r>
      <w:r w:rsidRPr="008B545B">
        <w:t>.</w:t>
      </w:r>
      <w:bookmarkStart w:id="380" w:name="_Hlk86924765"/>
      <w:r w:rsidRPr="008B545B">
        <w:t xml:space="preserve"> The error rate from the 2020</w:t>
      </w:r>
      <w:r w:rsidR="00415047">
        <w:t>-</w:t>
      </w:r>
      <w:r w:rsidRPr="008B545B">
        <w:t xml:space="preserve">21 sample cannot be confirmed </w:t>
      </w:r>
      <w:r w:rsidR="006A47E2">
        <w:t>at the time of writing</w:t>
      </w:r>
      <w:r w:rsidR="002E4D19">
        <w:t xml:space="preserve"> as</w:t>
      </w:r>
      <w:r w:rsidR="006A47E2">
        <w:t xml:space="preserve"> </w:t>
      </w:r>
      <w:r w:rsidRPr="008B545B">
        <w:t>a number of the audits have not been closed. This will be calculated once all audits from the 2020</w:t>
      </w:r>
      <w:r w:rsidR="00415047">
        <w:t>-</w:t>
      </w:r>
      <w:r w:rsidRPr="008B545B">
        <w:t xml:space="preserve">21 audit programme have been </w:t>
      </w:r>
      <w:r w:rsidR="00F05BF2">
        <w:t>closed</w:t>
      </w:r>
      <w:r w:rsidRPr="008B545B">
        <w:t>.</w:t>
      </w:r>
    </w:p>
    <w:p w14:paraId="45AD46DC" w14:textId="01C03ADB" w:rsidR="004A1C4D" w:rsidRDefault="00D11A31" w:rsidP="000371B8">
      <w:pPr>
        <w:pStyle w:val="CH5normal"/>
        <w:ind w:left="567" w:hanging="567"/>
      </w:pPr>
      <w:bookmarkStart w:id="381" w:name="_Hlk93309818"/>
      <w:bookmarkEnd w:id="379"/>
      <w:r>
        <w:lastRenderedPageBreak/>
        <w:t>The</w:t>
      </w:r>
      <w:r w:rsidR="001D6C95">
        <w:t xml:space="preserve"> </w:t>
      </w:r>
      <w:r w:rsidR="000A6C95" w:rsidRPr="008B545B">
        <w:t xml:space="preserve">proportion of </w:t>
      </w:r>
      <w:r w:rsidR="004A1C4D">
        <w:t xml:space="preserve">statistical </w:t>
      </w:r>
      <w:r w:rsidR="000A6C95" w:rsidRPr="008B545B">
        <w:t xml:space="preserve">audits </w:t>
      </w:r>
      <w:r w:rsidR="001D6C95">
        <w:t xml:space="preserve">which </w:t>
      </w:r>
      <w:r w:rsidR="000A6C95" w:rsidRPr="008B545B">
        <w:t>earned the rating of ‘</w:t>
      </w:r>
      <w:r w:rsidR="00C16D6E">
        <w:t>W</w:t>
      </w:r>
      <w:r w:rsidR="000A6C95" w:rsidRPr="008B545B">
        <w:t>eak’</w:t>
      </w:r>
      <w:r w:rsidR="001D6C95" w:rsidRPr="001D6C95">
        <w:t xml:space="preserve"> </w:t>
      </w:r>
      <w:r w:rsidR="001D6C95">
        <w:t>was</w:t>
      </w:r>
      <w:r w:rsidR="001D6C95" w:rsidRPr="008B545B">
        <w:t xml:space="preserve"> higher than expected</w:t>
      </w:r>
      <w:r w:rsidR="000A6C95" w:rsidRPr="008B545B">
        <w:t xml:space="preserve">. </w:t>
      </w:r>
      <w:r w:rsidR="004A1C4D" w:rsidRPr="004A1C4D">
        <w:t xml:space="preserve"> </w:t>
      </w:r>
      <w:r w:rsidR="004A1C4D">
        <w:t xml:space="preserve">On analysis we identified that this was prodominently driven by the random sampling picking up a larger proportion of generating stations which were commissioned either before the commencement, or in the initial years, of the RO scheme than our targetted audits. The resultant ‘weak’ ratings generally related to findings about the provision of evidence of commissioning, which was no longer available for the auditors to review. </w:t>
      </w:r>
    </w:p>
    <w:p w14:paraId="4D419286" w14:textId="4E3B58AD" w:rsidR="004A1C4D" w:rsidRDefault="004A1C4D" w:rsidP="000371B8">
      <w:pPr>
        <w:pStyle w:val="CH5normal"/>
        <w:ind w:left="567" w:hanging="567"/>
      </w:pPr>
      <w:r>
        <w:t xml:space="preserve">We acknowledge the additional challenges these generating stations have in demonstrating exact dates of commissioning and as such we have reviewed our approach to requesting commissioning evidence for older generating stations. This revised approach has now been implemented and we expect this over representation of ‘Weak’ audits to decrease in future as a result. Please note, despite this change of approach, operators must continue to retain all evidence used to demonstrate they meet the eligibility requirements under the scheme. </w:t>
      </w:r>
    </w:p>
    <w:bookmarkEnd w:id="381"/>
    <w:p w14:paraId="0B5B7FF8" w14:textId="4978E0E4" w:rsidR="000A6C95" w:rsidRPr="008B545B" w:rsidRDefault="000A6C95" w:rsidP="000371B8">
      <w:pPr>
        <w:pStyle w:val="CH5normal"/>
        <w:ind w:left="567" w:hanging="567"/>
      </w:pPr>
      <w:r w:rsidRPr="008B545B">
        <w:t xml:space="preserve">Similarly, as detailed in </w:t>
      </w:r>
      <w:r w:rsidR="009701D9" w:rsidRPr="00AA7A20">
        <w:t>paragraph</w:t>
      </w:r>
      <w:r w:rsidRPr="00AA7A20">
        <w:t xml:space="preserve"> 5.</w:t>
      </w:r>
      <w:r w:rsidR="005A21AA">
        <w:t>10</w:t>
      </w:r>
      <w:r w:rsidR="00911E61">
        <w:t>,</w:t>
      </w:r>
      <w:r w:rsidRPr="00AA7A20">
        <w:t xml:space="preserve"> </w:t>
      </w:r>
      <w:r w:rsidR="00911E61">
        <w:t>we have</w:t>
      </w:r>
      <w:r w:rsidRPr="00AA7A20">
        <w:t xml:space="preserve"> </w:t>
      </w:r>
      <w:r w:rsidR="00911E61">
        <w:t>implemented a new process</w:t>
      </w:r>
      <w:r w:rsidRPr="008B545B">
        <w:t xml:space="preserve"> </w:t>
      </w:r>
      <w:r w:rsidR="00911E61">
        <w:t xml:space="preserve">to </w:t>
      </w:r>
      <w:r w:rsidRPr="008B545B">
        <w:t xml:space="preserve">resolving </w:t>
      </w:r>
      <w:r w:rsidR="00911E61">
        <w:t>audits rated as</w:t>
      </w:r>
      <w:r w:rsidRPr="008B545B">
        <w:t xml:space="preserve"> ‘Satisfactory’ </w:t>
      </w:r>
      <w:r w:rsidR="00F05BF2">
        <w:t>and ‘Good’</w:t>
      </w:r>
      <w:r w:rsidR="00911E61">
        <w:t xml:space="preserve">, </w:t>
      </w:r>
      <w:r w:rsidRPr="008B545B">
        <w:t>with a view to streamlin</w:t>
      </w:r>
      <w:r w:rsidR="00911E61">
        <w:t>ing the process of closing</w:t>
      </w:r>
      <w:r w:rsidRPr="008B545B">
        <w:t xml:space="preserve"> </w:t>
      </w:r>
      <w:r w:rsidR="00911E61">
        <w:t>these</w:t>
      </w:r>
      <w:r w:rsidRPr="008B545B">
        <w:t xml:space="preserve"> audits.</w:t>
      </w:r>
    </w:p>
    <w:p w14:paraId="77D0DF8B" w14:textId="0181FEA1" w:rsidR="002E7495" w:rsidRDefault="002E7495" w:rsidP="000371B8">
      <w:pPr>
        <w:pStyle w:val="Heading2"/>
      </w:pPr>
      <w:bookmarkStart w:id="382" w:name="_Toc98852166"/>
      <w:bookmarkEnd w:id="380"/>
      <w:r>
        <w:t>2020-21 Northern Ireland Micro Generator Audits</w:t>
      </w:r>
      <w:bookmarkEnd w:id="382"/>
    </w:p>
    <w:p w14:paraId="7BBFF219" w14:textId="467215CF" w:rsidR="000A6C95" w:rsidRPr="005B34B8" w:rsidRDefault="005666EB" w:rsidP="000371B8">
      <w:pPr>
        <w:pStyle w:val="CH5normal"/>
        <w:ind w:left="567" w:hanging="567"/>
      </w:pPr>
      <w:r>
        <w:t>M</w:t>
      </w:r>
      <w:r w:rsidR="000A6C95" w:rsidRPr="005B34B8">
        <w:t>icro-generators</w:t>
      </w:r>
      <w:r w:rsidR="00FF101F">
        <w:t xml:space="preserve"> </w:t>
      </w:r>
      <w:r w:rsidR="00FF101F" w:rsidRPr="005B34B8">
        <w:t>(&lt;50</w:t>
      </w:r>
      <w:r w:rsidR="00032947">
        <w:t xml:space="preserve"> </w:t>
      </w:r>
      <w:r w:rsidR="00FF101F" w:rsidRPr="005B34B8">
        <w:t>kW) are audited to verify information and documents provided in relation to commissioning and metering.</w:t>
      </w:r>
      <w:r w:rsidR="0025370F" w:rsidRPr="005B34B8">
        <w:rPr>
          <w:rStyle w:val="FootnoteReference"/>
          <w:rFonts w:cs="Calibri"/>
        </w:rPr>
        <w:footnoteReference w:id="83"/>
      </w:r>
      <w:r w:rsidR="000A6C95" w:rsidRPr="005B34B8">
        <w:t xml:space="preserve"> </w:t>
      </w:r>
    </w:p>
    <w:p w14:paraId="399014F8" w14:textId="715438EA" w:rsidR="000A6C95" w:rsidRPr="0025370F" w:rsidRDefault="000A6C95" w:rsidP="000371B8">
      <w:pPr>
        <w:pStyle w:val="CH5normal"/>
        <w:ind w:left="567" w:hanging="567"/>
        <w:rPr>
          <w:rFonts w:eastAsiaTheme="majorEastAsia" w:cstheme="majorBidi"/>
          <w:color w:val="004125"/>
        </w:rPr>
      </w:pPr>
      <w:r w:rsidRPr="005B34B8">
        <w:t xml:space="preserve">In 2020-21, 105 micro-generators in Northern Ireland were </w:t>
      </w:r>
      <w:r w:rsidR="00911E61">
        <w:t>selected for audit</w:t>
      </w:r>
      <w:r w:rsidRPr="005B34B8">
        <w:t xml:space="preserve">. Due to </w:t>
      </w:r>
      <w:r w:rsidR="00911E61">
        <w:t xml:space="preserve">the </w:t>
      </w:r>
      <w:r w:rsidR="00911E61" w:rsidRPr="005B34B8">
        <w:t>C</w:t>
      </w:r>
      <w:r w:rsidR="00911E61">
        <w:t>OVID</w:t>
      </w:r>
      <w:r w:rsidRPr="005B34B8">
        <w:t>-19</w:t>
      </w:r>
      <w:r w:rsidRPr="00A03E86">
        <w:t xml:space="preserve"> </w:t>
      </w:r>
      <w:r w:rsidR="00911E61">
        <w:t>p</w:t>
      </w:r>
      <w:r w:rsidRPr="00A03E86">
        <w:t xml:space="preserve">andemic restrictions and the fact that a significant portion of </w:t>
      </w:r>
      <w:r w:rsidR="00911E61">
        <w:t>these</w:t>
      </w:r>
      <w:r w:rsidRPr="00A03E86">
        <w:t xml:space="preserve"> installations are located within domestic properties,</w:t>
      </w:r>
      <w:r w:rsidRPr="00A03E86" w:rsidDel="00077305">
        <w:t xml:space="preserve"> </w:t>
      </w:r>
      <w:r w:rsidRPr="00A03E86">
        <w:t>it was determined that on</w:t>
      </w:r>
      <w:r w:rsidR="00B334D1">
        <w:t>-</w:t>
      </w:r>
      <w:r w:rsidRPr="00A03E86">
        <w:t>site audits would not be feasible</w:t>
      </w:r>
      <w:r w:rsidR="00044991">
        <w:t>.</w:t>
      </w:r>
      <w:r w:rsidRPr="00A03E86">
        <w:t xml:space="preserve"> </w:t>
      </w:r>
      <w:r w:rsidR="00044991">
        <w:t>A</w:t>
      </w:r>
      <w:r w:rsidRPr="00A03E86">
        <w:t>s such</w:t>
      </w:r>
      <w:r w:rsidR="00911E61">
        <w:t>,</w:t>
      </w:r>
      <w:r w:rsidRPr="00A03E86">
        <w:t xml:space="preserve"> </w:t>
      </w:r>
      <w:r w:rsidR="00911E61">
        <w:t>these</w:t>
      </w:r>
      <w:r w:rsidRPr="00A03E86">
        <w:t xml:space="preserve"> audits were postponed </w:t>
      </w:r>
      <w:r w:rsidR="00911E61">
        <w:t xml:space="preserve">and </w:t>
      </w:r>
      <w:r w:rsidR="00EB2DD5">
        <w:t>are currently</w:t>
      </w:r>
      <w:r w:rsidR="00911E61">
        <w:t xml:space="preserve"> </w:t>
      </w:r>
      <w:r w:rsidR="002E4D19">
        <w:t>re-</w:t>
      </w:r>
      <w:r w:rsidR="00911E61">
        <w:t xml:space="preserve">scheduled </w:t>
      </w:r>
      <w:r w:rsidR="0041366A">
        <w:t>to take place during</w:t>
      </w:r>
      <w:r w:rsidRPr="00A03E86">
        <w:t xml:space="preserve"> </w:t>
      </w:r>
      <w:r w:rsidR="00911E61">
        <w:t xml:space="preserve">the </w:t>
      </w:r>
      <w:r w:rsidRPr="00A03E86">
        <w:t>202</w:t>
      </w:r>
      <w:r w:rsidR="0041366A">
        <w:t>2</w:t>
      </w:r>
      <w:r w:rsidRPr="00A03E86">
        <w:t>-2</w:t>
      </w:r>
      <w:r w:rsidR="0041366A">
        <w:t>3 period</w:t>
      </w:r>
      <w:r w:rsidRPr="00A03E86">
        <w:t xml:space="preserve">.   </w:t>
      </w:r>
    </w:p>
    <w:p w14:paraId="51A22DC9" w14:textId="77777777" w:rsidR="00032947" w:rsidRDefault="00032947">
      <w:pPr>
        <w:spacing w:line="276" w:lineRule="auto"/>
        <w:rPr>
          <w:rFonts w:eastAsiaTheme="majorEastAsia" w:cstheme="majorBidi"/>
          <w:b/>
          <w:color w:val="004125"/>
          <w:sz w:val="28"/>
          <w:szCs w:val="26"/>
        </w:rPr>
      </w:pPr>
      <w:bookmarkStart w:id="383" w:name="_Toc98852167"/>
      <w:r>
        <w:br w:type="page"/>
      </w:r>
    </w:p>
    <w:p w14:paraId="05E8F0DC" w14:textId="58806B53" w:rsidR="000A6C95" w:rsidRPr="000371B8" w:rsidRDefault="000A6C95" w:rsidP="000371B8">
      <w:pPr>
        <w:pStyle w:val="Heading2"/>
        <w:rPr>
          <w:b w:val="0"/>
        </w:rPr>
      </w:pPr>
      <w:r w:rsidRPr="00BE1C55">
        <w:lastRenderedPageBreak/>
        <w:t>202</w:t>
      </w:r>
      <w:r w:rsidR="00FB1C92" w:rsidRPr="007D43FF">
        <w:t>0</w:t>
      </w:r>
      <w:r w:rsidRPr="003313AF">
        <w:t>-21 Northern Ireland Agent and ‘Rent-a-Roof’ Audits</w:t>
      </w:r>
      <w:bookmarkEnd w:id="383"/>
    </w:p>
    <w:p w14:paraId="0ED6184F" w14:textId="1869B928" w:rsidR="00E860D8" w:rsidRDefault="000A6C95" w:rsidP="000371B8">
      <w:pPr>
        <w:pStyle w:val="CH5normal"/>
        <w:ind w:left="567" w:hanging="567"/>
      </w:pPr>
      <w:bookmarkStart w:id="384" w:name="_Toc89441997"/>
      <w:bookmarkStart w:id="385" w:name="_Toc89442087"/>
      <w:bookmarkStart w:id="386" w:name="_Toc89892575"/>
      <w:bookmarkStart w:id="387" w:name="_Toc90552177"/>
      <w:r w:rsidRPr="00BE1C55">
        <w:t>Agent</w:t>
      </w:r>
      <w:r w:rsidR="007A4F18" w:rsidRPr="000371B8">
        <w:rPr>
          <w:rStyle w:val="FootnoteReference"/>
          <w:rFonts w:cs="Calibri"/>
          <w:color w:val="000000"/>
        </w:rPr>
        <w:footnoteReference w:id="84"/>
      </w:r>
      <w:r w:rsidRPr="00BE1C55">
        <w:t xml:space="preserve"> and </w:t>
      </w:r>
      <w:r w:rsidRPr="007D43FF">
        <w:rPr>
          <w:rFonts w:cs="Calibri"/>
        </w:rPr>
        <w:t>rent</w:t>
      </w:r>
      <w:r w:rsidRPr="007D43FF">
        <w:t xml:space="preserve">-a-roof </w:t>
      </w:r>
      <w:r w:rsidR="00E860D8">
        <w:t>company</w:t>
      </w:r>
      <w:r w:rsidR="007A4F18" w:rsidRPr="000371B8">
        <w:rPr>
          <w:rStyle w:val="FootnoteReference"/>
          <w:rFonts w:cs="Calibri"/>
          <w:color w:val="000000"/>
        </w:rPr>
        <w:footnoteReference w:id="85"/>
      </w:r>
      <w:r w:rsidRPr="00BE1C55">
        <w:t xml:space="preserve"> audits are conducted </w:t>
      </w:r>
      <w:r w:rsidR="00E860D8">
        <w:t xml:space="preserve">to ensure </w:t>
      </w:r>
      <w:r w:rsidRPr="00BE1C55">
        <w:t>that</w:t>
      </w:r>
      <w:r w:rsidR="00E860D8">
        <w:t>:</w:t>
      </w:r>
    </w:p>
    <w:p w14:paraId="2D76BABA" w14:textId="5968AE4F" w:rsidR="00E860D8" w:rsidRDefault="00E860D8" w:rsidP="000371B8">
      <w:pPr>
        <w:pStyle w:val="NormalWeb"/>
        <w:numPr>
          <w:ilvl w:val="1"/>
          <w:numId w:val="45"/>
        </w:numPr>
        <w:spacing w:before="0" w:beforeAutospacing="0" w:after="0" w:afterAutospacing="0" w:line="360" w:lineRule="auto"/>
        <w:ind w:left="1276" w:hanging="425"/>
        <w:rPr>
          <w:rFonts w:ascii="Verdana" w:hAnsi="Verdana"/>
          <w:sz w:val="20"/>
          <w:szCs w:val="20"/>
        </w:rPr>
      </w:pPr>
      <w:r>
        <w:rPr>
          <w:rFonts w:ascii="Verdana" w:hAnsi="Verdana"/>
          <w:sz w:val="20"/>
          <w:szCs w:val="20"/>
        </w:rPr>
        <w:t>There are effective processes in place to validate</w:t>
      </w:r>
      <w:r w:rsidR="000A6C95" w:rsidRPr="000371B8">
        <w:rPr>
          <w:rFonts w:ascii="Verdana" w:hAnsi="Verdana"/>
          <w:sz w:val="20"/>
          <w:szCs w:val="20"/>
        </w:rPr>
        <w:t xml:space="preserve"> accreditation data</w:t>
      </w:r>
      <w:r w:rsidR="007D4D05">
        <w:rPr>
          <w:rFonts w:ascii="Verdana" w:hAnsi="Verdana"/>
          <w:sz w:val="20"/>
          <w:szCs w:val="20"/>
        </w:rPr>
        <w:t>.</w:t>
      </w:r>
    </w:p>
    <w:p w14:paraId="4583B4B4" w14:textId="398824A7" w:rsidR="00E860D8" w:rsidRDefault="00E860D8" w:rsidP="000371B8">
      <w:pPr>
        <w:pStyle w:val="NormalWeb"/>
        <w:numPr>
          <w:ilvl w:val="1"/>
          <w:numId w:val="45"/>
        </w:numPr>
        <w:spacing w:before="0" w:beforeAutospacing="0" w:after="0" w:afterAutospacing="0" w:line="360" w:lineRule="auto"/>
        <w:ind w:left="1276" w:hanging="425"/>
        <w:rPr>
          <w:rFonts w:ascii="Verdana" w:hAnsi="Verdana"/>
          <w:sz w:val="20"/>
          <w:szCs w:val="20"/>
        </w:rPr>
      </w:pPr>
      <w:r>
        <w:rPr>
          <w:rFonts w:ascii="Verdana" w:hAnsi="Verdana"/>
          <w:sz w:val="20"/>
          <w:szCs w:val="20"/>
        </w:rPr>
        <w:t>G</w:t>
      </w:r>
      <w:r w:rsidR="000A6C95" w:rsidRPr="000371B8">
        <w:rPr>
          <w:rFonts w:ascii="Verdana" w:hAnsi="Verdana"/>
          <w:sz w:val="20"/>
          <w:szCs w:val="20"/>
        </w:rPr>
        <w:t>eneration data and meter readings</w:t>
      </w:r>
      <w:r>
        <w:rPr>
          <w:rFonts w:ascii="Verdana" w:hAnsi="Verdana"/>
          <w:sz w:val="20"/>
          <w:szCs w:val="20"/>
        </w:rPr>
        <w:t xml:space="preserve"> are </w:t>
      </w:r>
      <w:r w:rsidR="00226067">
        <w:rPr>
          <w:rFonts w:ascii="Verdana" w:hAnsi="Verdana"/>
          <w:sz w:val="20"/>
          <w:szCs w:val="20"/>
        </w:rPr>
        <w:t xml:space="preserve">scrutinised </w:t>
      </w:r>
      <w:r w:rsidR="000A6C95" w:rsidRPr="000371B8">
        <w:rPr>
          <w:rFonts w:ascii="Verdana" w:hAnsi="Verdana"/>
          <w:sz w:val="20"/>
          <w:szCs w:val="20"/>
        </w:rPr>
        <w:t>to ensure accurate data submissions</w:t>
      </w:r>
      <w:r w:rsidR="007D4D05">
        <w:rPr>
          <w:rFonts w:ascii="Verdana" w:hAnsi="Verdana"/>
          <w:sz w:val="20"/>
          <w:szCs w:val="20"/>
        </w:rPr>
        <w:t>.</w:t>
      </w:r>
      <w:r w:rsidR="000A6C95" w:rsidRPr="000371B8">
        <w:rPr>
          <w:rFonts w:ascii="Verdana" w:hAnsi="Verdana"/>
          <w:sz w:val="20"/>
          <w:szCs w:val="20"/>
        </w:rPr>
        <w:t xml:space="preserve"> </w:t>
      </w:r>
    </w:p>
    <w:p w14:paraId="5EEF896A" w14:textId="4E818470" w:rsidR="00226067" w:rsidRDefault="00226067" w:rsidP="000371B8">
      <w:pPr>
        <w:pStyle w:val="NormalWeb"/>
        <w:numPr>
          <w:ilvl w:val="1"/>
          <w:numId w:val="45"/>
        </w:numPr>
        <w:spacing w:before="0" w:beforeAutospacing="0" w:after="0" w:afterAutospacing="0" w:line="360" w:lineRule="auto"/>
        <w:ind w:left="1276" w:hanging="425"/>
        <w:rPr>
          <w:rFonts w:ascii="Verdana" w:hAnsi="Verdana"/>
          <w:sz w:val="20"/>
          <w:szCs w:val="20"/>
        </w:rPr>
      </w:pPr>
      <w:r>
        <w:rPr>
          <w:rFonts w:ascii="Verdana" w:hAnsi="Verdana"/>
          <w:sz w:val="20"/>
          <w:szCs w:val="20"/>
        </w:rPr>
        <w:t>T</w:t>
      </w:r>
      <w:r w:rsidR="000A6C95" w:rsidRPr="000371B8">
        <w:rPr>
          <w:rFonts w:ascii="Verdana" w:hAnsi="Verdana"/>
          <w:sz w:val="20"/>
          <w:szCs w:val="20"/>
        </w:rPr>
        <w:t>he compan</w:t>
      </w:r>
      <w:r>
        <w:rPr>
          <w:rFonts w:ascii="Verdana" w:hAnsi="Verdana"/>
          <w:sz w:val="20"/>
          <w:szCs w:val="20"/>
        </w:rPr>
        <w:t>ies</w:t>
      </w:r>
      <w:r w:rsidR="000A6C95" w:rsidRPr="000371B8">
        <w:rPr>
          <w:rFonts w:ascii="Verdana" w:hAnsi="Verdana"/>
          <w:sz w:val="20"/>
          <w:szCs w:val="20"/>
        </w:rPr>
        <w:t xml:space="preserve"> ha</w:t>
      </w:r>
      <w:r>
        <w:rPr>
          <w:rFonts w:ascii="Verdana" w:hAnsi="Verdana"/>
          <w:sz w:val="20"/>
          <w:szCs w:val="20"/>
        </w:rPr>
        <w:t>ve</w:t>
      </w:r>
      <w:r w:rsidR="000A6C95" w:rsidRPr="000371B8">
        <w:rPr>
          <w:rFonts w:ascii="Verdana" w:hAnsi="Verdana"/>
          <w:sz w:val="20"/>
          <w:szCs w:val="20"/>
        </w:rPr>
        <w:t xml:space="preserve"> permission to act on behalf of the generating stations within their portfolio</w:t>
      </w:r>
      <w:r>
        <w:rPr>
          <w:rFonts w:ascii="Verdana" w:hAnsi="Verdana"/>
          <w:sz w:val="20"/>
          <w:szCs w:val="20"/>
        </w:rPr>
        <w:t>s</w:t>
      </w:r>
      <w:r w:rsidR="007D4D05">
        <w:rPr>
          <w:rFonts w:ascii="Verdana" w:hAnsi="Verdana"/>
          <w:sz w:val="20"/>
          <w:szCs w:val="20"/>
        </w:rPr>
        <w:t>.</w:t>
      </w:r>
    </w:p>
    <w:p w14:paraId="734FD1BB" w14:textId="59C288F7" w:rsidR="000A6C95" w:rsidRDefault="00226067" w:rsidP="000371B8">
      <w:pPr>
        <w:pStyle w:val="NormalWeb"/>
        <w:numPr>
          <w:ilvl w:val="1"/>
          <w:numId w:val="45"/>
        </w:numPr>
        <w:spacing w:before="0" w:beforeAutospacing="0" w:after="240" w:afterAutospacing="0" w:line="360" w:lineRule="auto"/>
        <w:ind w:left="1276" w:hanging="425"/>
        <w:rPr>
          <w:rFonts w:ascii="Verdana" w:hAnsi="Verdana"/>
          <w:sz w:val="20"/>
          <w:szCs w:val="20"/>
        </w:rPr>
      </w:pPr>
      <w:r>
        <w:rPr>
          <w:rFonts w:ascii="Verdana" w:hAnsi="Verdana" w:cs="Calibri"/>
          <w:sz w:val="20"/>
          <w:szCs w:val="20"/>
        </w:rPr>
        <w:t>R</w:t>
      </w:r>
      <w:r w:rsidRPr="00AC0ADA">
        <w:rPr>
          <w:rFonts w:ascii="Verdana" w:hAnsi="Verdana" w:cs="Calibri"/>
          <w:sz w:val="20"/>
          <w:szCs w:val="20"/>
        </w:rPr>
        <w:t xml:space="preserve">ecommendations </w:t>
      </w:r>
      <w:r>
        <w:rPr>
          <w:rFonts w:ascii="Verdana" w:hAnsi="Verdana" w:cs="Calibri"/>
          <w:sz w:val="20"/>
          <w:szCs w:val="20"/>
        </w:rPr>
        <w:t xml:space="preserve">from any previous audits </w:t>
      </w:r>
      <w:r w:rsidRPr="00AC0ADA">
        <w:rPr>
          <w:rFonts w:ascii="Verdana" w:hAnsi="Verdana" w:cs="Calibri"/>
          <w:sz w:val="20"/>
          <w:szCs w:val="20"/>
        </w:rPr>
        <w:t>have been acted upon.</w:t>
      </w:r>
      <w:bookmarkEnd w:id="384"/>
      <w:bookmarkEnd w:id="385"/>
      <w:bookmarkEnd w:id="386"/>
      <w:bookmarkEnd w:id="387"/>
      <w:r w:rsidR="000A6C95" w:rsidRPr="000371B8">
        <w:rPr>
          <w:rFonts w:ascii="Verdana" w:hAnsi="Verdana"/>
          <w:sz w:val="20"/>
          <w:szCs w:val="20"/>
        </w:rPr>
        <w:t xml:space="preserve"> </w:t>
      </w:r>
    </w:p>
    <w:p w14:paraId="49011145" w14:textId="17113C9B" w:rsidR="000A6C95" w:rsidRPr="00AC0ADA" w:rsidRDefault="000A6C95" w:rsidP="000371B8">
      <w:pPr>
        <w:pStyle w:val="CH5normal"/>
        <w:ind w:left="567" w:hanging="567"/>
      </w:pPr>
      <w:r w:rsidRPr="00AC0ADA">
        <w:t xml:space="preserve">The audits were targeted based on criteria which include where we have concerns </w:t>
      </w:r>
      <w:r w:rsidR="00226067">
        <w:t>with a company’s</w:t>
      </w:r>
      <w:r w:rsidR="00226067" w:rsidRPr="00AC0ADA">
        <w:t xml:space="preserve"> </w:t>
      </w:r>
      <w:r w:rsidRPr="00AC0ADA">
        <w:t xml:space="preserve">internal processes, </w:t>
      </w:r>
      <w:r w:rsidR="00226067">
        <w:t xml:space="preserve">the </w:t>
      </w:r>
      <w:r w:rsidRPr="00AC0ADA">
        <w:t xml:space="preserve">volume of stations in </w:t>
      </w:r>
      <w:r w:rsidR="00226067">
        <w:t xml:space="preserve">a company’s </w:t>
      </w:r>
      <w:r w:rsidRPr="00AC0ADA">
        <w:t xml:space="preserve">portfolio, and where we have concerns over the accuracy of </w:t>
      </w:r>
      <w:r w:rsidR="00226067">
        <w:t>data</w:t>
      </w:r>
      <w:r w:rsidRPr="00AC0ADA">
        <w:t xml:space="preserve"> being reported. </w:t>
      </w:r>
    </w:p>
    <w:p w14:paraId="4596659C" w14:textId="56A4185C" w:rsidR="000A6C95" w:rsidRPr="007371EB" w:rsidRDefault="000A6C95" w:rsidP="000371B8">
      <w:pPr>
        <w:pStyle w:val="CH5normal"/>
        <w:ind w:left="567" w:hanging="567"/>
      </w:pPr>
      <w:bookmarkStart w:id="388" w:name="_Toc89441998"/>
      <w:bookmarkStart w:id="389" w:name="_Toc89442088"/>
      <w:bookmarkStart w:id="390" w:name="_Toc89892576"/>
      <w:bookmarkStart w:id="391" w:name="_Toc90552178"/>
      <w:bookmarkStart w:id="392" w:name="_Hlk93308741"/>
      <w:r w:rsidRPr="000371B8">
        <w:t>In 2020-21, one rent-a-roof and two agents were audited. The auditors assigned one rating of ‘</w:t>
      </w:r>
      <w:r w:rsidR="00B96A68" w:rsidRPr="000371B8">
        <w:t>S</w:t>
      </w:r>
      <w:r w:rsidRPr="000371B8">
        <w:t>atisfactory’ and two ‘</w:t>
      </w:r>
      <w:r w:rsidR="00B96A68" w:rsidRPr="000371B8">
        <w:t>G</w:t>
      </w:r>
      <w:r w:rsidRPr="000371B8">
        <w:t>ood’. Once reports have been issued, we work with the agents and rent-a-roof</w:t>
      </w:r>
      <w:r w:rsidR="00B96A68" w:rsidRPr="000371B8">
        <w:t xml:space="preserve"> companies</w:t>
      </w:r>
      <w:r w:rsidRPr="000371B8">
        <w:t xml:space="preserve"> to address the findings from the audits.</w:t>
      </w:r>
      <w:bookmarkEnd w:id="388"/>
      <w:bookmarkEnd w:id="389"/>
      <w:bookmarkEnd w:id="390"/>
      <w:bookmarkEnd w:id="391"/>
    </w:p>
    <w:bookmarkEnd w:id="392"/>
    <w:p w14:paraId="027DF699" w14:textId="54930003" w:rsidR="00373C98" w:rsidRDefault="000A6C95" w:rsidP="000371B8">
      <w:pPr>
        <w:pStyle w:val="CH5normal"/>
        <w:ind w:left="567" w:hanging="567"/>
      </w:pPr>
      <w:r w:rsidRPr="00AC0ADA">
        <w:t>The main findings related</w:t>
      </w:r>
      <w:r w:rsidR="00226067">
        <w:t xml:space="preserve"> to</w:t>
      </w:r>
      <w:r w:rsidR="00373C98">
        <w:t>:</w:t>
      </w:r>
    </w:p>
    <w:p w14:paraId="34D41449" w14:textId="2BFE93C5" w:rsidR="00373C98" w:rsidRDefault="007D4D05" w:rsidP="000371B8">
      <w:pPr>
        <w:pStyle w:val="NormalWeb"/>
        <w:numPr>
          <w:ilvl w:val="0"/>
          <w:numId w:val="54"/>
        </w:numPr>
        <w:spacing w:before="0" w:beforeAutospacing="0" w:after="0" w:afterAutospacing="0" w:line="360" w:lineRule="auto"/>
        <w:ind w:left="1497" w:hanging="357"/>
        <w:jc w:val="both"/>
        <w:rPr>
          <w:rFonts w:ascii="Verdana" w:hAnsi="Verdana" w:cs="Calibri"/>
          <w:sz w:val="20"/>
          <w:szCs w:val="20"/>
        </w:rPr>
      </w:pPr>
      <w:r>
        <w:rPr>
          <w:rFonts w:ascii="Verdana" w:hAnsi="Verdana" w:cs="Calibri"/>
          <w:sz w:val="20"/>
          <w:szCs w:val="20"/>
        </w:rPr>
        <w:t>I</w:t>
      </w:r>
      <w:r w:rsidR="008F5634">
        <w:rPr>
          <w:rFonts w:ascii="Verdana" w:hAnsi="Verdana" w:cs="Calibri"/>
          <w:sz w:val="20"/>
          <w:szCs w:val="20"/>
        </w:rPr>
        <w:t>nadequate</w:t>
      </w:r>
      <w:r w:rsidR="000A6C95" w:rsidRPr="00AC0ADA">
        <w:rPr>
          <w:rFonts w:ascii="Verdana" w:hAnsi="Verdana" w:cs="Calibri"/>
          <w:sz w:val="20"/>
          <w:szCs w:val="20"/>
        </w:rPr>
        <w:t xml:space="preserve"> processes</w:t>
      </w:r>
      <w:r>
        <w:rPr>
          <w:rFonts w:ascii="Verdana" w:hAnsi="Verdana" w:cs="Calibri"/>
          <w:sz w:val="20"/>
          <w:szCs w:val="20"/>
        </w:rPr>
        <w:t>.</w:t>
      </w:r>
      <w:r w:rsidR="000A6C95" w:rsidRPr="00AC0ADA">
        <w:rPr>
          <w:rFonts w:ascii="Verdana" w:hAnsi="Verdana" w:cs="Calibri"/>
          <w:sz w:val="20"/>
          <w:szCs w:val="20"/>
        </w:rPr>
        <w:t xml:space="preserve"> </w:t>
      </w:r>
    </w:p>
    <w:p w14:paraId="77743A81" w14:textId="6077A7D5" w:rsidR="00373C98" w:rsidRDefault="007D4D05" w:rsidP="000371B8">
      <w:pPr>
        <w:pStyle w:val="NormalWeb"/>
        <w:numPr>
          <w:ilvl w:val="0"/>
          <w:numId w:val="54"/>
        </w:numPr>
        <w:spacing w:before="0" w:beforeAutospacing="0" w:after="0" w:afterAutospacing="0" w:line="360" w:lineRule="auto"/>
        <w:ind w:left="1497" w:hanging="357"/>
        <w:jc w:val="both"/>
        <w:rPr>
          <w:rFonts w:ascii="Verdana" w:hAnsi="Verdana" w:cs="Calibri"/>
          <w:sz w:val="20"/>
          <w:szCs w:val="20"/>
        </w:rPr>
      </w:pPr>
      <w:r>
        <w:rPr>
          <w:rFonts w:ascii="Verdana" w:hAnsi="Verdana" w:cs="Calibri"/>
          <w:sz w:val="20"/>
          <w:szCs w:val="20"/>
        </w:rPr>
        <w:t>A</w:t>
      </w:r>
      <w:r w:rsidR="000A6C95" w:rsidRPr="00AC0ADA">
        <w:rPr>
          <w:rFonts w:ascii="Verdana" w:hAnsi="Verdana" w:cs="Calibri"/>
          <w:sz w:val="20"/>
          <w:szCs w:val="20"/>
        </w:rPr>
        <w:t xml:space="preserve"> lack of process documentation</w:t>
      </w:r>
      <w:r>
        <w:rPr>
          <w:rFonts w:ascii="Verdana" w:hAnsi="Verdana" w:cs="Calibri"/>
          <w:sz w:val="20"/>
          <w:szCs w:val="20"/>
        </w:rPr>
        <w:t>.</w:t>
      </w:r>
      <w:r w:rsidR="000A6C95" w:rsidRPr="00AC0ADA">
        <w:rPr>
          <w:rFonts w:ascii="Verdana" w:hAnsi="Verdana" w:cs="Calibri"/>
          <w:sz w:val="20"/>
          <w:szCs w:val="20"/>
        </w:rPr>
        <w:t xml:space="preserve"> </w:t>
      </w:r>
    </w:p>
    <w:p w14:paraId="0D876DD4" w14:textId="719D88E6" w:rsidR="00373C98" w:rsidRDefault="007D4D05" w:rsidP="000371B8">
      <w:pPr>
        <w:pStyle w:val="NormalWeb"/>
        <w:numPr>
          <w:ilvl w:val="0"/>
          <w:numId w:val="54"/>
        </w:numPr>
        <w:spacing w:before="0" w:beforeAutospacing="0" w:after="0" w:afterAutospacing="0" w:line="360" w:lineRule="auto"/>
        <w:ind w:left="1497" w:hanging="357"/>
        <w:jc w:val="both"/>
        <w:rPr>
          <w:rFonts w:ascii="Verdana" w:hAnsi="Verdana" w:cs="Calibri"/>
          <w:sz w:val="20"/>
          <w:szCs w:val="20"/>
        </w:rPr>
      </w:pPr>
      <w:r>
        <w:rPr>
          <w:rFonts w:ascii="Verdana" w:hAnsi="Verdana" w:cs="Calibri"/>
          <w:sz w:val="20"/>
          <w:szCs w:val="20"/>
        </w:rPr>
        <w:t>I</w:t>
      </w:r>
      <w:r w:rsidR="000A6C95" w:rsidRPr="00AC0ADA">
        <w:rPr>
          <w:rFonts w:ascii="Verdana" w:hAnsi="Verdana" w:cs="Calibri"/>
          <w:sz w:val="20"/>
          <w:szCs w:val="20"/>
        </w:rPr>
        <w:t>ssues wit</w:t>
      </w:r>
      <w:r w:rsidR="008F5634">
        <w:rPr>
          <w:rFonts w:ascii="Verdana" w:hAnsi="Verdana" w:cs="Calibri"/>
          <w:sz w:val="20"/>
          <w:szCs w:val="20"/>
        </w:rPr>
        <w:t>h</w:t>
      </w:r>
      <w:r w:rsidR="00566884">
        <w:rPr>
          <w:rFonts w:ascii="Verdana" w:hAnsi="Verdana" w:cs="Calibri"/>
          <w:sz w:val="20"/>
          <w:szCs w:val="20"/>
        </w:rPr>
        <w:t xml:space="preserve"> </w:t>
      </w:r>
      <w:r w:rsidR="000A6C95" w:rsidRPr="00AC0ADA">
        <w:rPr>
          <w:rFonts w:ascii="Verdana" w:hAnsi="Verdana" w:cs="Calibri"/>
          <w:sz w:val="20"/>
          <w:szCs w:val="20"/>
        </w:rPr>
        <w:t>user</w:t>
      </w:r>
      <w:r w:rsidR="008F5634">
        <w:rPr>
          <w:rFonts w:ascii="Verdana" w:hAnsi="Verdana" w:cs="Calibri"/>
          <w:sz w:val="20"/>
          <w:szCs w:val="20"/>
        </w:rPr>
        <w:t xml:space="preserve"> accounts</w:t>
      </w:r>
      <w:r w:rsidR="000A6C95" w:rsidRPr="00AC0ADA">
        <w:rPr>
          <w:rFonts w:ascii="Verdana" w:hAnsi="Verdana" w:cs="Calibri"/>
          <w:sz w:val="20"/>
          <w:szCs w:val="20"/>
        </w:rPr>
        <w:t xml:space="preserve"> and information held on the R&amp;CHP Register</w:t>
      </w:r>
      <w:r>
        <w:rPr>
          <w:rFonts w:ascii="Verdana" w:hAnsi="Verdana" w:cs="Calibri"/>
          <w:sz w:val="20"/>
          <w:szCs w:val="20"/>
        </w:rPr>
        <w:t>.</w:t>
      </w:r>
      <w:r w:rsidR="000A6C95" w:rsidRPr="00AC0ADA">
        <w:rPr>
          <w:rFonts w:ascii="Verdana" w:hAnsi="Verdana" w:cs="Calibri"/>
          <w:sz w:val="20"/>
          <w:szCs w:val="20"/>
        </w:rPr>
        <w:t xml:space="preserve"> </w:t>
      </w:r>
    </w:p>
    <w:p w14:paraId="01358857" w14:textId="4399E30E" w:rsidR="00373C98" w:rsidRDefault="007D4D05" w:rsidP="000371B8">
      <w:pPr>
        <w:pStyle w:val="NormalWeb"/>
        <w:numPr>
          <w:ilvl w:val="0"/>
          <w:numId w:val="54"/>
        </w:numPr>
        <w:spacing w:before="0" w:beforeAutospacing="0" w:after="240" w:afterAutospacing="0" w:line="360" w:lineRule="auto"/>
        <w:ind w:left="1497" w:hanging="357"/>
        <w:rPr>
          <w:rFonts w:ascii="Verdana" w:hAnsi="Verdana" w:cs="Calibri"/>
          <w:sz w:val="20"/>
          <w:szCs w:val="20"/>
        </w:rPr>
      </w:pPr>
      <w:r>
        <w:rPr>
          <w:rFonts w:ascii="Verdana" w:hAnsi="Verdana" w:cs="Calibri"/>
          <w:sz w:val="20"/>
          <w:szCs w:val="20"/>
        </w:rPr>
        <w:t>T</w:t>
      </w:r>
      <w:r w:rsidR="000A6C95" w:rsidRPr="00AC0ADA">
        <w:rPr>
          <w:rFonts w:ascii="Verdana" w:hAnsi="Verdana" w:cs="Calibri"/>
          <w:sz w:val="20"/>
          <w:szCs w:val="20"/>
        </w:rPr>
        <w:t xml:space="preserve">he robustness of the controls in place around compiling and checking the submission of data to </w:t>
      </w:r>
      <w:r w:rsidR="00567450">
        <w:rPr>
          <w:rFonts w:ascii="Verdana" w:hAnsi="Verdana" w:cs="Calibri"/>
          <w:sz w:val="20"/>
          <w:szCs w:val="20"/>
        </w:rPr>
        <w:t>us</w:t>
      </w:r>
      <w:r w:rsidR="000A6C95" w:rsidRPr="00AC0ADA">
        <w:rPr>
          <w:rFonts w:ascii="Verdana" w:hAnsi="Verdana" w:cs="Calibri"/>
          <w:sz w:val="20"/>
          <w:szCs w:val="20"/>
        </w:rPr>
        <w:t xml:space="preserve">. </w:t>
      </w:r>
    </w:p>
    <w:p w14:paraId="6168D148" w14:textId="6A2C6A05" w:rsidR="000A6C95" w:rsidRPr="003313AF" w:rsidRDefault="000A6C95" w:rsidP="000371B8">
      <w:pPr>
        <w:pStyle w:val="CH5normal"/>
        <w:ind w:left="567" w:hanging="567"/>
      </w:pPr>
      <w:r w:rsidRPr="000371B8">
        <w:rPr>
          <w:rFonts w:cs="Times New Roman"/>
          <w:color w:val="000000" w:themeColor="text1"/>
        </w:rPr>
        <w:t xml:space="preserve">The </w:t>
      </w:r>
      <w:r w:rsidRPr="00BE1C55">
        <w:rPr>
          <w:rFonts w:cs="Calibri"/>
        </w:rPr>
        <w:t>audit</w:t>
      </w:r>
      <w:r w:rsidRPr="000371B8">
        <w:rPr>
          <w:rFonts w:cs="Times New Roman"/>
          <w:color w:val="000000" w:themeColor="text1"/>
        </w:rPr>
        <w:t xml:space="preserve"> reports also ma</w:t>
      </w:r>
      <w:r w:rsidR="00CC74CB">
        <w:rPr>
          <w:color w:val="000000" w:themeColor="text1"/>
        </w:rPr>
        <w:t>k</w:t>
      </w:r>
      <w:r w:rsidRPr="000371B8">
        <w:rPr>
          <w:rFonts w:cs="Times New Roman"/>
          <w:color w:val="000000" w:themeColor="text1"/>
        </w:rPr>
        <w:t xml:space="preserve">e recommendations for best practice, which </w:t>
      </w:r>
      <w:r w:rsidR="00CC74CB">
        <w:rPr>
          <w:color w:val="000000" w:themeColor="text1"/>
        </w:rPr>
        <w:t>companies</w:t>
      </w:r>
      <w:r w:rsidRPr="00BE1C55">
        <w:t xml:space="preserve"> are encouraged to implement. Upon issuing final audit reports, </w:t>
      </w:r>
      <w:r w:rsidR="00567450" w:rsidRPr="007D43FF">
        <w:t>we</w:t>
      </w:r>
      <w:r w:rsidRPr="007D43FF">
        <w:t xml:space="preserve"> worked with the </w:t>
      </w:r>
      <w:r w:rsidR="00CC74CB">
        <w:t>companies</w:t>
      </w:r>
      <w:r w:rsidRPr="003313AF">
        <w:t xml:space="preserve"> to address audit findings, with all audits now being closed.</w:t>
      </w:r>
    </w:p>
    <w:p w14:paraId="705F014F" w14:textId="2F9CAD89" w:rsidR="005A3707" w:rsidRPr="000371B8" w:rsidRDefault="005A3707" w:rsidP="000371B8">
      <w:pPr>
        <w:pStyle w:val="Heading2"/>
        <w:rPr>
          <w:sz w:val="24"/>
          <w:szCs w:val="24"/>
        </w:rPr>
      </w:pPr>
      <w:bookmarkStart w:id="393" w:name="_Toc98852168"/>
      <w:r w:rsidRPr="003313AF">
        <w:t>Participant Compliance</w:t>
      </w:r>
      <w:bookmarkEnd w:id="393"/>
    </w:p>
    <w:p w14:paraId="3C1680BD" w14:textId="23D16161" w:rsidR="005A3707" w:rsidRPr="00BE1C55" w:rsidRDefault="005A3707" w:rsidP="000371B8">
      <w:pPr>
        <w:pStyle w:val="CH5normal"/>
        <w:ind w:left="567" w:hanging="567"/>
      </w:pPr>
      <w:r w:rsidRPr="007D43FF">
        <w:t>When concerns have been identified regarding the eligibility of a generating station</w:t>
      </w:r>
      <w:r w:rsidRPr="003313AF">
        <w:t xml:space="preserve">, an investigation is undertaken to determine if compliance action is required. The compliance actions that </w:t>
      </w:r>
      <w:r w:rsidR="00B17538">
        <w:t>we</w:t>
      </w:r>
      <w:r w:rsidRPr="00BE1C55">
        <w:t xml:space="preserve"> are able to take are outlined in the</w:t>
      </w:r>
      <w:r w:rsidR="00B17538" w:rsidRPr="00B17538">
        <w:t xml:space="preserve"> </w:t>
      </w:r>
      <w:r w:rsidR="00B17538" w:rsidRPr="0023001E">
        <w:t>RO, ROS and NIRO legislation</w:t>
      </w:r>
      <w:r w:rsidR="00FF101F" w:rsidRPr="00A35A96">
        <w:t>.</w:t>
      </w:r>
      <w:r w:rsidRPr="00BE1C55">
        <w:rPr>
          <w:rStyle w:val="FootnoteReference"/>
          <w:rFonts w:eastAsia="Verdana"/>
        </w:rPr>
        <w:footnoteReference w:id="86"/>
      </w:r>
    </w:p>
    <w:p w14:paraId="14AA96FA" w14:textId="73150715" w:rsidR="005A3707" w:rsidRPr="0037733C" w:rsidRDefault="005E6DC7" w:rsidP="000371B8">
      <w:pPr>
        <w:pStyle w:val="CH5normal"/>
        <w:ind w:left="567" w:hanging="567"/>
      </w:pPr>
      <w:r w:rsidRPr="0023001E">
        <w:lastRenderedPageBreak/>
        <w:t>Where appropriate,</w:t>
      </w:r>
      <w:r>
        <w:t xml:space="preserve"> </w:t>
      </w:r>
      <w:r w:rsidR="00D345F0" w:rsidRPr="0023001E">
        <w:t xml:space="preserve">if </w:t>
      </w:r>
      <w:r w:rsidR="00D345F0">
        <w:t>an</w:t>
      </w:r>
      <w:r w:rsidR="00D345F0" w:rsidRPr="0023001E">
        <w:t xml:space="preserve"> operator fails to meet their obligations or conditions of accreditation</w:t>
      </w:r>
      <w:r w:rsidR="00D345F0">
        <w:t>,</w:t>
      </w:r>
      <w:r w:rsidR="00D345F0" w:rsidRPr="002E7495" w:rsidDel="005E6DC7">
        <w:t xml:space="preserve"> </w:t>
      </w:r>
      <w:r>
        <w:t>we</w:t>
      </w:r>
      <w:r w:rsidR="005A3707" w:rsidRPr="00BE1C55">
        <w:t xml:space="preserve"> may suspend </w:t>
      </w:r>
      <w:r w:rsidR="00D345F0">
        <w:t xml:space="preserve">their </w:t>
      </w:r>
      <w:r w:rsidR="005A3707" w:rsidRPr="00BE1C55">
        <w:t>accreditation or refuse to issue ROC</w:t>
      </w:r>
      <w:r w:rsidR="005A3707">
        <w:t>s</w:t>
      </w:r>
      <w:r w:rsidR="007F1186">
        <w:t xml:space="preserve"> </w:t>
      </w:r>
      <w:r w:rsidR="005A3707" w:rsidRPr="003313AF">
        <w:t xml:space="preserve">before a final compliance decision has been made. During the 2020-21 obligation period </w:t>
      </w:r>
      <w:r>
        <w:t xml:space="preserve">we </w:t>
      </w:r>
      <w:r w:rsidR="005A3707" w:rsidRPr="003313AF">
        <w:t xml:space="preserve">refused to issue ROCs to </w:t>
      </w:r>
      <w:r w:rsidR="00D345F0" w:rsidRPr="003313AF">
        <w:t>several</w:t>
      </w:r>
      <w:r w:rsidR="005A3707" w:rsidRPr="003313AF">
        <w:t xml:space="preserve"> generating stations</w:t>
      </w:r>
      <w:r w:rsidR="00D345F0">
        <w:t xml:space="preserve"> before the</w:t>
      </w:r>
      <w:r w:rsidR="00D345F0" w:rsidRPr="0023001E">
        <w:t xml:space="preserve"> final compliance decision </w:t>
      </w:r>
      <w:r w:rsidR="00D345F0">
        <w:t>was</w:t>
      </w:r>
      <w:r w:rsidR="00D345F0" w:rsidRPr="0023001E">
        <w:t xml:space="preserve"> made</w:t>
      </w:r>
      <w:r w:rsidR="00D345F0">
        <w:t>,</w:t>
      </w:r>
      <w:r>
        <w:t xml:space="preserve"> </w:t>
      </w:r>
      <w:r w:rsidR="005A3707" w:rsidRPr="003313AF">
        <w:t>as the</w:t>
      </w:r>
      <w:r w:rsidR="00D345F0">
        <w:t>se</w:t>
      </w:r>
      <w:r w:rsidR="005A3707" w:rsidRPr="00BE1C55">
        <w:t xml:space="preserve"> operators were unable to satisfy the requirements of an information request.</w:t>
      </w:r>
    </w:p>
    <w:p w14:paraId="28695C53" w14:textId="1460F758" w:rsidR="005A3707" w:rsidRDefault="00D345F0" w:rsidP="000371B8">
      <w:pPr>
        <w:pStyle w:val="CH5normal"/>
        <w:ind w:left="567" w:hanging="567"/>
      </w:pPr>
      <w:bookmarkStart w:id="394" w:name="_Hlk93308753"/>
      <w:bookmarkStart w:id="395" w:name="_Hlk97801357"/>
      <w:r>
        <w:t>A</w:t>
      </w:r>
      <w:r w:rsidR="005A3707" w:rsidRPr="00BE1C55">
        <w:t xml:space="preserve"> total of 48 investigations were closed </w:t>
      </w:r>
      <w:r>
        <w:t>during 2020-21</w:t>
      </w:r>
      <w:r w:rsidR="005A3707" w:rsidRPr="00BE1C55">
        <w:t xml:space="preserve"> with 7 of these cases resulting in compliance action being taken</w:t>
      </w:r>
      <w:r w:rsidR="00BB0244">
        <w:t>:</w:t>
      </w:r>
    </w:p>
    <w:bookmarkEnd w:id="394"/>
    <w:p w14:paraId="44CB4C40" w14:textId="1B962ED1" w:rsidR="005A3707" w:rsidRPr="00833E28" w:rsidRDefault="00147C7B" w:rsidP="000371B8">
      <w:pPr>
        <w:pStyle w:val="NormalWeb"/>
        <w:numPr>
          <w:ilvl w:val="1"/>
          <w:numId w:val="45"/>
        </w:numPr>
        <w:spacing w:before="0" w:beforeAutospacing="0" w:after="240" w:afterAutospacing="0" w:line="360" w:lineRule="auto"/>
        <w:ind w:left="1276" w:hanging="425"/>
        <w:rPr>
          <w:rFonts w:ascii="Verdana" w:hAnsi="Verdana" w:cs="Calibri"/>
          <w:sz w:val="20"/>
          <w:szCs w:val="20"/>
        </w:rPr>
      </w:pPr>
      <w:r>
        <w:rPr>
          <w:rFonts w:ascii="Verdana" w:hAnsi="Verdana" w:cs="Calibri"/>
          <w:sz w:val="20"/>
          <w:szCs w:val="20"/>
        </w:rPr>
        <w:t xml:space="preserve">We undertook </w:t>
      </w:r>
      <w:bookmarkStart w:id="396" w:name="_Hlk92796044"/>
      <w:r>
        <w:rPr>
          <w:rFonts w:ascii="Verdana" w:hAnsi="Verdana" w:cs="Calibri"/>
          <w:sz w:val="20"/>
          <w:szCs w:val="20"/>
        </w:rPr>
        <w:t>t</w:t>
      </w:r>
      <w:r w:rsidR="00D345F0" w:rsidRPr="0023001E">
        <w:rPr>
          <w:rFonts w:ascii="Verdana" w:hAnsi="Verdana" w:cs="Calibri"/>
          <w:sz w:val="20"/>
          <w:szCs w:val="20"/>
        </w:rPr>
        <w:t xml:space="preserve">wo investigations </w:t>
      </w:r>
      <w:r>
        <w:rPr>
          <w:rFonts w:ascii="Verdana" w:hAnsi="Verdana" w:cs="Calibri"/>
          <w:sz w:val="20"/>
          <w:szCs w:val="20"/>
        </w:rPr>
        <w:t>that</w:t>
      </w:r>
      <w:r w:rsidR="00D345F0" w:rsidRPr="0023001E">
        <w:rPr>
          <w:rFonts w:ascii="Verdana" w:hAnsi="Verdana" w:cs="Calibri"/>
          <w:sz w:val="20"/>
          <w:szCs w:val="20"/>
        </w:rPr>
        <w:t xml:space="preserve"> resulted in the withdraw</w:t>
      </w:r>
      <w:r w:rsidR="00D345F0">
        <w:rPr>
          <w:rFonts w:ascii="Verdana" w:hAnsi="Verdana" w:cs="Calibri"/>
          <w:sz w:val="20"/>
          <w:szCs w:val="20"/>
        </w:rPr>
        <w:t>al</w:t>
      </w:r>
      <w:r w:rsidR="00D345F0" w:rsidRPr="0023001E">
        <w:rPr>
          <w:rFonts w:ascii="Verdana" w:hAnsi="Verdana" w:cs="Calibri"/>
          <w:sz w:val="20"/>
          <w:szCs w:val="20"/>
        </w:rPr>
        <w:t xml:space="preserve"> of RO</w:t>
      </w:r>
      <w:r w:rsidR="00D345F0">
        <w:rPr>
          <w:rFonts w:ascii="Verdana" w:hAnsi="Verdana" w:cs="Calibri"/>
          <w:sz w:val="20"/>
          <w:szCs w:val="20"/>
        </w:rPr>
        <w:t xml:space="preserve"> </w:t>
      </w:r>
      <w:r w:rsidR="00D345F0" w:rsidRPr="0023001E">
        <w:rPr>
          <w:rFonts w:ascii="Verdana" w:hAnsi="Verdana" w:cs="Calibri"/>
          <w:sz w:val="20"/>
          <w:szCs w:val="20"/>
        </w:rPr>
        <w:t xml:space="preserve">accreditation </w:t>
      </w:r>
      <w:r w:rsidR="00E55954">
        <w:rPr>
          <w:rFonts w:ascii="Verdana" w:hAnsi="Verdana" w:cs="Calibri"/>
          <w:sz w:val="20"/>
          <w:szCs w:val="20"/>
        </w:rPr>
        <w:t xml:space="preserve">based </w:t>
      </w:r>
      <w:r w:rsidR="00D345F0" w:rsidRPr="0023001E">
        <w:rPr>
          <w:rFonts w:ascii="Verdana" w:hAnsi="Verdana" w:cs="Calibri"/>
          <w:sz w:val="20"/>
          <w:szCs w:val="20"/>
        </w:rPr>
        <w:t xml:space="preserve">on </w:t>
      </w:r>
      <w:r w:rsidR="00E55954">
        <w:rPr>
          <w:rFonts w:ascii="Verdana" w:hAnsi="Verdana" w:cs="Calibri"/>
          <w:sz w:val="20"/>
          <w:szCs w:val="20"/>
        </w:rPr>
        <w:t>a decision that materially incorrect information relating to</w:t>
      </w:r>
      <w:r w:rsidR="00D345F0" w:rsidRPr="0023001E">
        <w:rPr>
          <w:rFonts w:ascii="Verdana" w:hAnsi="Verdana" w:cs="Calibri"/>
          <w:sz w:val="20"/>
          <w:szCs w:val="20"/>
        </w:rPr>
        <w:t xml:space="preserve"> the generating station</w:t>
      </w:r>
      <w:r w:rsidR="00E55954">
        <w:rPr>
          <w:rFonts w:ascii="Verdana" w:hAnsi="Verdana" w:cs="Calibri"/>
          <w:sz w:val="20"/>
          <w:szCs w:val="20"/>
        </w:rPr>
        <w:t>’</w:t>
      </w:r>
      <w:r w:rsidR="00D345F0" w:rsidRPr="0023001E">
        <w:rPr>
          <w:rFonts w:ascii="Verdana" w:hAnsi="Verdana" w:cs="Calibri"/>
          <w:sz w:val="20"/>
          <w:szCs w:val="20"/>
        </w:rPr>
        <w:t>s commission</w:t>
      </w:r>
      <w:r w:rsidR="00E55954">
        <w:rPr>
          <w:rFonts w:ascii="Verdana" w:hAnsi="Verdana" w:cs="Calibri"/>
          <w:sz w:val="20"/>
          <w:szCs w:val="20"/>
        </w:rPr>
        <w:t xml:space="preserve">ing dates had been provided to Ofgem. In both cases the accreditation applications wrongly suggested that the generating </w:t>
      </w:r>
      <w:r w:rsidR="00D345F0" w:rsidRPr="0023001E">
        <w:rPr>
          <w:rFonts w:ascii="Verdana" w:hAnsi="Verdana" w:cs="Calibri"/>
          <w:sz w:val="20"/>
          <w:szCs w:val="20"/>
        </w:rPr>
        <w:t xml:space="preserve">stations were </w:t>
      </w:r>
      <w:r w:rsidR="00E55954">
        <w:rPr>
          <w:rFonts w:ascii="Verdana" w:hAnsi="Verdana" w:cs="Calibri"/>
          <w:sz w:val="20"/>
          <w:szCs w:val="20"/>
        </w:rPr>
        <w:t>commissioned</w:t>
      </w:r>
      <w:r w:rsidR="00D345F0" w:rsidRPr="0023001E">
        <w:rPr>
          <w:rFonts w:ascii="Verdana" w:hAnsi="Verdana" w:cs="Calibri"/>
          <w:sz w:val="20"/>
          <w:szCs w:val="20"/>
        </w:rPr>
        <w:t xml:space="preserve"> ahead of the relevant closure deadline. During the investigation into the </w:t>
      </w:r>
      <w:r w:rsidR="00D345F0">
        <w:rPr>
          <w:rFonts w:ascii="Verdana" w:hAnsi="Verdana" w:cs="Calibri"/>
          <w:sz w:val="20"/>
          <w:szCs w:val="20"/>
        </w:rPr>
        <w:t>first</w:t>
      </w:r>
      <w:r w:rsidR="00D345F0" w:rsidRPr="0023001E">
        <w:rPr>
          <w:rFonts w:ascii="Verdana" w:hAnsi="Verdana" w:cs="Calibri"/>
          <w:sz w:val="20"/>
          <w:szCs w:val="20"/>
        </w:rPr>
        <w:t xml:space="preserve"> generating station, it was found </w:t>
      </w:r>
      <w:r w:rsidR="00E55954">
        <w:rPr>
          <w:rFonts w:ascii="Verdana" w:hAnsi="Verdana" w:cs="Calibri"/>
          <w:sz w:val="20"/>
          <w:szCs w:val="20"/>
        </w:rPr>
        <w:t>the evidence relating to</w:t>
      </w:r>
      <w:r w:rsidR="00D345F0" w:rsidRPr="0023001E">
        <w:rPr>
          <w:rFonts w:ascii="Verdana" w:hAnsi="Verdana" w:cs="Calibri"/>
          <w:sz w:val="20"/>
          <w:szCs w:val="20"/>
        </w:rPr>
        <w:t xml:space="preserve"> one of the commissioning tests provided during the accreditation review was incorrect in a material particular</w:t>
      </w:r>
      <w:r w:rsidR="00C16D6E">
        <w:rPr>
          <w:rStyle w:val="FootnoteReference"/>
          <w:rFonts w:ascii="Verdana" w:hAnsi="Verdana" w:cs="Calibri"/>
          <w:sz w:val="20"/>
          <w:szCs w:val="20"/>
        </w:rPr>
        <w:footnoteReference w:id="87"/>
      </w:r>
      <w:r w:rsidR="00D345F0" w:rsidRPr="0023001E">
        <w:rPr>
          <w:rFonts w:ascii="Verdana" w:hAnsi="Verdana" w:cs="Calibri"/>
          <w:sz w:val="20"/>
          <w:szCs w:val="20"/>
        </w:rPr>
        <w:t xml:space="preserve">. Consequently, </w:t>
      </w:r>
      <w:r w:rsidR="00E55954">
        <w:rPr>
          <w:rFonts w:ascii="Verdana" w:hAnsi="Verdana" w:cs="Calibri"/>
          <w:sz w:val="20"/>
          <w:szCs w:val="20"/>
        </w:rPr>
        <w:t xml:space="preserve">accreditation was withdrawn; </w:t>
      </w:r>
      <w:r w:rsidR="00D345F0" w:rsidRPr="0023001E">
        <w:rPr>
          <w:rFonts w:ascii="Verdana" w:hAnsi="Verdana" w:cs="Calibri"/>
          <w:sz w:val="20"/>
          <w:szCs w:val="20"/>
        </w:rPr>
        <w:t>the station was unable to meet the definition of commissioned and therefore</w:t>
      </w:r>
      <w:r w:rsidR="00D345F0">
        <w:rPr>
          <w:rFonts w:ascii="Verdana" w:hAnsi="Verdana" w:cs="Calibri"/>
          <w:sz w:val="20"/>
          <w:szCs w:val="20"/>
        </w:rPr>
        <w:t xml:space="preserve"> was</w:t>
      </w:r>
      <w:r w:rsidR="00D345F0" w:rsidRPr="0023001E">
        <w:rPr>
          <w:rFonts w:ascii="Verdana" w:hAnsi="Verdana" w:cs="Calibri"/>
          <w:sz w:val="20"/>
          <w:szCs w:val="20"/>
        </w:rPr>
        <w:t xml:space="preserve"> ineligible under the RO legislation. </w:t>
      </w:r>
      <w:r w:rsidR="00E55954" w:rsidRPr="00E55954">
        <w:rPr>
          <w:rFonts w:ascii="Verdana" w:hAnsi="Verdana" w:cs="Calibri"/>
          <w:sz w:val="20"/>
          <w:szCs w:val="20"/>
        </w:rPr>
        <w:t xml:space="preserve">The decision was challenged under Judicial Review but was discontinued by the claimants before the case was heard in court. </w:t>
      </w:r>
      <w:r w:rsidR="00D345F0" w:rsidRPr="0023001E">
        <w:rPr>
          <w:rFonts w:ascii="Verdana" w:hAnsi="Verdana" w:cs="Calibri"/>
          <w:sz w:val="20"/>
          <w:szCs w:val="20"/>
        </w:rPr>
        <w:t xml:space="preserve">For </w:t>
      </w:r>
      <w:r w:rsidR="00D345F0">
        <w:rPr>
          <w:rFonts w:ascii="Verdana" w:hAnsi="Verdana" w:cs="Calibri"/>
          <w:sz w:val="20"/>
          <w:szCs w:val="20"/>
        </w:rPr>
        <w:t xml:space="preserve">the </w:t>
      </w:r>
      <w:r w:rsidR="00E55954">
        <w:rPr>
          <w:rFonts w:ascii="Verdana" w:hAnsi="Verdana" w:cs="Calibri"/>
          <w:sz w:val="20"/>
          <w:szCs w:val="20"/>
        </w:rPr>
        <w:t>second</w:t>
      </w:r>
      <w:r w:rsidR="00D345F0" w:rsidRPr="0023001E">
        <w:rPr>
          <w:rFonts w:ascii="Verdana" w:hAnsi="Verdana" w:cs="Calibri"/>
          <w:sz w:val="20"/>
          <w:szCs w:val="20"/>
        </w:rPr>
        <w:t xml:space="preserve"> station, </w:t>
      </w:r>
      <w:r w:rsidR="00D345F0">
        <w:rPr>
          <w:rFonts w:ascii="Verdana" w:hAnsi="Verdana" w:cs="Calibri"/>
          <w:sz w:val="20"/>
          <w:szCs w:val="20"/>
        </w:rPr>
        <w:t>we</w:t>
      </w:r>
      <w:r w:rsidR="00D345F0" w:rsidRPr="0023001E">
        <w:rPr>
          <w:rFonts w:ascii="Verdana" w:hAnsi="Verdana" w:cs="Calibri"/>
          <w:sz w:val="20"/>
          <w:szCs w:val="20"/>
        </w:rPr>
        <w:t xml:space="preserve"> discovered that not only was the accreditation based on information</w:t>
      </w:r>
      <w:r w:rsidR="00D345F0">
        <w:rPr>
          <w:rFonts w:ascii="Verdana" w:hAnsi="Verdana" w:cs="Calibri"/>
          <w:sz w:val="20"/>
          <w:szCs w:val="20"/>
        </w:rPr>
        <w:t xml:space="preserve"> which was incorrect</w:t>
      </w:r>
      <w:r w:rsidR="00D345F0" w:rsidRPr="0023001E">
        <w:rPr>
          <w:rFonts w:ascii="Verdana" w:hAnsi="Verdana" w:cs="Calibri"/>
          <w:sz w:val="20"/>
          <w:szCs w:val="20"/>
        </w:rPr>
        <w:t xml:space="preserve"> in a material particular but </w:t>
      </w:r>
      <w:r w:rsidR="00334030">
        <w:rPr>
          <w:rFonts w:ascii="Verdana" w:hAnsi="Verdana" w:cs="Calibri"/>
          <w:sz w:val="20"/>
          <w:szCs w:val="20"/>
        </w:rPr>
        <w:t xml:space="preserve">there was </w:t>
      </w:r>
      <w:r w:rsidR="00D345F0" w:rsidRPr="0023001E">
        <w:rPr>
          <w:rFonts w:ascii="Verdana" w:hAnsi="Verdana" w:cs="Calibri"/>
          <w:sz w:val="20"/>
          <w:szCs w:val="20"/>
        </w:rPr>
        <w:t xml:space="preserve">also </w:t>
      </w:r>
      <w:r w:rsidR="00334030">
        <w:rPr>
          <w:rFonts w:ascii="Verdana" w:hAnsi="Verdana" w:cs="Calibri"/>
          <w:sz w:val="20"/>
          <w:szCs w:val="20"/>
        </w:rPr>
        <w:t xml:space="preserve">evidence of </w:t>
      </w:r>
      <w:r w:rsidR="00D345F0" w:rsidRPr="0023001E">
        <w:rPr>
          <w:rFonts w:ascii="Verdana" w:hAnsi="Verdana" w:cs="Calibri"/>
          <w:sz w:val="20"/>
          <w:szCs w:val="20"/>
        </w:rPr>
        <w:t>fraud</w:t>
      </w:r>
      <w:r w:rsidR="00E55954" w:rsidRPr="00E55954">
        <w:rPr>
          <w:rFonts w:ascii="Verdana" w:hAnsi="Verdana" w:cs="Calibri"/>
          <w:sz w:val="20"/>
          <w:szCs w:val="20"/>
        </w:rPr>
        <w:t xml:space="preserve"> in obtaining the accreditation in the first instance. As such the accreditation was withdrawn. This decision was also challenged under Judicial Review. However, the claim was dismissed in the High Court and later in the Court of Appeal</w:t>
      </w:r>
      <w:r w:rsidR="00D345F0" w:rsidRPr="0023001E">
        <w:rPr>
          <w:rFonts w:ascii="Verdana" w:hAnsi="Verdana" w:cs="Calibri"/>
          <w:sz w:val="20"/>
          <w:szCs w:val="20"/>
        </w:rPr>
        <w:t xml:space="preserve">. </w:t>
      </w:r>
      <w:bookmarkEnd w:id="396"/>
      <w:r w:rsidR="00D345F0" w:rsidRPr="0023001E">
        <w:rPr>
          <w:rFonts w:ascii="Verdana" w:hAnsi="Verdana" w:cs="Calibri"/>
          <w:sz w:val="20"/>
          <w:szCs w:val="20"/>
        </w:rPr>
        <w:t>The total value of these decisions was £34.2 million with £4.7 million of redeemed ROCs being unrecoverable.</w:t>
      </w:r>
    </w:p>
    <w:p w14:paraId="7669A4D7" w14:textId="012674BE" w:rsidR="005A3707" w:rsidRDefault="005A3707" w:rsidP="000371B8">
      <w:pPr>
        <w:pStyle w:val="NormalWeb"/>
        <w:numPr>
          <w:ilvl w:val="1"/>
          <w:numId w:val="45"/>
        </w:numPr>
        <w:spacing w:before="0" w:beforeAutospacing="0" w:after="240" w:afterAutospacing="0" w:line="360" w:lineRule="auto"/>
        <w:ind w:left="1276" w:hanging="425"/>
        <w:rPr>
          <w:rFonts w:ascii="Verdana" w:hAnsi="Verdana" w:cs="Calibri"/>
          <w:sz w:val="20"/>
          <w:szCs w:val="20"/>
        </w:rPr>
      </w:pPr>
      <w:bookmarkStart w:id="397" w:name="_Hlk93494947"/>
      <w:bookmarkEnd w:id="395"/>
      <w:r w:rsidRPr="000371B8">
        <w:rPr>
          <w:rFonts w:ascii="Verdana" w:hAnsi="Verdana" w:cs="Calibri"/>
          <w:sz w:val="20"/>
          <w:szCs w:val="20"/>
        </w:rPr>
        <w:t>During the compliance investigations into two NIRO accredited generating stations, it was decided that these stations should be considered as one generating station.</w:t>
      </w:r>
      <w:r w:rsidRPr="00C14667">
        <w:rPr>
          <w:rFonts w:ascii="Verdana" w:hAnsi="Verdana" w:cs="Calibri"/>
          <w:sz w:val="20"/>
          <w:szCs w:val="20"/>
        </w:rPr>
        <w:t xml:space="preserve"> </w:t>
      </w:r>
      <w:r w:rsidR="00C14667" w:rsidRPr="00C14667">
        <w:rPr>
          <w:rFonts w:ascii="Verdana" w:hAnsi="Verdana" w:cs="Calibri"/>
          <w:sz w:val="20"/>
          <w:szCs w:val="20"/>
        </w:rPr>
        <w:t>Consequently</w:t>
      </w:r>
      <w:r w:rsidR="00621FC9" w:rsidRPr="00C14667">
        <w:rPr>
          <w:rFonts w:ascii="Verdana" w:hAnsi="Verdana" w:cs="Calibri"/>
          <w:sz w:val="20"/>
          <w:szCs w:val="20"/>
        </w:rPr>
        <w:t xml:space="preserve"> </w:t>
      </w:r>
      <w:r w:rsidR="00C14667" w:rsidRPr="00C14667">
        <w:rPr>
          <w:rFonts w:ascii="Verdana" w:hAnsi="Verdana" w:cs="Calibri"/>
          <w:sz w:val="20"/>
          <w:szCs w:val="20"/>
        </w:rPr>
        <w:t xml:space="preserve">one station’s RO accreditation was </w:t>
      </w:r>
      <w:r w:rsidR="00A262B6" w:rsidRPr="00C14667">
        <w:rPr>
          <w:rFonts w:ascii="Verdana" w:hAnsi="Verdana" w:cs="Calibri"/>
          <w:sz w:val="20"/>
          <w:szCs w:val="20"/>
        </w:rPr>
        <w:t>withdrawn,</w:t>
      </w:r>
      <w:r w:rsidR="00C14667" w:rsidRPr="00C14667">
        <w:rPr>
          <w:rFonts w:ascii="Verdana" w:hAnsi="Verdana" w:cs="Calibri"/>
          <w:sz w:val="20"/>
          <w:szCs w:val="20"/>
        </w:rPr>
        <w:t xml:space="preserve"> </w:t>
      </w:r>
      <w:r w:rsidR="00A262B6">
        <w:rPr>
          <w:rFonts w:ascii="Verdana" w:hAnsi="Verdana" w:cs="Calibri"/>
          <w:sz w:val="20"/>
          <w:szCs w:val="20"/>
        </w:rPr>
        <w:t>and the capacity added to the original NIRO accreditation. The NIROC banding for the original accreditation changed from 4 NIROCs per MWh to 3 NIROCs per MWh</w:t>
      </w:r>
      <w:r w:rsidR="00C3677C" w:rsidRPr="00C3677C">
        <w:rPr>
          <w:rFonts w:ascii="Verdana" w:hAnsi="Verdana" w:cs="Calibri"/>
          <w:sz w:val="20"/>
          <w:szCs w:val="20"/>
        </w:rPr>
        <w:t>.</w:t>
      </w:r>
      <w:r w:rsidR="00C14667" w:rsidRPr="00C14667">
        <w:rPr>
          <w:rFonts w:ascii="Verdana" w:hAnsi="Verdana" w:cs="Calibri"/>
          <w:sz w:val="20"/>
          <w:szCs w:val="20"/>
        </w:rPr>
        <w:t xml:space="preserve"> </w:t>
      </w:r>
      <w:r w:rsidR="004718C4">
        <w:rPr>
          <w:rFonts w:ascii="Verdana" w:hAnsi="Verdana" w:cs="Calibri"/>
          <w:sz w:val="20"/>
          <w:szCs w:val="20"/>
        </w:rPr>
        <w:t xml:space="preserve">The total value of the decision to change the NIROC banding of the stations was </w:t>
      </w:r>
      <w:r w:rsidRPr="000371B8">
        <w:rPr>
          <w:rFonts w:ascii="Verdana" w:hAnsi="Verdana" w:cs="Calibri"/>
          <w:sz w:val="20"/>
          <w:szCs w:val="20"/>
        </w:rPr>
        <w:t>£5.5 million</w:t>
      </w:r>
      <w:r w:rsidR="00E732A6">
        <w:rPr>
          <w:rFonts w:ascii="Verdana" w:hAnsi="Verdana" w:cs="Calibri"/>
          <w:sz w:val="20"/>
          <w:szCs w:val="20"/>
        </w:rPr>
        <w:t>, with us refusing to issue</w:t>
      </w:r>
      <w:r w:rsidR="00E732A6" w:rsidRPr="00C3677C">
        <w:rPr>
          <w:rFonts w:ascii="Verdana" w:hAnsi="Verdana" w:cs="Calibri"/>
          <w:sz w:val="20"/>
          <w:szCs w:val="20"/>
        </w:rPr>
        <w:t xml:space="preserve"> a total of 14,979 NIROCs</w:t>
      </w:r>
      <w:r w:rsidR="00E732A6">
        <w:rPr>
          <w:rFonts w:ascii="Verdana" w:hAnsi="Verdana" w:cs="Calibri"/>
          <w:sz w:val="20"/>
          <w:szCs w:val="20"/>
        </w:rPr>
        <w:t xml:space="preserve"> with an estimated value of £756,440.</w:t>
      </w:r>
    </w:p>
    <w:bookmarkEnd w:id="397"/>
    <w:p w14:paraId="261AB259" w14:textId="75C5C255" w:rsidR="005A3707" w:rsidRDefault="0043763A" w:rsidP="000371B8">
      <w:pPr>
        <w:pStyle w:val="NormalWeb"/>
        <w:numPr>
          <w:ilvl w:val="1"/>
          <w:numId w:val="45"/>
        </w:numPr>
        <w:spacing w:before="0" w:beforeAutospacing="0" w:after="240" w:afterAutospacing="0" w:line="360" w:lineRule="auto"/>
        <w:ind w:left="1276" w:hanging="425"/>
        <w:rPr>
          <w:rFonts w:ascii="Verdana" w:hAnsi="Verdana" w:cs="Calibri"/>
          <w:sz w:val="20"/>
          <w:szCs w:val="20"/>
        </w:rPr>
      </w:pPr>
      <w:r>
        <w:rPr>
          <w:rFonts w:ascii="Verdana" w:hAnsi="Verdana" w:cs="Calibri"/>
          <w:sz w:val="20"/>
          <w:szCs w:val="20"/>
        </w:rPr>
        <w:lastRenderedPageBreak/>
        <w:t>T</w:t>
      </w:r>
      <w:r w:rsidR="005A3707" w:rsidRPr="000371B8">
        <w:rPr>
          <w:rFonts w:ascii="Verdana" w:hAnsi="Verdana" w:cs="Calibri"/>
          <w:sz w:val="20"/>
          <w:szCs w:val="20"/>
        </w:rPr>
        <w:t xml:space="preserve">he effective date of accreditation for two RO generating stations </w:t>
      </w:r>
      <w:r>
        <w:rPr>
          <w:rFonts w:ascii="Verdana" w:hAnsi="Verdana" w:cs="Calibri"/>
          <w:sz w:val="20"/>
          <w:szCs w:val="20"/>
        </w:rPr>
        <w:t>was changed as</w:t>
      </w:r>
      <w:r w:rsidR="005A3707" w:rsidRPr="000371B8">
        <w:rPr>
          <w:rFonts w:ascii="Verdana" w:hAnsi="Verdana" w:cs="Calibri"/>
          <w:sz w:val="20"/>
          <w:szCs w:val="20"/>
        </w:rPr>
        <w:t xml:space="preserve"> information relating to the commissioning date </w:t>
      </w:r>
      <w:r>
        <w:rPr>
          <w:rFonts w:ascii="Verdana" w:hAnsi="Verdana" w:cs="Calibri"/>
          <w:sz w:val="20"/>
          <w:szCs w:val="20"/>
        </w:rPr>
        <w:t>was</w:t>
      </w:r>
      <w:r w:rsidR="005A3707" w:rsidRPr="000371B8">
        <w:rPr>
          <w:rFonts w:ascii="Verdana" w:hAnsi="Verdana" w:cs="Calibri"/>
          <w:sz w:val="20"/>
          <w:szCs w:val="20"/>
        </w:rPr>
        <w:t xml:space="preserve"> incorrect in a material particular. The commissioned dates and the effective dates of accreditation were amended to reflect the commissioning evidence</w:t>
      </w:r>
      <w:r>
        <w:rPr>
          <w:rFonts w:ascii="Verdana" w:hAnsi="Verdana" w:cs="Calibri"/>
          <w:sz w:val="20"/>
          <w:szCs w:val="20"/>
        </w:rPr>
        <w:t>,</w:t>
      </w:r>
      <w:r w:rsidR="005A3707" w:rsidRPr="000371B8">
        <w:rPr>
          <w:rFonts w:ascii="Verdana" w:hAnsi="Verdana" w:cs="Calibri"/>
          <w:sz w:val="20"/>
          <w:szCs w:val="20"/>
        </w:rPr>
        <w:t xml:space="preserve"> and </w:t>
      </w:r>
      <w:r w:rsidRPr="0023001E">
        <w:rPr>
          <w:rFonts w:ascii="Verdana" w:hAnsi="Verdana" w:cs="Calibri"/>
          <w:sz w:val="20"/>
          <w:szCs w:val="20"/>
        </w:rPr>
        <w:t>where appropriate</w:t>
      </w:r>
      <w:r w:rsidRPr="005A3707">
        <w:rPr>
          <w:rFonts w:ascii="Verdana" w:hAnsi="Verdana" w:cs="Calibri"/>
          <w:sz w:val="20"/>
          <w:szCs w:val="20"/>
        </w:rPr>
        <w:t xml:space="preserve"> </w:t>
      </w:r>
      <w:r w:rsidR="005A3707" w:rsidRPr="000371B8">
        <w:rPr>
          <w:rFonts w:ascii="Verdana" w:hAnsi="Verdana" w:cs="Calibri"/>
          <w:sz w:val="20"/>
          <w:szCs w:val="20"/>
        </w:rPr>
        <w:t xml:space="preserve">the correct ROC bandings were assigned. </w:t>
      </w:r>
      <w:r>
        <w:rPr>
          <w:rFonts w:ascii="Verdana" w:hAnsi="Verdana" w:cs="Calibri"/>
          <w:sz w:val="20"/>
          <w:szCs w:val="20"/>
        </w:rPr>
        <w:t>T</w:t>
      </w:r>
      <w:r w:rsidR="005A3707" w:rsidRPr="000371B8">
        <w:rPr>
          <w:rFonts w:ascii="Verdana" w:hAnsi="Verdana" w:cs="Calibri"/>
          <w:sz w:val="20"/>
          <w:szCs w:val="20"/>
        </w:rPr>
        <w:t>he change in commissioning date for one of the stations resulted in overclaimed ROCs which were issued in 2013</w:t>
      </w:r>
      <w:r w:rsidR="00B24E81">
        <w:rPr>
          <w:rFonts w:ascii="Verdana" w:hAnsi="Verdana" w:cs="Calibri"/>
          <w:sz w:val="20"/>
          <w:szCs w:val="20"/>
        </w:rPr>
        <w:t>.</w:t>
      </w:r>
      <w:r>
        <w:rPr>
          <w:rFonts w:ascii="Verdana" w:hAnsi="Verdana" w:cs="Calibri"/>
          <w:sz w:val="20"/>
          <w:szCs w:val="20"/>
        </w:rPr>
        <w:t xml:space="preserve"> However, as these ROCs were issued more than six years ago</w:t>
      </w:r>
      <w:r w:rsidR="00B24E81">
        <w:rPr>
          <w:rFonts w:ascii="Verdana" w:hAnsi="Verdana" w:cs="Calibri"/>
          <w:sz w:val="20"/>
          <w:szCs w:val="20"/>
        </w:rPr>
        <w:t>, in line with RO legislation</w:t>
      </w:r>
      <w:r w:rsidR="00B24E81">
        <w:rPr>
          <w:rStyle w:val="FootnoteReference"/>
          <w:rFonts w:ascii="Verdana" w:hAnsi="Verdana" w:cs="Calibri"/>
          <w:sz w:val="20"/>
          <w:szCs w:val="20"/>
        </w:rPr>
        <w:footnoteReference w:id="88"/>
      </w:r>
      <w:r w:rsidR="00C3677C">
        <w:rPr>
          <w:rFonts w:ascii="Verdana" w:hAnsi="Verdana" w:cs="Calibri"/>
          <w:sz w:val="20"/>
          <w:szCs w:val="20"/>
        </w:rPr>
        <w:t>,</w:t>
      </w:r>
      <w:r w:rsidR="00B24E81">
        <w:rPr>
          <w:rFonts w:ascii="Verdana" w:hAnsi="Verdana" w:cs="Calibri"/>
          <w:sz w:val="20"/>
          <w:szCs w:val="20"/>
        </w:rPr>
        <w:t xml:space="preserve"> an equivalent number of </w:t>
      </w:r>
      <w:r w:rsidR="00B24E81" w:rsidRPr="0023001E">
        <w:rPr>
          <w:rFonts w:ascii="Verdana" w:hAnsi="Verdana" w:cs="Calibri"/>
          <w:sz w:val="20"/>
          <w:szCs w:val="20"/>
        </w:rPr>
        <w:t xml:space="preserve">ROCs </w:t>
      </w:r>
      <w:r w:rsidR="00B24E81">
        <w:rPr>
          <w:rFonts w:ascii="Verdana" w:hAnsi="Verdana" w:cs="Calibri"/>
          <w:sz w:val="20"/>
          <w:szCs w:val="20"/>
        </w:rPr>
        <w:t>were not</w:t>
      </w:r>
      <w:r w:rsidR="00B24E81" w:rsidRPr="0023001E">
        <w:rPr>
          <w:rFonts w:ascii="Verdana" w:hAnsi="Verdana" w:cs="Calibri"/>
          <w:sz w:val="20"/>
          <w:szCs w:val="20"/>
        </w:rPr>
        <w:t xml:space="preserve"> withheld from future issue</w:t>
      </w:r>
      <w:r w:rsidR="005A3707" w:rsidRPr="000371B8">
        <w:rPr>
          <w:rFonts w:ascii="Verdana" w:hAnsi="Verdana" w:cs="Calibri"/>
          <w:sz w:val="20"/>
          <w:szCs w:val="20"/>
        </w:rPr>
        <w:t xml:space="preserve">. </w:t>
      </w:r>
      <w:r w:rsidR="00B24E81">
        <w:rPr>
          <w:rFonts w:ascii="Verdana" w:hAnsi="Verdana" w:cs="Calibri"/>
          <w:sz w:val="20"/>
          <w:szCs w:val="20"/>
        </w:rPr>
        <w:t xml:space="preserve">For the other generating station we </w:t>
      </w:r>
      <w:r w:rsidR="005A3707" w:rsidRPr="000371B8">
        <w:rPr>
          <w:rFonts w:ascii="Verdana" w:hAnsi="Verdana" w:cs="Calibri"/>
          <w:sz w:val="20"/>
          <w:szCs w:val="20"/>
        </w:rPr>
        <w:t>refuse</w:t>
      </w:r>
      <w:r w:rsidR="00B24E81">
        <w:rPr>
          <w:rFonts w:ascii="Verdana" w:hAnsi="Verdana" w:cs="Calibri"/>
          <w:sz w:val="20"/>
          <w:szCs w:val="20"/>
        </w:rPr>
        <w:t>d to issue</w:t>
      </w:r>
      <w:r w:rsidR="005A3707" w:rsidRPr="000371B8">
        <w:rPr>
          <w:rFonts w:ascii="Verdana" w:hAnsi="Verdana" w:cs="Calibri"/>
          <w:sz w:val="20"/>
          <w:szCs w:val="20"/>
        </w:rPr>
        <w:t xml:space="preserve"> 10,836 ROCs </w:t>
      </w:r>
      <w:r w:rsidR="00B24E81">
        <w:rPr>
          <w:rFonts w:ascii="Verdana" w:hAnsi="Verdana" w:cs="Calibri"/>
          <w:sz w:val="20"/>
          <w:szCs w:val="20"/>
        </w:rPr>
        <w:t>with</w:t>
      </w:r>
      <w:r w:rsidR="005A3707" w:rsidRPr="000371B8">
        <w:rPr>
          <w:rFonts w:ascii="Verdana" w:hAnsi="Verdana" w:cs="Calibri"/>
          <w:sz w:val="20"/>
          <w:szCs w:val="20"/>
        </w:rPr>
        <w:t xml:space="preserve"> an estimated value of £542,342.</w:t>
      </w:r>
    </w:p>
    <w:p w14:paraId="450C99C1" w14:textId="44298846" w:rsidR="005A3707" w:rsidRPr="0037733C" w:rsidRDefault="00B24E81" w:rsidP="000371B8">
      <w:pPr>
        <w:pStyle w:val="NormalWeb"/>
        <w:numPr>
          <w:ilvl w:val="1"/>
          <w:numId w:val="45"/>
        </w:numPr>
        <w:spacing w:before="0" w:beforeAutospacing="0" w:after="240" w:afterAutospacing="0" w:line="360" w:lineRule="auto"/>
        <w:ind w:left="1276" w:hanging="425"/>
        <w:rPr>
          <w:rFonts w:cs="Calibri"/>
        </w:rPr>
      </w:pPr>
      <w:r>
        <w:rPr>
          <w:rFonts w:ascii="Verdana" w:hAnsi="Verdana" w:cs="Calibri"/>
          <w:sz w:val="20"/>
          <w:szCs w:val="20"/>
        </w:rPr>
        <w:t>We have also been working</w:t>
      </w:r>
      <w:r w:rsidR="005A3707" w:rsidRPr="000371B8">
        <w:rPr>
          <w:rFonts w:ascii="Verdana" w:hAnsi="Verdana" w:cs="Calibri"/>
          <w:sz w:val="20"/>
          <w:szCs w:val="20"/>
        </w:rPr>
        <w:t xml:space="preserve"> to validate the ROC submissions of high</w:t>
      </w:r>
      <w:r w:rsidR="00D4556C">
        <w:rPr>
          <w:rFonts w:ascii="Verdana" w:hAnsi="Verdana" w:cs="Calibri"/>
          <w:sz w:val="20"/>
          <w:szCs w:val="20"/>
        </w:rPr>
        <w:t>-</w:t>
      </w:r>
      <w:r w:rsidR="005A3707" w:rsidRPr="000371B8">
        <w:rPr>
          <w:rFonts w:ascii="Verdana" w:hAnsi="Verdana" w:cs="Calibri"/>
          <w:sz w:val="20"/>
          <w:szCs w:val="20"/>
        </w:rPr>
        <w:t xml:space="preserve">risk stations, such as those close to the </w:t>
      </w:r>
      <w:r w:rsidR="00951AD9">
        <w:rPr>
          <w:rFonts w:ascii="Verdana" w:hAnsi="Verdana" w:cs="Calibri"/>
          <w:sz w:val="20"/>
          <w:szCs w:val="20"/>
        </w:rPr>
        <w:t xml:space="preserve">capacity </w:t>
      </w:r>
      <w:r w:rsidR="00AE3995">
        <w:rPr>
          <w:rFonts w:ascii="Verdana" w:hAnsi="Verdana" w:cs="Calibri"/>
          <w:sz w:val="20"/>
          <w:szCs w:val="20"/>
        </w:rPr>
        <w:t xml:space="preserve">boundary of a </w:t>
      </w:r>
      <w:r w:rsidR="005A3707" w:rsidRPr="000371B8">
        <w:rPr>
          <w:rFonts w:ascii="Verdana" w:hAnsi="Verdana" w:cs="Calibri"/>
          <w:sz w:val="20"/>
          <w:szCs w:val="20"/>
        </w:rPr>
        <w:t xml:space="preserve">NIROC </w:t>
      </w:r>
      <w:r w:rsidR="00C3677C">
        <w:rPr>
          <w:rFonts w:ascii="Verdana" w:hAnsi="Verdana" w:cs="Calibri"/>
          <w:sz w:val="20"/>
          <w:szCs w:val="20"/>
        </w:rPr>
        <w:t>banding</w:t>
      </w:r>
      <w:r w:rsidR="00C3677C">
        <w:rPr>
          <w:rStyle w:val="FootnoteReference"/>
          <w:rFonts w:ascii="Verdana" w:hAnsi="Verdana" w:cs="Calibri"/>
          <w:sz w:val="20"/>
          <w:szCs w:val="20"/>
        </w:rPr>
        <w:footnoteReference w:id="89"/>
      </w:r>
      <w:r w:rsidR="00AD79EA">
        <w:rPr>
          <w:rFonts w:ascii="Verdana" w:hAnsi="Verdana" w:cs="Calibri"/>
          <w:sz w:val="20"/>
          <w:szCs w:val="20"/>
        </w:rPr>
        <w:t>.</w:t>
      </w:r>
      <w:r w:rsidR="005A3707" w:rsidRPr="000371B8">
        <w:rPr>
          <w:rFonts w:ascii="Verdana" w:hAnsi="Verdana" w:cs="Calibri"/>
          <w:sz w:val="20"/>
          <w:szCs w:val="20"/>
        </w:rPr>
        <w:t xml:space="preserve"> </w:t>
      </w:r>
      <w:r w:rsidR="00AD79EA">
        <w:rPr>
          <w:rFonts w:ascii="Verdana" w:hAnsi="Verdana" w:cs="Calibri"/>
          <w:sz w:val="20"/>
          <w:szCs w:val="20"/>
        </w:rPr>
        <w:t>T</w:t>
      </w:r>
      <w:r w:rsidR="00AD79EA" w:rsidRPr="0023001E">
        <w:rPr>
          <w:rFonts w:ascii="Verdana" w:hAnsi="Verdana" w:cs="Calibri"/>
          <w:sz w:val="20"/>
          <w:szCs w:val="20"/>
        </w:rPr>
        <w:t xml:space="preserve">o ensure the correct </w:t>
      </w:r>
      <w:r w:rsidR="00AD79EA">
        <w:rPr>
          <w:rFonts w:ascii="Verdana" w:hAnsi="Verdana" w:cs="Calibri"/>
          <w:sz w:val="20"/>
          <w:szCs w:val="20"/>
        </w:rPr>
        <w:t xml:space="preserve">number of </w:t>
      </w:r>
      <w:r w:rsidR="00AD79EA" w:rsidRPr="0023001E">
        <w:rPr>
          <w:rFonts w:ascii="Verdana" w:hAnsi="Verdana" w:cs="Calibri"/>
          <w:sz w:val="20"/>
          <w:szCs w:val="20"/>
        </w:rPr>
        <w:t xml:space="preserve">ROCs are being claimed </w:t>
      </w:r>
      <w:r w:rsidR="00AD79EA">
        <w:rPr>
          <w:rFonts w:ascii="Verdana" w:hAnsi="Verdana" w:cs="Calibri"/>
          <w:sz w:val="20"/>
          <w:szCs w:val="20"/>
        </w:rPr>
        <w:t>we</w:t>
      </w:r>
      <w:r w:rsidR="005A3707" w:rsidRPr="000371B8">
        <w:rPr>
          <w:rFonts w:ascii="Verdana" w:hAnsi="Verdana" w:cs="Calibri"/>
          <w:sz w:val="20"/>
          <w:szCs w:val="20"/>
        </w:rPr>
        <w:t xml:space="preserve"> have additional conditions on the accreditations</w:t>
      </w:r>
      <w:r w:rsidR="00AD79EA">
        <w:rPr>
          <w:rFonts w:ascii="Verdana" w:hAnsi="Verdana" w:cs="Calibri"/>
          <w:sz w:val="20"/>
          <w:szCs w:val="20"/>
        </w:rPr>
        <w:t xml:space="preserve"> of such stations</w:t>
      </w:r>
      <w:r w:rsidR="005A3707" w:rsidRPr="000371B8">
        <w:rPr>
          <w:rFonts w:ascii="Verdana" w:hAnsi="Verdana" w:cs="Calibri"/>
          <w:sz w:val="20"/>
          <w:szCs w:val="20"/>
        </w:rPr>
        <w:t>. An investigation into one of these stations highlighted a breach in DNC which exceeded the generating station’s NIROC</w:t>
      </w:r>
      <w:r w:rsidR="00C3677C">
        <w:rPr>
          <w:rFonts w:ascii="Verdana" w:hAnsi="Verdana" w:cs="Calibri"/>
          <w:sz w:val="20"/>
          <w:szCs w:val="20"/>
        </w:rPr>
        <w:t xml:space="preserve"> </w:t>
      </w:r>
      <w:r w:rsidR="005A3707" w:rsidRPr="000371B8">
        <w:rPr>
          <w:rFonts w:ascii="Verdana" w:hAnsi="Verdana" w:cs="Calibri"/>
          <w:sz w:val="20"/>
          <w:szCs w:val="20"/>
        </w:rPr>
        <w:t xml:space="preserve">boundary. However, as the operator put in place new measures to prevent further DNC exceedances, the investigation was closed but an additional condition was added to the generating station’s accreditation.    </w:t>
      </w:r>
    </w:p>
    <w:p w14:paraId="691DA472" w14:textId="5771D2F3" w:rsidR="005A3707" w:rsidRPr="005A3707" w:rsidRDefault="005A3707" w:rsidP="000371B8">
      <w:pPr>
        <w:pStyle w:val="CH5normal"/>
        <w:ind w:left="567" w:hanging="567"/>
      </w:pPr>
      <w:r w:rsidRPr="00BE1C55">
        <w:t>The operators of the remaining 41 generating stations submitted satisfactory evidence which addressed the concerns raised in the investigation. Therefore, these cases were closed with no compliance action taken.</w:t>
      </w:r>
      <w:r w:rsidRPr="003313AF">
        <w:t xml:space="preserve"> Although, </w:t>
      </w:r>
      <w:r w:rsidR="00D4556C">
        <w:t>for</w:t>
      </w:r>
      <w:r>
        <w:t xml:space="preserve"> </w:t>
      </w:r>
      <w:r w:rsidRPr="00BE1C55">
        <w:t xml:space="preserve">two of these stations </w:t>
      </w:r>
      <w:r w:rsidRPr="003313AF">
        <w:t xml:space="preserve">their </w:t>
      </w:r>
      <w:r w:rsidR="006836C5">
        <w:t>20</w:t>
      </w:r>
      <w:r w:rsidRPr="003313AF">
        <w:t>18</w:t>
      </w:r>
      <w:r w:rsidR="006836C5">
        <w:t>-</w:t>
      </w:r>
      <w:r w:rsidRPr="003313AF">
        <w:t>19 banked ROCs expir</w:t>
      </w:r>
      <w:r w:rsidR="00AD79EA">
        <w:t>ed</w:t>
      </w:r>
      <w:r w:rsidRPr="003313AF">
        <w:t xml:space="preserve"> due to the operator not responding to an information request ahead of the 31 August 2020 deadline.</w:t>
      </w:r>
    </w:p>
    <w:p w14:paraId="54F0D0BD" w14:textId="39D39867" w:rsidR="000A6C95" w:rsidRPr="007371EB" w:rsidRDefault="00B60643" w:rsidP="000371B8">
      <w:pPr>
        <w:pStyle w:val="Heading2"/>
      </w:pPr>
      <w:bookmarkStart w:id="398" w:name="_Toc98852169"/>
      <w:bookmarkStart w:id="399" w:name="_Hlk92796152"/>
      <w:r w:rsidRPr="007371EB">
        <w:t>Counter Fraud</w:t>
      </w:r>
      <w:bookmarkEnd w:id="398"/>
      <w:r w:rsidRPr="007371EB">
        <w:t xml:space="preserve"> </w:t>
      </w:r>
    </w:p>
    <w:p w14:paraId="3FBDF8EB" w14:textId="3C589BEE" w:rsidR="002B67AC" w:rsidRPr="00633A38" w:rsidRDefault="002B67AC" w:rsidP="000371B8">
      <w:pPr>
        <w:pStyle w:val="CH5normal"/>
        <w:ind w:left="567" w:hanging="567"/>
        <w:rPr>
          <w:rFonts w:eastAsia="Times New Roman"/>
        </w:rPr>
      </w:pPr>
      <w:bookmarkStart w:id="400" w:name="_Hlk94696882"/>
      <w:r w:rsidRPr="00633A38">
        <w:t>During the 2020-21 obligation</w:t>
      </w:r>
      <w:r>
        <w:t xml:space="preserve"> period</w:t>
      </w:r>
      <w:r w:rsidRPr="00633A38">
        <w:t xml:space="preserve"> we</w:t>
      </w:r>
      <w:r>
        <w:t xml:space="preserve"> received 11 referrals of </w:t>
      </w:r>
      <w:r w:rsidRPr="00633A38">
        <w:t>suspected fraud</w:t>
      </w:r>
      <w:r>
        <w:t xml:space="preserve"> by operators who are accredited under the scheme. Of these, two were on the</w:t>
      </w:r>
      <w:r w:rsidRPr="00633A38">
        <w:t xml:space="preserve"> GB RO scheme and </w:t>
      </w:r>
      <w:r>
        <w:t>nine</w:t>
      </w:r>
      <w:r w:rsidRPr="00633A38">
        <w:t xml:space="preserve"> on the NIRO scheme</w:t>
      </w:r>
      <w:r>
        <w:t>. T</w:t>
      </w:r>
      <w:r w:rsidRPr="00633A38">
        <w:t>his is a slight decrease on the</w:t>
      </w:r>
      <w:r>
        <w:t xml:space="preserve"> number of referrals received during the previous</w:t>
      </w:r>
      <w:r w:rsidRPr="00633A38">
        <w:t xml:space="preserve"> year.  </w:t>
      </w:r>
    </w:p>
    <w:p w14:paraId="76031BDF" w14:textId="4B5A0AE3" w:rsidR="002B67AC" w:rsidRPr="00E31236" w:rsidRDefault="002B67AC" w:rsidP="000371B8">
      <w:pPr>
        <w:pStyle w:val="CH5normal"/>
        <w:ind w:left="567" w:hanging="567"/>
      </w:pPr>
      <w:r>
        <w:t>Two of these cases, (one under the GB RO and the other under the NIRO) resulted in us opening a suspected fraud investigation.</w:t>
      </w:r>
    </w:p>
    <w:p w14:paraId="7051254E" w14:textId="1CCEA487" w:rsidR="002B67AC" w:rsidRDefault="002B67AC" w:rsidP="000371B8">
      <w:pPr>
        <w:pStyle w:val="CH5normal"/>
        <w:ind w:left="567" w:hanging="567"/>
      </w:pPr>
      <w:r>
        <w:lastRenderedPageBreak/>
        <w:t xml:space="preserve">Four suspected fraud cases </w:t>
      </w:r>
      <w:r w:rsidR="00FE691E">
        <w:t>opened in</w:t>
      </w:r>
      <w:r>
        <w:t xml:space="preserve"> </w:t>
      </w:r>
      <w:r>
        <w:rPr>
          <w:noProof w:val="0"/>
        </w:rPr>
        <w:t>previous</w:t>
      </w:r>
      <w:r>
        <w:t xml:space="preserve"> reporting periods were closed during 2020/21. Where sufficient evidence of </w:t>
      </w:r>
      <w:r>
        <w:rPr>
          <w:noProof w:val="0"/>
        </w:rPr>
        <w:t>suspected</w:t>
      </w:r>
      <w:r>
        <w:t xml:space="preserve"> fraud is identified </w:t>
      </w:r>
      <w:r w:rsidR="00FE691E">
        <w:t xml:space="preserve">we </w:t>
      </w:r>
      <w:r>
        <w:t xml:space="preserve">refer the case to Action Fraud who review </w:t>
      </w:r>
      <w:r w:rsidR="00FE691E">
        <w:t xml:space="preserve">the case </w:t>
      </w:r>
      <w:r>
        <w:t xml:space="preserve">and </w:t>
      </w:r>
      <w:r w:rsidR="00FE691E">
        <w:t xml:space="preserve">may </w:t>
      </w:r>
      <w:r>
        <w:t xml:space="preserve">pass </w:t>
      </w:r>
      <w:r w:rsidR="00FE691E">
        <w:t xml:space="preserve">it </w:t>
      </w:r>
      <w:r>
        <w:t xml:space="preserve">on to the relevant prosectutory agency such as </w:t>
      </w:r>
      <w:r w:rsidR="00FE691E">
        <w:t xml:space="preserve">the </w:t>
      </w:r>
      <w:r>
        <w:t xml:space="preserve">Serious Fraud Office, </w:t>
      </w:r>
      <w:r w:rsidR="00FE691E">
        <w:rPr>
          <w:noProof w:val="0"/>
        </w:rPr>
        <w:t>Metropolitan</w:t>
      </w:r>
      <w:r>
        <w:t xml:space="preserve"> Police or </w:t>
      </w:r>
      <w:r w:rsidR="00FE691E">
        <w:t>Police Service of Northern Ireland</w:t>
      </w:r>
      <w:r>
        <w:t xml:space="preserve">. </w:t>
      </w:r>
    </w:p>
    <w:p w14:paraId="741125BB" w14:textId="1FC74B36" w:rsidR="002B67AC" w:rsidRPr="00E31236" w:rsidRDefault="002B67AC" w:rsidP="000371B8">
      <w:pPr>
        <w:pStyle w:val="CH5normal"/>
        <w:ind w:left="567" w:hanging="567"/>
      </w:pPr>
      <w:r>
        <w:t>Two of the cases that were closed in 2020</w:t>
      </w:r>
      <w:r w:rsidR="00FE691E">
        <w:t>-</w:t>
      </w:r>
      <w:r>
        <w:t xml:space="preserve">21 were linked to compliance action taken </w:t>
      </w:r>
      <w:r w:rsidR="00FE691E">
        <w:t>as a result of our work on</w:t>
      </w:r>
      <w:r>
        <w:t xml:space="preserve"> Accreditations and Participant Compliance. This included refusing</w:t>
      </w:r>
      <w:r w:rsidR="00FE691E">
        <w:t xml:space="preserve"> to</w:t>
      </w:r>
      <w:r>
        <w:t xml:space="preserve"> accredit a pending NIRO accreditation application</w:t>
      </w:r>
      <w:r w:rsidR="00FE691E">
        <w:t>,</w:t>
      </w:r>
      <w:r>
        <w:t xml:space="preserve"> and withdrawing </w:t>
      </w:r>
      <w:r w:rsidR="00FE691E">
        <w:t xml:space="preserve">the </w:t>
      </w:r>
      <w:r>
        <w:t xml:space="preserve">accreditation </w:t>
      </w:r>
      <w:r w:rsidR="00FE691E">
        <w:t>of</w:t>
      </w:r>
      <w:r>
        <w:t xml:space="preserve"> a </w:t>
      </w:r>
      <w:r w:rsidR="00FE691E">
        <w:t xml:space="preserve">station in </w:t>
      </w:r>
      <w:r>
        <w:t xml:space="preserve">GB.  </w:t>
      </w:r>
    </w:p>
    <w:p w14:paraId="0F92E9DA" w14:textId="5D420491" w:rsidR="00885D7B" w:rsidRPr="002D5C99" w:rsidRDefault="00885D7B" w:rsidP="00885D7B">
      <w:pPr>
        <w:pStyle w:val="Heading2"/>
      </w:pPr>
      <w:bookmarkStart w:id="401" w:name="_Toc89978049"/>
      <w:bookmarkStart w:id="402" w:name="_Toc98852170"/>
      <w:bookmarkEnd w:id="399"/>
      <w:bookmarkEnd w:id="400"/>
      <w:r w:rsidRPr="002D5C99">
        <w:t>Safeguarding Public Funds</w:t>
      </w:r>
      <w:bookmarkEnd w:id="401"/>
      <w:bookmarkEnd w:id="402"/>
    </w:p>
    <w:p w14:paraId="16E038E4" w14:textId="77777777" w:rsidR="00885D7B" w:rsidRPr="0037314E" w:rsidRDefault="00885D7B" w:rsidP="000371B8">
      <w:pPr>
        <w:pStyle w:val="CH5normal"/>
        <w:ind w:left="567" w:hanging="567"/>
      </w:pPr>
      <w:r w:rsidRPr="0037314E">
        <w:t xml:space="preserve">As part of our commitment to safeguarding public funds and ensuring value for money in administering the </w:t>
      </w:r>
      <w:r>
        <w:t>RO</w:t>
      </w:r>
      <w:r w:rsidRPr="0037314E">
        <w:t xml:space="preserve"> scheme, we have a robust system of detection and prevention of error and suspected fraud.</w:t>
      </w:r>
    </w:p>
    <w:p w14:paraId="32F3504E" w14:textId="77777777" w:rsidR="00885D7B" w:rsidRPr="009A0394" w:rsidRDefault="00885D7B" w:rsidP="000371B8">
      <w:pPr>
        <w:pStyle w:val="CH5normal"/>
        <w:ind w:left="567" w:hanging="567"/>
      </w:pPr>
      <w:r>
        <w:t xml:space="preserve">In the context of this report, ‘error’ is defined as the difference between what an installation could or have received in incentive payments, and what they are eligible to receive. </w:t>
      </w:r>
    </w:p>
    <w:p w14:paraId="3B5C9322" w14:textId="77777777" w:rsidR="00885D7B" w:rsidRDefault="00885D7B" w:rsidP="000371B8">
      <w:pPr>
        <w:pStyle w:val="CH5normal"/>
        <w:ind w:left="567" w:hanging="567"/>
        <w:rPr>
          <w:bCs/>
        </w:rPr>
      </w:pPr>
      <w:r>
        <w:rPr>
          <w:bCs/>
        </w:rPr>
        <w:t>We classify error and suspected fraud as either being</w:t>
      </w:r>
      <w:r w:rsidRPr="001870A7">
        <w:rPr>
          <w:bCs/>
        </w:rPr>
        <w:t xml:space="preserve"> prevented or detected. A prevented </w:t>
      </w:r>
      <w:r>
        <w:rPr>
          <w:bCs/>
        </w:rPr>
        <w:t>issue</w:t>
      </w:r>
      <w:r w:rsidRPr="001870A7">
        <w:rPr>
          <w:bCs/>
        </w:rPr>
        <w:t xml:space="preserve"> refers to any </w:t>
      </w:r>
      <w:r>
        <w:rPr>
          <w:bCs/>
        </w:rPr>
        <w:t>money</w:t>
      </w:r>
      <w:r w:rsidRPr="001870A7">
        <w:rPr>
          <w:bCs/>
        </w:rPr>
        <w:t xml:space="preserve"> which we have prevented from being paid out because of our work. A detected </w:t>
      </w:r>
      <w:r>
        <w:rPr>
          <w:bCs/>
        </w:rPr>
        <w:t>issue</w:t>
      </w:r>
      <w:r w:rsidRPr="001870A7">
        <w:rPr>
          <w:bCs/>
        </w:rPr>
        <w:t xml:space="preserve"> </w:t>
      </w:r>
      <w:r>
        <w:rPr>
          <w:bCs/>
        </w:rPr>
        <w:t>relates to</w:t>
      </w:r>
      <w:r w:rsidRPr="001870A7">
        <w:rPr>
          <w:bCs/>
        </w:rPr>
        <w:t xml:space="preserve"> any payment which has been </w:t>
      </w:r>
      <w:r>
        <w:rPr>
          <w:bCs/>
        </w:rPr>
        <w:t>made</w:t>
      </w:r>
      <w:r w:rsidRPr="001870A7">
        <w:rPr>
          <w:bCs/>
        </w:rPr>
        <w:t xml:space="preserve"> to a participant for which they were not eligible.</w:t>
      </w:r>
    </w:p>
    <w:p w14:paraId="69854E2D" w14:textId="6986192B" w:rsidR="00885D7B" w:rsidRDefault="00885D7B" w:rsidP="000371B8">
      <w:pPr>
        <w:pStyle w:val="CH5normal"/>
        <w:ind w:left="567" w:hanging="567"/>
        <w:rPr>
          <w:bCs/>
        </w:rPr>
      </w:pPr>
      <w:r w:rsidRPr="00B64B33">
        <w:rPr>
          <w:b/>
        </w:rPr>
        <w:t xml:space="preserve">Table </w:t>
      </w:r>
      <w:r w:rsidR="006E7CC9">
        <w:rPr>
          <w:b/>
        </w:rPr>
        <w:t>5.1</w:t>
      </w:r>
      <w:r>
        <w:rPr>
          <w:bCs/>
        </w:rPr>
        <w:t xml:space="preserve"> shows the amount of money protected in 2020-21. We identified nearly £</w:t>
      </w:r>
      <w:r w:rsidR="00FB0363">
        <w:rPr>
          <w:bCs/>
        </w:rPr>
        <w:t>61.6</w:t>
      </w:r>
      <w:r w:rsidR="00032947">
        <w:rPr>
          <w:bCs/>
        </w:rPr>
        <w:t xml:space="preserve"> million</w:t>
      </w:r>
      <w:r>
        <w:rPr>
          <w:bCs/>
        </w:rPr>
        <w:t xml:space="preserve"> in detected and prevented error during the scheme year. </w:t>
      </w:r>
    </w:p>
    <w:p w14:paraId="3A14F17C" w14:textId="62072254" w:rsidR="00885D7B" w:rsidRDefault="00885D7B" w:rsidP="00885D7B">
      <w:pPr>
        <w:pStyle w:val="CH7normal"/>
        <w:numPr>
          <w:ilvl w:val="0"/>
          <w:numId w:val="0"/>
        </w:numPr>
        <w:ind w:left="709" w:hanging="709"/>
        <w:rPr>
          <w:bCs/>
        </w:rPr>
      </w:pPr>
      <w:r w:rsidRPr="00FD0ADC">
        <w:rPr>
          <w:b/>
          <w:bCs/>
        </w:rPr>
        <w:t xml:space="preserve">Table </w:t>
      </w:r>
      <w:r w:rsidR="006E7CC9">
        <w:rPr>
          <w:b/>
          <w:bCs/>
        </w:rPr>
        <w:t>5.1</w:t>
      </w:r>
      <w:r w:rsidRPr="00FD0ADC">
        <w:rPr>
          <w:b/>
          <w:bCs/>
        </w:rPr>
        <w:t xml:space="preserve">: </w:t>
      </w:r>
      <w:r>
        <w:rPr>
          <w:b/>
          <w:bCs/>
        </w:rPr>
        <w:t>Detected and prevented error 2020-21</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852"/>
        <w:gridCol w:w="3667"/>
      </w:tblGrid>
      <w:tr w:rsidR="006E7CC9" w:rsidRPr="0003072C" w14:paraId="07DB3767" w14:textId="77777777" w:rsidTr="000371B8">
        <w:trPr>
          <w:trHeight w:val="446"/>
        </w:trPr>
        <w:tc>
          <w:tcPr>
            <w:tcW w:w="3121" w:type="dxa"/>
            <w:shd w:val="clear" w:color="auto" w:fill="0070C0"/>
            <w:noWrap/>
            <w:vAlign w:val="center"/>
            <w:hideMark/>
          </w:tcPr>
          <w:p w14:paraId="7E0733BF" w14:textId="3E167914" w:rsidR="006E7CC9" w:rsidRPr="00B64B33" w:rsidRDefault="006E7CC9">
            <w:pPr>
              <w:spacing w:after="0" w:line="240" w:lineRule="auto"/>
              <w:jc w:val="right"/>
              <w:rPr>
                <w:rFonts w:eastAsia="Times New Roman" w:cs="Times New Roman"/>
                <w:b/>
                <w:bCs/>
                <w:color w:val="FFFFFF" w:themeColor="background1"/>
                <w:sz w:val="16"/>
                <w:szCs w:val="16"/>
              </w:rPr>
            </w:pPr>
            <w:r w:rsidRPr="00B64B33">
              <w:rPr>
                <w:rFonts w:eastAsia="Times New Roman" w:cs="Times New Roman"/>
                <w:b/>
                <w:bCs/>
                <w:color w:val="FFFFFF" w:themeColor="background1"/>
                <w:sz w:val="16"/>
                <w:szCs w:val="16"/>
              </w:rPr>
              <w:t>Detected Error</w:t>
            </w:r>
          </w:p>
        </w:tc>
        <w:tc>
          <w:tcPr>
            <w:tcW w:w="2852" w:type="dxa"/>
            <w:shd w:val="clear" w:color="auto" w:fill="0070C0"/>
            <w:noWrap/>
            <w:vAlign w:val="center"/>
            <w:hideMark/>
          </w:tcPr>
          <w:p w14:paraId="75592B75" w14:textId="77777777" w:rsidR="006E7CC9" w:rsidRPr="00B64B33" w:rsidRDefault="006E7CC9">
            <w:pPr>
              <w:spacing w:after="0" w:line="240" w:lineRule="auto"/>
              <w:jc w:val="right"/>
              <w:rPr>
                <w:rFonts w:eastAsia="Times New Roman" w:cs="Times New Roman"/>
                <w:b/>
                <w:bCs/>
                <w:color w:val="FFFFFF" w:themeColor="background1"/>
                <w:sz w:val="16"/>
                <w:szCs w:val="16"/>
              </w:rPr>
            </w:pPr>
            <w:r w:rsidRPr="00B64B33">
              <w:rPr>
                <w:rFonts w:eastAsia="Times New Roman" w:cs="Times New Roman"/>
                <w:b/>
                <w:bCs/>
                <w:color w:val="FFFFFF" w:themeColor="background1"/>
                <w:sz w:val="16"/>
                <w:szCs w:val="16"/>
              </w:rPr>
              <w:t>Prevented Error</w:t>
            </w:r>
          </w:p>
        </w:tc>
        <w:tc>
          <w:tcPr>
            <w:tcW w:w="3667" w:type="dxa"/>
            <w:shd w:val="clear" w:color="auto" w:fill="0070C0"/>
            <w:vAlign w:val="center"/>
          </w:tcPr>
          <w:p w14:paraId="78E5181E" w14:textId="17F92D1B" w:rsidR="006E7CC9" w:rsidRPr="0003072C" w:rsidRDefault="006E7CC9">
            <w:pPr>
              <w:spacing w:after="0" w:line="240" w:lineRule="auto"/>
              <w:jc w:val="right"/>
              <w:rPr>
                <w:rFonts w:eastAsia="Times New Roman" w:cs="Times New Roman"/>
                <w:b/>
                <w:bCs/>
                <w:color w:val="FFFFFF" w:themeColor="background1"/>
                <w:sz w:val="16"/>
                <w:szCs w:val="16"/>
              </w:rPr>
            </w:pPr>
            <w:r>
              <w:rPr>
                <w:rFonts w:eastAsia="Times New Roman" w:cs="Times New Roman"/>
                <w:b/>
                <w:bCs/>
                <w:color w:val="FFFFFF" w:themeColor="background1"/>
                <w:sz w:val="16"/>
                <w:szCs w:val="16"/>
              </w:rPr>
              <w:t>Total 2020-21 error protected</w:t>
            </w:r>
          </w:p>
        </w:tc>
      </w:tr>
      <w:tr w:rsidR="006E7CC9" w:rsidRPr="0003072C" w14:paraId="3237C6DA" w14:textId="77777777" w:rsidTr="000371B8">
        <w:trPr>
          <w:trHeight w:val="446"/>
        </w:trPr>
        <w:tc>
          <w:tcPr>
            <w:tcW w:w="3121" w:type="dxa"/>
            <w:shd w:val="clear" w:color="auto" w:fill="FFFFFF" w:themeFill="background1"/>
            <w:noWrap/>
            <w:vAlign w:val="center"/>
          </w:tcPr>
          <w:p w14:paraId="302389B9" w14:textId="23205AC9" w:rsidR="006E7CC9" w:rsidRPr="000371B8" w:rsidRDefault="006E7CC9">
            <w:pPr>
              <w:spacing w:after="0" w:line="240" w:lineRule="auto"/>
              <w:jc w:val="right"/>
              <w:rPr>
                <w:rFonts w:eastAsia="Times New Roman" w:cs="Times New Roman"/>
                <w:sz w:val="16"/>
                <w:szCs w:val="16"/>
              </w:rPr>
            </w:pPr>
            <w:r w:rsidRPr="000371B8">
              <w:rPr>
                <w:rFonts w:eastAsia="Times New Roman" w:cs="Times New Roman"/>
                <w:sz w:val="16"/>
                <w:szCs w:val="16"/>
              </w:rPr>
              <w:t>£</w:t>
            </w:r>
            <w:r w:rsidR="00AE3975">
              <w:rPr>
                <w:rFonts w:eastAsia="Times New Roman" w:cs="Times New Roman"/>
                <w:sz w:val="16"/>
                <w:szCs w:val="16"/>
              </w:rPr>
              <w:t>6,162,237.62</w:t>
            </w:r>
          </w:p>
        </w:tc>
        <w:tc>
          <w:tcPr>
            <w:tcW w:w="2852" w:type="dxa"/>
            <w:shd w:val="clear" w:color="auto" w:fill="FFFFFF" w:themeFill="background1"/>
            <w:noWrap/>
            <w:vAlign w:val="center"/>
          </w:tcPr>
          <w:p w14:paraId="5E6749F5" w14:textId="2B02C9A6" w:rsidR="006E7CC9" w:rsidRPr="000371B8" w:rsidRDefault="006E7CC9">
            <w:pPr>
              <w:spacing w:after="0" w:line="240" w:lineRule="auto"/>
              <w:jc w:val="right"/>
              <w:rPr>
                <w:rFonts w:eastAsia="Times New Roman" w:cs="Times New Roman"/>
                <w:sz w:val="16"/>
                <w:szCs w:val="16"/>
              </w:rPr>
            </w:pPr>
            <w:r w:rsidRPr="000371B8">
              <w:rPr>
                <w:rFonts w:eastAsia="Times New Roman" w:cs="Times New Roman"/>
                <w:sz w:val="16"/>
                <w:szCs w:val="16"/>
              </w:rPr>
              <w:t>£</w:t>
            </w:r>
            <w:r w:rsidR="00AE3975">
              <w:rPr>
                <w:rFonts w:eastAsia="Times New Roman" w:cs="Times New Roman"/>
                <w:sz w:val="16"/>
                <w:szCs w:val="16"/>
              </w:rPr>
              <w:t>55,415,112.27</w:t>
            </w:r>
          </w:p>
        </w:tc>
        <w:tc>
          <w:tcPr>
            <w:tcW w:w="3667" w:type="dxa"/>
            <w:shd w:val="clear" w:color="auto" w:fill="FFFFFF" w:themeFill="background1"/>
            <w:vAlign w:val="center"/>
          </w:tcPr>
          <w:p w14:paraId="3B8D2E58" w14:textId="2EC525B8" w:rsidR="006E7CC9" w:rsidRPr="000371B8" w:rsidRDefault="006E7CC9">
            <w:pPr>
              <w:spacing w:after="0" w:line="240" w:lineRule="auto"/>
              <w:jc w:val="right"/>
              <w:rPr>
                <w:rFonts w:eastAsia="Times New Roman" w:cs="Times New Roman"/>
                <w:sz w:val="16"/>
                <w:szCs w:val="16"/>
              </w:rPr>
            </w:pPr>
            <w:r w:rsidRPr="000371B8">
              <w:rPr>
                <w:rFonts w:eastAsia="Times New Roman" w:cs="Times New Roman"/>
                <w:sz w:val="16"/>
                <w:szCs w:val="16"/>
              </w:rPr>
              <w:t>£</w:t>
            </w:r>
            <w:r w:rsidR="00AE3975" w:rsidRPr="00AE3975">
              <w:rPr>
                <w:rFonts w:eastAsia="Times New Roman" w:cs="Times New Roman"/>
                <w:sz w:val="16"/>
                <w:szCs w:val="16"/>
              </w:rPr>
              <w:t>61,577,349.89</w:t>
            </w:r>
          </w:p>
        </w:tc>
      </w:tr>
    </w:tbl>
    <w:p w14:paraId="058A86BB" w14:textId="77777777" w:rsidR="00B60643" w:rsidRDefault="00B60643" w:rsidP="001D6C95">
      <w:pPr>
        <w:spacing w:after="240" w:line="276" w:lineRule="auto"/>
        <w:jc w:val="both"/>
      </w:pPr>
    </w:p>
    <w:p w14:paraId="4422DF6D" w14:textId="64AE8439" w:rsidR="000A6C95" w:rsidRPr="0076464C" w:rsidRDefault="000A6C95" w:rsidP="001D6C95">
      <w:pPr>
        <w:spacing w:after="240" w:line="276" w:lineRule="auto"/>
        <w:jc w:val="both"/>
        <w:rPr>
          <w:sz w:val="16"/>
          <w:szCs w:val="16"/>
        </w:rPr>
      </w:pPr>
    </w:p>
    <w:p w14:paraId="549027C1" w14:textId="64394922" w:rsidR="00A61EF7" w:rsidRDefault="00A61EF7">
      <w:pPr>
        <w:spacing w:line="276" w:lineRule="auto"/>
      </w:pPr>
      <w:r>
        <w:br w:type="page"/>
      </w:r>
    </w:p>
    <w:p w14:paraId="21B109EB" w14:textId="3CA3C597" w:rsidR="00A61EF7" w:rsidRDefault="00A61EF7" w:rsidP="00A61EF7">
      <w:pPr>
        <w:rPr>
          <w:rStyle w:val="Heading1Char"/>
        </w:rPr>
      </w:pPr>
      <w:bookmarkStart w:id="403" w:name="_Toc98852171"/>
      <w:r>
        <w:rPr>
          <w:rStyle w:val="Heading1Char"/>
        </w:rPr>
        <w:lastRenderedPageBreak/>
        <w:t xml:space="preserve">6. </w:t>
      </w:r>
      <w:r w:rsidRPr="00A61EF7">
        <w:rPr>
          <w:rStyle w:val="Heading1Char"/>
        </w:rPr>
        <w:t>Generators accredited</w:t>
      </w:r>
      <w:bookmarkEnd w:id="403"/>
    </w:p>
    <w:p w14:paraId="0CE44937" w14:textId="1A600051" w:rsidR="00A61EF7" w:rsidRPr="003B35B0" w:rsidRDefault="00A61EF7" w:rsidP="003B35B0">
      <w:pPr>
        <w:pStyle w:val="Chaptersummaryheading"/>
        <w:rPr>
          <w:rStyle w:val="Heading1Char"/>
          <w:b/>
          <w:sz w:val="28"/>
          <w:szCs w:val="26"/>
        </w:rPr>
      </w:pPr>
      <w:bookmarkStart w:id="404" w:name="_Toc89442090"/>
      <w:bookmarkStart w:id="405" w:name="_Toc98852172"/>
      <w:r w:rsidRPr="003B35B0">
        <w:rPr>
          <w:rStyle w:val="Heading1Char"/>
          <w:b/>
          <w:sz w:val="28"/>
          <w:szCs w:val="26"/>
        </w:rPr>
        <w:t>Chapter summary</w:t>
      </w:r>
      <w:bookmarkEnd w:id="404"/>
      <w:bookmarkEnd w:id="405"/>
    </w:p>
    <w:p w14:paraId="4A81222C" w14:textId="4386BB4E" w:rsidR="009607A8" w:rsidRDefault="009607A8" w:rsidP="009607A8">
      <w:pPr>
        <w:pStyle w:val="Default"/>
        <w:spacing w:after="200" w:line="360" w:lineRule="auto"/>
        <w:rPr>
          <w:b/>
          <w:bCs/>
          <w:sz w:val="20"/>
          <w:szCs w:val="20"/>
        </w:rPr>
      </w:pPr>
      <w:r w:rsidRPr="0076464C">
        <w:rPr>
          <w:b/>
          <w:bCs/>
          <w:sz w:val="20"/>
          <w:szCs w:val="20"/>
        </w:rPr>
        <w:t>Although the Renewables Obligation scheme closed to new entrants prior to the start of the 2019-20 year, the number of accredited stations increased as</w:t>
      </w:r>
      <w:r w:rsidR="00BC417B">
        <w:rPr>
          <w:b/>
          <w:bCs/>
          <w:sz w:val="20"/>
          <w:szCs w:val="20"/>
        </w:rPr>
        <w:t xml:space="preserve"> we completed</w:t>
      </w:r>
      <w:r w:rsidRPr="0076464C">
        <w:rPr>
          <w:b/>
          <w:bCs/>
          <w:sz w:val="20"/>
          <w:szCs w:val="20"/>
        </w:rPr>
        <w:t xml:space="preserve"> the accreditation assessment of </w:t>
      </w:r>
      <w:r w:rsidR="00BC417B">
        <w:rPr>
          <w:b/>
          <w:bCs/>
          <w:sz w:val="20"/>
          <w:szCs w:val="20"/>
        </w:rPr>
        <w:t xml:space="preserve">a number of </w:t>
      </w:r>
      <w:r w:rsidRPr="0076464C">
        <w:rPr>
          <w:b/>
          <w:bCs/>
          <w:sz w:val="20"/>
          <w:szCs w:val="20"/>
        </w:rPr>
        <w:t>stations with earlier accreditation dates. On 2</w:t>
      </w:r>
      <w:r w:rsidR="00A03E86">
        <w:rPr>
          <w:b/>
          <w:bCs/>
          <w:sz w:val="20"/>
          <w:szCs w:val="20"/>
        </w:rPr>
        <w:t>8</w:t>
      </w:r>
      <w:r w:rsidRPr="0076464C">
        <w:rPr>
          <w:b/>
          <w:bCs/>
          <w:sz w:val="20"/>
          <w:szCs w:val="20"/>
        </w:rPr>
        <w:t xml:space="preserve"> October 202</w:t>
      </w:r>
      <w:r w:rsidR="009D32B4" w:rsidRPr="0076464C">
        <w:rPr>
          <w:b/>
          <w:bCs/>
          <w:sz w:val="20"/>
          <w:szCs w:val="20"/>
        </w:rPr>
        <w:t>1</w:t>
      </w:r>
      <w:r w:rsidRPr="0076464C">
        <w:rPr>
          <w:b/>
          <w:bCs/>
          <w:sz w:val="20"/>
          <w:szCs w:val="20"/>
        </w:rPr>
        <w:t xml:space="preserve"> when data was extracted for this report</w:t>
      </w:r>
      <w:r w:rsidRPr="0076464C">
        <w:rPr>
          <w:rStyle w:val="FootnoteReference"/>
          <w:b/>
          <w:bCs/>
        </w:rPr>
        <w:footnoteReference w:id="90"/>
      </w:r>
      <w:r w:rsidRPr="0076464C">
        <w:rPr>
          <w:b/>
          <w:bCs/>
          <w:sz w:val="20"/>
          <w:szCs w:val="20"/>
        </w:rPr>
        <w:t>, 26,</w:t>
      </w:r>
      <w:r w:rsidR="009D32B4" w:rsidRPr="0076464C">
        <w:rPr>
          <w:b/>
          <w:bCs/>
          <w:sz w:val="20"/>
          <w:szCs w:val="20"/>
        </w:rPr>
        <w:t xml:space="preserve">599 </w:t>
      </w:r>
      <w:r w:rsidRPr="0076464C">
        <w:rPr>
          <w:b/>
          <w:bCs/>
          <w:sz w:val="20"/>
          <w:szCs w:val="20"/>
        </w:rPr>
        <w:t xml:space="preserve">stations had been accredited with a total generating capacity of </w:t>
      </w:r>
      <w:r w:rsidRPr="0076464C">
        <w:rPr>
          <w:b/>
          <w:bCs/>
          <w:color w:val="000000" w:themeColor="text1"/>
          <w:sz w:val="20"/>
          <w:szCs w:val="20"/>
        </w:rPr>
        <w:t>35.4</w:t>
      </w:r>
      <w:r w:rsidR="00032947">
        <w:rPr>
          <w:b/>
          <w:bCs/>
          <w:color w:val="000000" w:themeColor="text1"/>
          <w:sz w:val="20"/>
          <w:szCs w:val="20"/>
        </w:rPr>
        <w:t xml:space="preserve"> </w:t>
      </w:r>
      <w:r w:rsidRPr="0076464C">
        <w:rPr>
          <w:b/>
          <w:bCs/>
          <w:color w:val="000000" w:themeColor="text1"/>
          <w:sz w:val="20"/>
          <w:szCs w:val="20"/>
        </w:rPr>
        <w:t>GW</w:t>
      </w:r>
      <w:r w:rsidRPr="0076464C">
        <w:rPr>
          <w:b/>
          <w:bCs/>
          <w:sz w:val="20"/>
          <w:szCs w:val="20"/>
        </w:rPr>
        <w:t xml:space="preserve">. This is an increase of </w:t>
      </w:r>
      <w:r w:rsidR="009D32B4" w:rsidRPr="0076464C">
        <w:rPr>
          <w:b/>
          <w:bCs/>
          <w:color w:val="000000" w:themeColor="text1"/>
          <w:sz w:val="20"/>
          <w:szCs w:val="20"/>
        </w:rPr>
        <w:t>17</w:t>
      </w:r>
      <w:r w:rsidRPr="0076464C">
        <w:rPr>
          <w:b/>
          <w:bCs/>
          <w:color w:val="FF0000"/>
          <w:sz w:val="20"/>
          <w:szCs w:val="20"/>
        </w:rPr>
        <w:t xml:space="preserve"> </w:t>
      </w:r>
      <w:r w:rsidRPr="0076464C">
        <w:rPr>
          <w:b/>
          <w:bCs/>
          <w:color w:val="000000" w:themeColor="text1"/>
          <w:sz w:val="20"/>
          <w:szCs w:val="20"/>
        </w:rPr>
        <w:t xml:space="preserve">stations and </w:t>
      </w:r>
      <w:r w:rsidR="009D32B4" w:rsidRPr="0076464C">
        <w:rPr>
          <w:b/>
          <w:bCs/>
          <w:color w:val="000000" w:themeColor="text1"/>
          <w:sz w:val="20"/>
          <w:szCs w:val="20"/>
        </w:rPr>
        <w:t>a decrease</w:t>
      </w:r>
      <w:r w:rsidR="00911AD5">
        <w:rPr>
          <w:b/>
          <w:bCs/>
          <w:color w:val="000000" w:themeColor="text1"/>
          <w:sz w:val="20"/>
          <w:szCs w:val="20"/>
        </w:rPr>
        <w:t xml:space="preserve"> in total capacity</w:t>
      </w:r>
      <w:r w:rsidR="009D32B4" w:rsidRPr="0076464C">
        <w:rPr>
          <w:b/>
          <w:bCs/>
          <w:color w:val="000000" w:themeColor="text1"/>
          <w:sz w:val="20"/>
          <w:szCs w:val="20"/>
        </w:rPr>
        <w:t xml:space="preserve"> of </w:t>
      </w:r>
      <w:r w:rsidRPr="0076464C">
        <w:rPr>
          <w:b/>
          <w:bCs/>
          <w:color w:val="000000" w:themeColor="text1"/>
          <w:sz w:val="20"/>
          <w:szCs w:val="20"/>
        </w:rPr>
        <w:t>4</w:t>
      </w:r>
      <w:r w:rsidR="009A0340">
        <w:rPr>
          <w:b/>
          <w:bCs/>
          <w:color w:val="000000" w:themeColor="text1"/>
          <w:sz w:val="20"/>
          <w:szCs w:val="20"/>
        </w:rPr>
        <w:t>3.2</w:t>
      </w:r>
      <w:r w:rsidR="00032947">
        <w:rPr>
          <w:b/>
          <w:bCs/>
          <w:color w:val="000000" w:themeColor="text1"/>
          <w:sz w:val="20"/>
          <w:szCs w:val="20"/>
        </w:rPr>
        <w:t xml:space="preserve"> </w:t>
      </w:r>
      <w:r w:rsidRPr="0076464C">
        <w:rPr>
          <w:b/>
          <w:bCs/>
          <w:color w:val="000000" w:themeColor="text1"/>
          <w:sz w:val="20"/>
          <w:szCs w:val="20"/>
        </w:rPr>
        <w:t>MW</w:t>
      </w:r>
      <w:r w:rsidRPr="0076464C">
        <w:rPr>
          <w:b/>
          <w:bCs/>
          <w:color w:val="FF0000"/>
          <w:sz w:val="20"/>
          <w:szCs w:val="20"/>
        </w:rPr>
        <w:t xml:space="preserve"> </w:t>
      </w:r>
      <w:r w:rsidRPr="0076464C">
        <w:rPr>
          <w:b/>
          <w:bCs/>
          <w:sz w:val="20"/>
          <w:szCs w:val="20"/>
        </w:rPr>
        <w:t>from the figures reported in the 201</w:t>
      </w:r>
      <w:r w:rsidR="009D32B4" w:rsidRPr="0076464C">
        <w:rPr>
          <w:b/>
          <w:bCs/>
          <w:sz w:val="20"/>
          <w:szCs w:val="20"/>
        </w:rPr>
        <w:t>9</w:t>
      </w:r>
      <w:r w:rsidRPr="0076464C">
        <w:rPr>
          <w:b/>
          <w:bCs/>
          <w:sz w:val="20"/>
          <w:szCs w:val="20"/>
        </w:rPr>
        <w:t>-</w:t>
      </w:r>
      <w:r w:rsidR="009D32B4" w:rsidRPr="0076464C">
        <w:rPr>
          <w:b/>
          <w:bCs/>
          <w:sz w:val="20"/>
          <w:szCs w:val="20"/>
        </w:rPr>
        <w:t>20</w:t>
      </w:r>
      <w:r w:rsidRPr="0076464C">
        <w:rPr>
          <w:b/>
          <w:bCs/>
          <w:sz w:val="20"/>
          <w:szCs w:val="20"/>
        </w:rPr>
        <w:t xml:space="preserve"> annual report.</w:t>
      </w:r>
      <w:r w:rsidR="004D1427">
        <w:rPr>
          <w:b/>
          <w:bCs/>
          <w:sz w:val="20"/>
          <w:szCs w:val="20"/>
        </w:rPr>
        <w:t xml:space="preserve"> </w:t>
      </w:r>
      <w:r w:rsidR="004D1427" w:rsidRPr="004D1427">
        <w:rPr>
          <w:b/>
          <w:bCs/>
          <w:sz w:val="20"/>
          <w:szCs w:val="20"/>
        </w:rPr>
        <w:t>These figures are the net change in stations accredited and installed capacity. As well as stations being approved onto the scheme, the figures are affected by stations withdrawing from the scheme or the capacity of a station changing.</w:t>
      </w:r>
    </w:p>
    <w:p w14:paraId="6B5462E9" w14:textId="48B612DB" w:rsidR="002D4B6C" w:rsidRPr="003B35B0" w:rsidRDefault="002D4B6C" w:rsidP="003B35B0">
      <w:pPr>
        <w:pStyle w:val="Heading2"/>
        <w:rPr>
          <w:rStyle w:val="Heading1Char"/>
          <w:b/>
          <w:bCs w:val="0"/>
          <w:sz w:val="28"/>
          <w:szCs w:val="26"/>
        </w:rPr>
      </w:pPr>
      <w:bookmarkStart w:id="406" w:name="_Toc98852173"/>
      <w:r w:rsidRPr="003B35B0">
        <w:rPr>
          <w:rStyle w:val="Heading1Char"/>
          <w:b/>
          <w:bCs w:val="0"/>
          <w:sz w:val="28"/>
          <w:szCs w:val="26"/>
        </w:rPr>
        <w:t>Data assumptions</w:t>
      </w:r>
      <w:bookmarkEnd w:id="406"/>
    </w:p>
    <w:p w14:paraId="2D25B299" w14:textId="7D30D110" w:rsidR="00F74C0A" w:rsidRDefault="009607A8" w:rsidP="003B35B0">
      <w:pPr>
        <w:pStyle w:val="ListParagraph"/>
        <w:numPr>
          <w:ilvl w:val="0"/>
          <w:numId w:val="6"/>
        </w:numPr>
        <w:spacing w:after="240"/>
        <w:ind w:left="567" w:hanging="567"/>
        <w:rPr>
          <w:color w:val="000000" w:themeColor="text1"/>
        </w:rPr>
      </w:pPr>
      <w:r w:rsidRPr="00F74C0A">
        <w:rPr>
          <w:color w:val="000000" w:themeColor="text1"/>
        </w:rPr>
        <w:t xml:space="preserve">We make a number of general </w:t>
      </w:r>
      <w:r w:rsidRPr="003B35B0">
        <w:rPr>
          <w:rStyle w:val="CH6normalChar"/>
        </w:rPr>
        <w:t>assumptions on the data used within this section of the report. These</w:t>
      </w:r>
      <w:r w:rsidR="00071AD7">
        <w:rPr>
          <w:rStyle w:val="CH6normalChar"/>
        </w:rPr>
        <w:t xml:space="preserve"> assumptions, which</w:t>
      </w:r>
      <w:r w:rsidRPr="003B35B0">
        <w:rPr>
          <w:rStyle w:val="CH6normalChar"/>
        </w:rPr>
        <w:t xml:space="preserve"> are the same assumptions</w:t>
      </w:r>
      <w:r w:rsidRPr="00F74C0A">
        <w:rPr>
          <w:color w:val="000000" w:themeColor="text1"/>
        </w:rPr>
        <w:t xml:space="preserve"> applied since the 2014-15 RO Annual Report</w:t>
      </w:r>
      <w:r w:rsidR="00071AD7">
        <w:rPr>
          <w:color w:val="000000" w:themeColor="text1"/>
        </w:rPr>
        <w:t>, are as follows:</w:t>
      </w:r>
      <w:r w:rsidRPr="00F74C0A">
        <w:rPr>
          <w:color w:val="000000" w:themeColor="text1"/>
        </w:rPr>
        <w:t xml:space="preserve"> </w:t>
      </w:r>
    </w:p>
    <w:p w14:paraId="162FCBF0" w14:textId="77777777" w:rsidR="00F74C0A" w:rsidRDefault="009607A8" w:rsidP="003B35B0">
      <w:pPr>
        <w:pStyle w:val="ListParagraph"/>
        <w:numPr>
          <w:ilvl w:val="1"/>
          <w:numId w:val="6"/>
        </w:numPr>
        <w:spacing w:after="0"/>
        <w:ind w:left="1276" w:hanging="425"/>
        <w:rPr>
          <w:color w:val="000000" w:themeColor="text1"/>
        </w:rPr>
      </w:pPr>
      <w:r w:rsidRPr="009607A8">
        <w:rPr>
          <w:color w:val="000000" w:themeColor="text1"/>
        </w:rPr>
        <w:t xml:space="preserve">When we refer to a station’s accreditation date, we mean the date that the station’s accreditation became effective regardless of when we processed the application. </w:t>
      </w:r>
    </w:p>
    <w:p w14:paraId="2AC432F8" w14:textId="194F6704" w:rsidR="009607A8" w:rsidRPr="009607A8" w:rsidRDefault="009607A8" w:rsidP="003B35B0">
      <w:pPr>
        <w:pStyle w:val="ListParagraph"/>
        <w:numPr>
          <w:ilvl w:val="1"/>
          <w:numId w:val="6"/>
        </w:numPr>
        <w:spacing w:after="0"/>
        <w:ind w:left="1276" w:hanging="425"/>
        <w:rPr>
          <w:color w:val="000000" w:themeColor="text1"/>
        </w:rPr>
      </w:pPr>
      <w:r w:rsidRPr="009607A8">
        <w:rPr>
          <w:color w:val="000000" w:themeColor="text1"/>
        </w:rPr>
        <w:t xml:space="preserve">We only include data on generating stations that have received full accreditation. We have not included any information on stations with preliminary accreditation, nor those that have had their accreditation withdrawn so the data are subject to change year on year. </w:t>
      </w:r>
    </w:p>
    <w:p w14:paraId="43E41E0C" w14:textId="77777777" w:rsidR="009607A8" w:rsidRPr="009607A8" w:rsidRDefault="009607A8" w:rsidP="003B35B0">
      <w:pPr>
        <w:numPr>
          <w:ilvl w:val="1"/>
          <w:numId w:val="6"/>
        </w:numPr>
        <w:spacing w:after="0"/>
        <w:ind w:left="1276" w:hanging="425"/>
        <w:rPr>
          <w:color w:val="000000" w:themeColor="text1"/>
        </w:rPr>
      </w:pPr>
      <w:r w:rsidRPr="009607A8">
        <w:rPr>
          <w:color w:val="000000" w:themeColor="text1"/>
        </w:rPr>
        <w:t xml:space="preserve">References to “fuelled” generating stations relate to stations generating electricity from eligible biomass, bioliquids, biogas, energy crops or waste, but do not include landfill gas and sewage gas only stations. </w:t>
      </w:r>
    </w:p>
    <w:p w14:paraId="216196EA" w14:textId="77777777" w:rsidR="009607A8" w:rsidRPr="009607A8" w:rsidRDefault="009607A8" w:rsidP="003B35B0">
      <w:pPr>
        <w:numPr>
          <w:ilvl w:val="1"/>
          <w:numId w:val="6"/>
        </w:numPr>
        <w:spacing w:after="0"/>
        <w:ind w:left="1276" w:hanging="425"/>
        <w:rPr>
          <w:b/>
          <w:bCs/>
          <w:color w:val="000000" w:themeColor="text1"/>
        </w:rPr>
      </w:pPr>
      <w:r w:rsidRPr="009607A8">
        <w:rPr>
          <w:color w:val="000000" w:themeColor="text1"/>
        </w:rPr>
        <w:t>The capacities we quote are Declared Net Capacity (DNC),</w:t>
      </w:r>
      <w:r w:rsidRPr="009607A8">
        <w:rPr>
          <w:color w:val="000000" w:themeColor="text1"/>
          <w:vertAlign w:val="superscript"/>
        </w:rPr>
        <w:footnoteReference w:id="91"/>
      </w:r>
      <w:r w:rsidRPr="009607A8">
        <w:rPr>
          <w:color w:val="000000" w:themeColor="text1"/>
          <w:vertAlign w:val="superscript"/>
        </w:rPr>
        <w:t xml:space="preserve"> </w:t>
      </w:r>
      <w:r w:rsidRPr="009607A8">
        <w:rPr>
          <w:color w:val="000000" w:themeColor="text1"/>
        </w:rPr>
        <w:t>rather than Total Installed Capacity (TIC),</w:t>
      </w:r>
      <w:r w:rsidRPr="009607A8">
        <w:rPr>
          <w:color w:val="000000" w:themeColor="text1"/>
          <w:vertAlign w:val="superscript"/>
        </w:rPr>
        <w:footnoteReference w:id="92"/>
      </w:r>
      <w:r w:rsidRPr="009607A8">
        <w:rPr>
          <w:color w:val="000000" w:themeColor="text1"/>
        </w:rPr>
        <w:t xml:space="preserve"> values unless specified otherwise. The main exception </w:t>
      </w:r>
      <w:r w:rsidRPr="009607A8">
        <w:rPr>
          <w:color w:val="000000" w:themeColor="text1"/>
        </w:rPr>
        <w:lastRenderedPageBreak/>
        <w:t>to this is fuelled generating stations that burn renewable fuel alongside fossil fuel (we term these co-firing stations).</w:t>
      </w:r>
    </w:p>
    <w:p w14:paraId="37E75FB5" w14:textId="54D160F3" w:rsidR="009607A8" w:rsidRDefault="009607A8" w:rsidP="003B35B0">
      <w:pPr>
        <w:numPr>
          <w:ilvl w:val="1"/>
          <w:numId w:val="6"/>
        </w:numPr>
        <w:spacing w:after="240"/>
        <w:ind w:left="1276" w:hanging="425"/>
        <w:rPr>
          <w:bCs/>
          <w:color w:val="000000" w:themeColor="text1"/>
        </w:rPr>
      </w:pPr>
      <w:r w:rsidRPr="009607A8">
        <w:rPr>
          <w:bCs/>
          <w:color w:val="000000" w:themeColor="text1"/>
        </w:rPr>
        <w:t xml:space="preserve">To determine the capacity of a fuelled station we </w:t>
      </w:r>
      <w:r w:rsidR="00433CC5">
        <w:rPr>
          <w:bCs/>
          <w:color w:val="000000" w:themeColor="text1"/>
        </w:rPr>
        <w:t>estimate</w:t>
      </w:r>
      <w:r w:rsidRPr="009607A8">
        <w:rPr>
          <w:bCs/>
          <w:color w:val="000000" w:themeColor="text1"/>
        </w:rPr>
        <w:t xml:space="preserve"> the renewable proportion of the electricity generated</w:t>
      </w:r>
      <w:r w:rsidR="00433CC5">
        <w:rPr>
          <w:bCs/>
          <w:color w:val="000000" w:themeColor="text1"/>
        </w:rPr>
        <w:t>,</w:t>
      </w:r>
      <w:r w:rsidRPr="009607A8">
        <w:rPr>
          <w:bCs/>
          <w:color w:val="000000" w:themeColor="text1"/>
        </w:rPr>
        <w:t xml:space="preserve"> </w:t>
      </w:r>
      <w:r w:rsidR="00433CC5">
        <w:rPr>
          <w:bCs/>
          <w:color w:val="000000" w:themeColor="text1"/>
        </w:rPr>
        <w:t>based</w:t>
      </w:r>
      <w:r w:rsidRPr="009607A8">
        <w:rPr>
          <w:bCs/>
          <w:color w:val="000000" w:themeColor="text1"/>
        </w:rPr>
        <w:t xml:space="preserve"> on </w:t>
      </w:r>
      <w:r w:rsidR="005A446B">
        <w:rPr>
          <w:bCs/>
          <w:color w:val="000000" w:themeColor="text1"/>
        </w:rPr>
        <w:t>an average calculated from historical data.</w:t>
      </w:r>
      <w:r w:rsidR="00433CC5">
        <w:rPr>
          <w:bCs/>
          <w:color w:val="000000" w:themeColor="text1"/>
        </w:rPr>
        <w:t xml:space="preserve"> </w:t>
      </w:r>
    </w:p>
    <w:p w14:paraId="0EE88F50" w14:textId="6DE707F6" w:rsidR="001F73E7" w:rsidRPr="003B35B0" w:rsidRDefault="001F73E7" w:rsidP="003B35B0">
      <w:pPr>
        <w:pStyle w:val="Heading2"/>
      </w:pPr>
      <w:bookmarkStart w:id="407" w:name="_Toc98852174"/>
      <w:r w:rsidRPr="003B35B0">
        <w:rPr>
          <w:rStyle w:val="Heading1Char"/>
          <w:b/>
          <w:bCs w:val="0"/>
          <w:sz w:val="28"/>
          <w:szCs w:val="26"/>
        </w:rPr>
        <w:t>Micro generation</w:t>
      </w:r>
      <w:bookmarkEnd w:id="407"/>
    </w:p>
    <w:p w14:paraId="1078C8D0" w14:textId="22CC858A" w:rsidR="001F73E7" w:rsidRPr="001F73E7" w:rsidRDefault="001F73E7" w:rsidP="003B35B0">
      <w:pPr>
        <w:pStyle w:val="CH6normal"/>
        <w:ind w:left="567" w:hanging="567"/>
      </w:pPr>
      <w:r>
        <w:t xml:space="preserve">From 1 April 2010, with the introduction of the Feed–in Tariffs (FIT) scheme in GB, all wind, solar PV, </w:t>
      </w:r>
      <w:proofErr w:type="gramStart"/>
      <w:r>
        <w:t>hydro</w:t>
      </w:r>
      <w:proofErr w:type="gramEnd"/>
      <w:r>
        <w:t xml:space="preserve"> and anaerobic digestion (AD) stations with a DNC of 50</w:t>
      </w:r>
      <w:r w:rsidR="00032947">
        <w:t xml:space="preserve"> </w:t>
      </w:r>
      <w:r>
        <w:t>kW or less (micro generators) became ineligible for the RO. Since no FIT scheme exists in NI, micro generators were still able for apply for accreditation under the NIRO</w:t>
      </w:r>
      <w:r w:rsidR="00C149BE">
        <w:t xml:space="preserve"> -</w:t>
      </w:r>
      <w:r>
        <w:t xml:space="preserve"> </w:t>
      </w:r>
      <w:r w:rsidR="00FC4B0F">
        <w:t>most</w:t>
      </w:r>
      <w:r>
        <w:t xml:space="preserve"> accreditations granted on the RO have been for such stations. </w:t>
      </w:r>
      <w:r w:rsidRPr="001F73E7">
        <w:t xml:space="preserve">Given this, when reporting on the number and type of stations accredited, we have separated out the </w:t>
      </w:r>
      <w:r w:rsidR="00FC4B0F" w:rsidRPr="001F73E7">
        <w:t>micro-NIRO</w:t>
      </w:r>
      <w:r w:rsidRPr="001F73E7">
        <w:t xml:space="preserve"> stations from some of the information in this chapter.</w:t>
      </w:r>
    </w:p>
    <w:p w14:paraId="588B33F5" w14:textId="61AB3252" w:rsidR="001F73E7" w:rsidRPr="003B35B0" w:rsidRDefault="00AD1D9B" w:rsidP="003B35B0">
      <w:pPr>
        <w:pStyle w:val="Heading2"/>
      </w:pPr>
      <w:bookmarkStart w:id="408" w:name="_Toc98852175"/>
      <w:r w:rsidRPr="003B35B0">
        <w:rPr>
          <w:rStyle w:val="Heading1Char"/>
          <w:b/>
          <w:bCs w:val="0"/>
          <w:sz w:val="28"/>
          <w:szCs w:val="26"/>
        </w:rPr>
        <w:t>Accredited generators</w:t>
      </w:r>
      <w:bookmarkEnd w:id="408"/>
    </w:p>
    <w:p w14:paraId="59ECAEEF" w14:textId="1B2BCFAF" w:rsidR="007E58E9" w:rsidRPr="007E58E9" w:rsidRDefault="00386F5A" w:rsidP="003B35B0">
      <w:pPr>
        <w:pStyle w:val="CH6normal"/>
        <w:ind w:left="567" w:hanging="567"/>
        <w:rPr>
          <w:bCs/>
        </w:rPr>
      </w:pPr>
      <w:r>
        <w:t>T</w:t>
      </w:r>
      <w:r w:rsidR="001F73E7" w:rsidRPr="0076464C">
        <w:t>here were 26,5</w:t>
      </w:r>
      <w:r w:rsidR="009D32B4" w:rsidRPr="0076464C">
        <w:t>99</w:t>
      </w:r>
      <w:r w:rsidR="001F73E7" w:rsidRPr="0076464C">
        <w:t xml:space="preserve"> stations </w:t>
      </w:r>
      <w:r w:rsidR="00912A35">
        <w:t>with a combined capacity of 35.4</w:t>
      </w:r>
      <w:r w:rsidR="00032947">
        <w:t xml:space="preserve"> </w:t>
      </w:r>
      <w:r w:rsidR="00912A35">
        <w:t xml:space="preserve">GW </w:t>
      </w:r>
      <w:r w:rsidR="001F73E7" w:rsidRPr="0076464C">
        <w:t>accredited under the RO when data was extracted from the Renewables &amp; CHP Register on 2</w:t>
      </w:r>
      <w:r w:rsidR="00944040">
        <w:t>8</w:t>
      </w:r>
      <w:r w:rsidR="001F73E7" w:rsidRPr="0076464C">
        <w:t xml:space="preserve"> October 202</w:t>
      </w:r>
      <w:r w:rsidR="009D32B4" w:rsidRPr="0076464C">
        <w:t>1</w:t>
      </w:r>
      <w:r w:rsidR="001F73E7" w:rsidRPr="0076464C">
        <w:t xml:space="preserve">. </w:t>
      </w:r>
      <w:r w:rsidRPr="003B35B0">
        <w:rPr>
          <w:b/>
          <w:bCs/>
        </w:rPr>
        <w:t>Table 6.1</w:t>
      </w:r>
      <w:r>
        <w:t xml:space="preserve"> provides a detailed breakdown of these stations by technology type and country. </w:t>
      </w:r>
      <w:r w:rsidRPr="003B35B0">
        <w:rPr>
          <w:b/>
          <w:bCs/>
        </w:rPr>
        <w:t>Figure 6.1</w:t>
      </w:r>
      <w:r>
        <w:t xml:space="preserve"> gives a visual overview of the technology types with the most capacity</w:t>
      </w:r>
      <w:r w:rsidR="00357C9E">
        <w:t xml:space="preserve"> </w:t>
      </w:r>
      <w:r>
        <w:t>installed in each country.</w:t>
      </w:r>
    </w:p>
    <w:p w14:paraId="10CC493C" w14:textId="00E602FA" w:rsidR="00A61EF7" w:rsidRDefault="00A61EF7" w:rsidP="00A61EF7">
      <w:pPr>
        <w:numPr>
          <w:ilvl w:val="1"/>
          <w:numId w:val="0"/>
        </w:numPr>
        <w:spacing w:before="240" w:after="240"/>
        <w:rPr>
          <w:b/>
        </w:rPr>
      </w:pPr>
      <w:r w:rsidRPr="0076464C">
        <w:rPr>
          <w:b/>
        </w:rPr>
        <w:t>Table 6.1: Accredited stations and capacity</w:t>
      </w:r>
      <w:r w:rsidR="006B5859">
        <w:rPr>
          <w:b/>
        </w:rPr>
        <w:t xml:space="preserve"> </w:t>
      </w:r>
      <w:r w:rsidRPr="0076464C">
        <w:rPr>
          <w:b/>
        </w:rPr>
        <w:t>by country and technology</w:t>
      </w:r>
    </w:p>
    <w:tbl>
      <w:tblPr>
        <w:tblW w:w="11163" w:type="dxa"/>
        <w:tblInd w:w="-572" w:type="dxa"/>
        <w:tblLayout w:type="fixed"/>
        <w:tblLook w:val="04A0" w:firstRow="1" w:lastRow="0" w:firstColumn="1" w:lastColumn="0" w:noHBand="0" w:noVBand="1"/>
      </w:tblPr>
      <w:tblGrid>
        <w:gridCol w:w="1244"/>
        <w:gridCol w:w="1020"/>
        <w:gridCol w:w="992"/>
        <w:gridCol w:w="1020"/>
        <w:gridCol w:w="993"/>
        <w:gridCol w:w="1020"/>
        <w:gridCol w:w="992"/>
        <w:gridCol w:w="1020"/>
        <w:gridCol w:w="992"/>
        <w:gridCol w:w="1020"/>
        <w:gridCol w:w="850"/>
      </w:tblGrid>
      <w:tr w:rsidR="006B5859" w:rsidRPr="00D71210" w14:paraId="093E7E66" w14:textId="77777777" w:rsidTr="006836C5">
        <w:trPr>
          <w:trHeight w:val="522"/>
        </w:trPr>
        <w:tc>
          <w:tcPr>
            <w:tcW w:w="1244" w:type="dxa"/>
            <w:tcBorders>
              <w:top w:val="single" w:sz="4" w:space="0" w:color="auto"/>
              <w:left w:val="single" w:sz="4" w:space="0" w:color="auto"/>
              <w:bottom w:val="single" w:sz="4" w:space="0" w:color="auto"/>
              <w:right w:val="single" w:sz="4" w:space="0" w:color="auto"/>
            </w:tcBorders>
            <w:shd w:val="clear" w:color="000000" w:fill="2363AF"/>
            <w:vAlign w:val="center"/>
            <w:hideMark/>
          </w:tcPr>
          <w:p w14:paraId="0E233F0F" w14:textId="77777777" w:rsidR="00D71210" w:rsidRPr="003B35B0" w:rsidRDefault="00D71210" w:rsidP="00D71210">
            <w:pPr>
              <w:spacing w:after="0" w:line="240" w:lineRule="auto"/>
              <w:rPr>
                <w:rFonts w:eastAsia="Times New Roman" w:cs="Calibri"/>
                <w:color w:val="FFFFFF"/>
                <w:sz w:val="16"/>
                <w:szCs w:val="16"/>
              </w:rPr>
            </w:pPr>
            <w:r w:rsidRPr="003B35B0">
              <w:rPr>
                <w:rFonts w:eastAsia="Times New Roman" w:cs="Calibri"/>
                <w:color w:val="FFFFFF"/>
                <w:sz w:val="16"/>
                <w:szCs w:val="16"/>
              </w:rPr>
              <w:t>Technology type</w:t>
            </w:r>
          </w:p>
        </w:tc>
        <w:tc>
          <w:tcPr>
            <w:tcW w:w="1020" w:type="dxa"/>
            <w:tcBorders>
              <w:top w:val="single" w:sz="4" w:space="0" w:color="auto"/>
              <w:left w:val="nil"/>
              <w:bottom w:val="single" w:sz="4" w:space="0" w:color="auto"/>
              <w:right w:val="single" w:sz="4" w:space="0" w:color="auto"/>
            </w:tcBorders>
            <w:shd w:val="clear" w:color="000000" w:fill="2363AF"/>
            <w:vAlign w:val="center"/>
            <w:hideMark/>
          </w:tcPr>
          <w:p w14:paraId="031506B4"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England</w:t>
            </w:r>
          </w:p>
          <w:p w14:paraId="7936E715" w14:textId="4D2CA7D0" w:rsidR="00D71210"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(Stations)</w:t>
            </w:r>
          </w:p>
        </w:tc>
        <w:tc>
          <w:tcPr>
            <w:tcW w:w="992" w:type="dxa"/>
            <w:tcBorders>
              <w:top w:val="single" w:sz="4" w:space="0" w:color="auto"/>
              <w:left w:val="nil"/>
              <w:bottom w:val="single" w:sz="4" w:space="0" w:color="auto"/>
              <w:right w:val="single" w:sz="4" w:space="0" w:color="auto"/>
            </w:tcBorders>
            <w:shd w:val="clear" w:color="000000" w:fill="2363AF"/>
            <w:vAlign w:val="center"/>
            <w:hideMark/>
          </w:tcPr>
          <w:p w14:paraId="628FD0BB"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England</w:t>
            </w:r>
          </w:p>
          <w:p w14:paraId="4A4BF927" w14:textId="2DE4120E" w:rsidR="00D71210"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w:t>
            </w:r>
            <w:r>
              <w:rPr>
                <w:rFonts w:eastAsia="Times New Roman" w:cs="Calibri"/>
                <w:color w:val="FFFFFF"/>
                <w:sz w:val="16"/>
                <w:szCs w:val="16"/>
              </w:rPr>
              <w:t>MW</w:t>
            </w:r>
            <w:r w:rsidRPr="003B35B0">
              <w:rPr>
                <w:rFonts w:eastAsia="Times New Roman" w:cs="Calibri"/>
                <w:color w:val="FFFFFF"/>
                <w:sz w:val="16"/>
                <w:szCs w:val="16"/>
              </w:rPr>
              <w:t>)</w:t>
            </w:r>
          </w:p>
        </w:tc>
        <w:tc>
          <w:tcPr>
            <w:tcW w:w="1020" w:type="dxa"/>
            <w:tcBorders>
              <w:top w:val="single" w:sz="4" w:space="0" w:color="auto"/>
              <w:left w:val="nil"/>
              <w:bottom w:val="single" w:sz="4" w:space="0" w:color="auto"/>
              <w:right w:val="single" w:sz="4" w:space="0" w:color="auto"/>
            </w:tcBorders>
            <w:shd w:val="clear" w:color="000000" w:fill="2363AF"/>
            <w:vAlign w:val="center"/>
            <w:hideMark/>
          </w:tcPr>
          <w:p w14:paraId="763B5127"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Scotland</w:t>
            </w:r>
          </w:p>
          <w:p w14:paraId="5FA235FE" w14:textId="21955E82"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(Stations)</w:t>
            </w:r>
          </w:p>
        </w:tc>
        <w:tc>
          <w:tcPr>
            <w:tcW w:w="993" w:type="dxa"/>
            <w:tcBorders>
              <w:top w:val="single" w:sz="4" w:space="0" w:color="auto"/>
              <w:left w:val="nil"/>
              <w:bottom w:val="single" w:sz="4" w:space="0" w:color="auto"/>
              <w:right w:val="single" w:sz="4" w:space="0" w:color="auto"/>
            </w:tcBorders>
            <w:shd w:val="clear" w:color="000000" w:fill="2363AF"/>
            <w:vAlign w:val="center"/>
            <w:hideMark/>
          </w:tcPr>
          <w:p w14:paraId="425F51DE"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Scotland</w:t>
            </w:r>
          </w:p>
          <w:p w14:paraId="6CFE2F88" w14:textId="2001A1FC"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w:t>
            </w:r>
            <w:r>
              <w:rPr>
                <w:rFonts w:eastAsia="Times New Roman" w:cs="Calibri"/>
                <w:color w:val="FFFFFF"/>
                <w:sz w:val="16"/>
                <w:szCs w:val="16"/>
              </w:rPr>
              <w:t>MW</w:t>
            </w:r>
            <w:r w:rsidRPr="00AC736C">
              <w:rPr>
                <w:rFonts w:eastAsia="Times New Roman" w:cs="Calibri"/>
                <w:color w:val="FFFFFF"/>
                <w:sz w:val="16"/>
                <w:szCs w:val="16"/>
              </w:rPr>
              <w:t>)</w:t>
            </w:r>
          </w:p>
        </w:tc>
        <w:tc>
          <w:tcPr>
            <w:tcW w:w="1020" w:type="dxa"/>
            <w:tcBorders>
              <w:top w:val="single" w:sz="4" w:space="0" w:color="auto"/>
              <w:left w:val="nil"/>
              <w:bottom w:val="single" w:sz="4" w:space="0" w:color="auto"/>
              <w:right w:val="single" w:sz="4" w:space="0" w:color="auto"/>
            </w:tcBorders>
            <w:shd w:val="clear" w:color="000000" w:fill="2363AF"/>
            <w:vAlign w:val="center"/>
            <w:hideMark/>
          </w:tcPr>
          <w:p w14:paraId="7CD1043E"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Wales</w:t>
            </w:r>
          </w:p>
          <w:p w14:paraId="6E726193" w14:textId="79AFF73E"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(Stations)</w:t>
            </w:r>
          </w:p>
        </w:tc>
        <w:tc>
          <w:tcPr>
            <w:tcW w:w="992" w:type="dxa"/>
            <w:tcBorders>
              <w:top w:val="single" w:sz="4" w:space="0" w:color="auto"/>
              <w:left w:val="nil"/>
              <w:bottom w:val="single" w:sz="4" w:space="0" w:color="auto"/>
              <w:right w:val="single" w:sz="4" w:space="0" w:color="auto"/>
            </w:tcBorders>
            <w:shd w:val="clear" w:color="000000" w:fill="2363AF"/>
            <w:vAlign w:val="center"/>
            <w:hideMark/>
          </w:tcPr>
          <w:p w14:paraId="4112A9F0"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Wales</w:t>
            </w:r>
          </w:p>
          <w:p w14:paraId="35163745" w14:textId="7C715CF4"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w:t>
            </w:r>
            <w:r>
              <w:rPr>
                <w:rFonts w:eastAsia="Times New Roman" w:cs="Calibri"/>
                <w:color w:val="FFFFFF"/>
                <w:sz w:val="16"/>
                <w:szCs w:val="16"/>
              </w:rPr>
              <w:t>MW</w:t>
            </w:r>
            <w:r w:rsidRPr="00AC736C">
              <w:rPr>
                <w:rFonts w:eastAsia="Times New Roman" w:cs="Calibri"/>
                <w:color w:val="FFFFFF"/>
                <w:sz w:val="16"/>
                <w:szCs w:val="16"/>
              </w:rPr>
              <w:t>)</w:t>
            </w:r>
          </w:p>
        </w:tc>
        <w:tc>
          <w:tcPr>
            <w:tcW w:w="1020" w:type="dxa"/>
            <w:tcBorders>
              <w:top w:val="single" w:sz="4" w:space="0" w:color="auto"/>
              <w:left w:val="nil"/>
              <w:bottom w:val="single" w:sz="4" w:space="0" w:color="auto"/>
              <w:right w:val="single" w:sz="4" w:space="0" w:color="auto"/>
            </w:tcBorders>
            <w:shd w:val="clear" w:color="000000" w:fill="2363AF"/>
            <w:vAlign w:val="center"/>
            <w:hideMark/>
          </w:tcPr>
          <w:p w14:paraId="5E0801F2"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Northern Ireland</w:t>
            </w:r>
          </w:p>
          <w:p w14:paraId="30531714" w14:textId="24080862"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(Stations)</w:t>
            </w:r>
          </w:p>
        </w:tc>
        <w:tc>
          <w:tcPr>
            <w:tcW w:w="992" w:type="dxa"/>
            <w:tcBorders>
              <w:top w:val="single" w:sz="4" w:space="0" w:color="auto"/>
              <w:left w:val="nil"/>
              <w:bottom w:val="single" w:sz="4" w:space="0" w:color="auto"/>
              <w:right w:val="single" w:sz="4" w:space="0" w:color="auto"/>
            </w:tcBorders>
            <w:shd w:val="clear" w:color="000000" w:fill="2363AF"/>
            <w:vAlign w:val="center"/>
            <w:hideMark/>
          </w:tcPr>
          <w:p w14:paraId="3279A3C6" w14:textId="715F26C1" w:rsidR="006B5859" w:rsidRPr="003B35B0" w:rsidRDefault="006B5859">
            <w:pPr>
              <w:spacing w:after="0" w:line="240" w:lineRule="auto"/>
              <w:jc w:val="right"/>
              <w:rPr>
                <w:rFonts w:eastAsia="Times New Roman" w:cs="Calibri"/>
                <w:color w:val="FFFFFF"/>
                <w:sz w:val="16"/>
                <w:szCs w:val="16"/>
              </w:rPr>
            </w:pPr>
            <w:r w:rsidRPr="003B35B0">
              <w:rPr>
                <w:rFonts w:eastAsia="Times New Roman" w:cs="Calibri"/>
                <w:color w:val="FFFFFF"/>
                <w:sz w:val="16"/>
                <w:szCs w:val="16"/>
              </w:rPr>
              <w:t>Northern Ireland</w:t>
            </w:r>
          </w:p>
          <w:p w14:paraId="7EA918E7" w14:textId="394C1D80"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w:t>
            </w:r>
            <w:r>
              <w:rPr>
                <w:rFonts w:eastAsia="Times New Roman" w:cs="Calibri"/>
                <w:color w:val="FFFFFF"/>
                <w:sz w:val="16"/>
                <w:szCs w:val="16"/>
              </w:rPr>
              <w:t>MW</w:t>
            </w:r>
            <w:r w:rsidRPr="00AC736C">
              <w:rPr>
                <w:rFonts w:eastAsia="Times New Roman" w:cs="Calibri"/>
                <w:color w:val="FFFFFF"/>
                <w:sz w:val="16"/>
                <w:szCs w:val="16"/>
              </w:rPr>
              <w:t>)</w:t>
            </w:r>
          </w:p>
        </w:tc>
        <w:tc>
          <w:tcPr>
            <w:tcW w:w="1020" w:type="dxa"/>
            <w:tcBorders>
              <w:top w:val="single" w:sz="4" w:space="0" w:color="auto"/>
              <w:left w:val="nil"/>
              <w:bottom w:val="single" w:sz="4" w:space="0" w:color="auto"/>
              <w:right w:val="single" w:sz="4" w:space="0" w:color="auto"/>
            </w:tcBorders>
            <w:shd w:val="clear" w:color="000000" w:fill="2363AF"/>
            <w:vAlign w:val="center"/>
            <w:hideMark/>
          </w:tcPr>
          <w:p w14:paraId="5710DCCA"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Total</w:t>
            </w:r>
          </w:p>
          <w:p w14:paraId="382D506D" w14:textId="381494F0"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(Stations)</w:t>
            </w:r>
          </w:p>
        </w:tc>
        <w:tc>
          <w:tcPr>
            <w:tcW w:w="850" w:type="dxa"/>
            <w:tcBorders>
              <w:top w:val="single" w:sz="4" w:space="0" w:color="auto"/>
              <w:left w:val="nil"/>
              <w:bottom w:val="single" w:sz="4" w:space="0" w:color="auto"/>
              <w:right w:val="single" w:sz="4" w:space="0" w:color="auto"/>
            </w:tcBorders>
            <w:shd w:val="clear" w:color="000000" w:fill="2363AF"/>
            <w:vAlign w:val="center"/>
            <w:hideMark/>
          </w:tcPr>
          <w:p w14:paraId="0E2D99A8" w14:textId="77777777" w:rsidR="006B5859" w:rsidRPr="003B35B0" w:rsidRDefault="006B5859"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Total</w:t>
            </w:r>
          </w:p>
          <w:p w14:paraId="3D733ED6" w14:textId="5D64BFEF" w:rsidR="00D71210" w:rsidRPr="003B35B0" w:rsidRDefault="006B5859" w:rsidP="00D71210">
            <w:pPr>
              <w:spacing w:after="0" w:line="240" w:lineRule="auto"/>
              <w:jc w:val="right"/>
              <w:rPr>
                <w:rFonts w:eastAsia="Times New Roman" w:cs="Calibri"/>
                <w:color w:val="FFFFFF"/>
                <w:sz w:val="16"/>
                <w:szCs w:val="16"/>
              </w:rPr>
            </w:pPr>
            <w:r w:rsidRPr="00AC736C">
              <w:rPr>
                <w:rFonts w:eastAsia="Times New Roman" w:cs="Calibri"/>
                <w:color w:val="FFFFFF"/>
                <w:sz w:val="16"/>
                <w:szCs w:val="16"/>
              </w:rPr>
              <w:t>(</w:t>
            </w:r>
            <w:r>
              <w:rPr>
                <w:rFonts w:eastAsia="Times New Roman" w:cs="Calibri"/>
                <w:color w:val="FFFFFF"/>
                <w:sz w:val="16"/>
                <w:szCs w:val="16"/>
              </w:rPr>
              <w:t>MW</w:t>
            </w:r>
            <w:r w:rsidRPr="00AC736C">
              <w:rPr>
                <w:rFonts w:eastAsia="Times New Roman" w:cs="Calibri"/>
                <w:color w:val="FFFFFF"/>
                <w:sz w:val="16"/>
                <w:szCs w:val="16"/>
              </w:rPr>
              <w:t>)</w:t>
            </w:r>
          </w:p>
        </w:tc>
      </w:tr>
      <w:tr w:rsidR="006B5859" w:rsidRPr="00D71210" w14:paraId="19A7A1A8"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3D83BCB0"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Onshore wind</w:t>
            </w:r>
          </w:p>
        </w:tc>
        <w:tc>
          <w:tcPr>
            <w:tcW w:w="1020" w:type="dxa"/>
            <w:tcBorders>
              <w:top w:val="nil"/>
              <w:left w:val="nil"/>
              <w:bottom w:val="single" w:sz="4" w:space="0" w:color="auto"/>
              <w:right w:val="single" w:sz="4" w:space="0" w:color="auto"/>
            </w:tcBorders>
            <w:shd w:val="clear" w:color="auto" w:fill="auto"/>
            <w:vAlign w:val="center"/>
            <w:hideMark/>
          </w:tcPr>
          <w:p w14:paraId="01EA772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238</w:t>
            </w:r>
          </w:p>
        </w:tc>
        <w:tc>
          <w:tcPr>
            <w:tcW w:w="992" w:type="dxa"/>
            <w:tcBorders>
              <w:top w:val="nil"/>
              <w:left w:val="nil"/>
              <w:bottom w:val="single" w:sz="4" w:space="0" w:color="auto"/>
              <w:right w:val="single" w:sz="4" w:space="0" w:color="auto"/>
            </w:tcBorders>
            <w:shd w:val="clear" w:color="auto" w:fill="auto"/>
            <w:vAlign w:val="center"/>
            <w:hideMark/>
          </w:tcPr>
          <w:p w14:paraId="1AEA6E3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2,595</w:t>
            </w:r>
          </w:p>
        </w:tc>
        <w:tc>
          <w:tcPr>
            <w:tcW w:w="1020" w:type="dxa"/>
            <w:tcBorders>
              <w:top w:val="nil"/>
              <w:left w:val="nil"/>
              <w:bottom w:val="single" w:sz="4" w:space="0" w:color="auto"/>
              <w:right w:val="single" w:sz="4" w:space="0" w:color="auto"/>
            </w:tcBorders>
            <w:shd w:val="clear" w:color="auto" w:fill="auto"/>
            <w:vAlign w:val="center"/>
            <w:hideMark/>
          </w:tcPr>
          <w:p w14:paraId="2E91D87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253</w:t>
            </w:r>
          </w:p>
        </w:tc>
        <w:tc>
          <w:tcPr>
            <w:tcW w:w="993" w:type="dxa"/>
            <w:tcBorders>
              <w:top w:val="nil"/>
              <w:left w:val="nil"/>
              <w:bottom w:val="single" w:sz="4" w:space="0" w:color="auto"/>
              <w:right w:val="single" w:sz="4" w:space="0" w:color="auto"/>
            </w:tcBorders>
            <w:shd w:val="clear" w:color="auto" w:fill="auto"/>
            <w:vAlign w:val="center"/>
            <w:hideMark/>
          </w:tcPr>
          <w:p w14:paraId="2C294FF4"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7,402</w:t>
            </w:r>
          </w:p>
        </w:tc>
        <w:tc>
          <w:tcPr>
            <w:tcW w:w="1020" w:type="dxa"/>
            <w:tcBorders>
              <w:top w:val="nil"/>
              <w:left w:val="nil"/>
              <w:bottom w:val="single" w:sz="4" w:space="0" w:color="auto"/>
              <w:right w:val="single" w:sz="4" w:space="0" w:color="auto"/>
            </w:tcBorders>
            <w:shd w:val="clear" w:color="auto" w:fill="auto"/>
            <w:vAlign w:val="center"/>
            <w:hideMark/>
          </w:tcPr>
          <w:p w14:paraId="47ED0281"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58</w:t>
            </w:r>
          </w:p>
        </w:tc>
        <w:tc>
          <w:tcPr>
            <w:tcW w:w="992" w:type="dxa"/>
            <w:tcBorders>
              <w:top w:val="nil"/>
              <w:left w:val="nil"/>
              <w:bottom w:val="single" w:sz="4" w:space="0" w:color="auto"/>
              <w:right w:val="single" w:sz="4" w:space="0" w:color="auto"/>
            </w:tcBorders>
            <w:shd w:val="clear" w:color="auto" w:fill="auto"/>
            <w:vAlign w:val="center"/>
            <w:hideMark/>
          </w:tcPr>
          <w:p w14:paraId="6A85F7E9"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977</w:t>
            </w:r>
          </w:p>
        </w:tc>
        <w:tc>
          <w:tcPr>
            <w:tcW w:w="1020" w:type="dxa"/>
            <w:tcBorders>
              <w:top w:val="nil"/>
              <w:left w:val="nil"/>
              <w:bottom w:val="single" w:sz="4" w:space="0" w:color="auto"/>
              <w:right w:val="single" w:sz="4" w:space="0" w:color="auto"/>
            </w:tcBorders>
            <w:shd w:val="clear" w:color="auto" w:fill="auto"/>
            <w:vAlign w:val="center"/>
            <w:hideMark/>
          </w:tcPr>
          <w:p w14:paraId="308498D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1,292</w:t>
            </w:r>
          </w:p>
        </w:tc>
        <w:tc>
          <w:tcPr>
            <w:tcW w:w="992" w:type="dxa"/>
            <w:tcBorders>
              <w:top w:val="nil"/>
              <w:left w:val="nil"/>
              <w:bottom w:val="single" w:sz="4" w:space="0" w:color="auto"/>
              <w:right w:val="single" w:sz="4" w:space="0" w:color="auto"/>
            </w:tcBorders>
            <w:shd w:val="clear" w:color="auto" w:fill="auto"/>
            <w:vAlign w:val="center"/>
            <w:hideMark/>
          </w:tcPr>
          <w:p w14:paraId="69E71E01"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1,246</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62770047"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1,841</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A527D9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12,220</w:t>
            </w:r>
          </w:p>
        </w:tc>
      </w:tr>
      <w:tr w:rsidR="006B5859" w:rsidRPr="00D71210" w14:paraId="1E525A9D"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4EF1612E"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Fuelled</w:t>
            </w:r>
          </w:p>
        </w:tc>
        <w:tc>
          <w:tcPr>
            <w:tcW w:w="1020" w:type="dxa"/>
            <w:tcBorders>
              <w:top w:val="nil"/>
              <w:left w:val="nil"/>
              <w:bottom w:val="single" w:sz="4" w:space="0" w:color="auto"/>
              <w:right w:val="single" w:sz="4" w:space="0" w:color="auto"/>
            </w:tcBorders>
            <w:shd w:val="clear" w:color="auto" w:fill="auto"/>
            <w:vAlign w:val="center"/>
            <w:hideMark/>
          </w:tcPr>
          <w:p w14:paraId="1D29EF9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404</w:t>
            </w:r>
          </w:p>
        </w:tc>
        <w:tc>
          <w:tcPr>
            <w:tcW w:w="992" w:type="dxa"/>
            <w:tcBorders>
              <w:top w:val="nil"/>
              <w:left w:val="nil"/>
              <w:bottom w:val="single" w:sz="4" w:space="0" w:color="auto"/>
              <w:right w:val="single" w:sz="4" w:space="0" w:color="auto"/>
            </w:tcBorders>
            <w:shd w:val="clear" w:color="auto" w:fill="auto"/>
            <w:vAlign w:val="center"/>
            <w:hideMark/>
          </w:tcPr>
          <w:p w14:paraId="6CD8369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7,862</w:t>
            </w:r>
          </w:p>
        </w:tc>
        <w:tc>
          <w:tcPr>
            <w:tcW w:w="1020" w:type="dxa"/>
            <w:tcBorders>
              <w:top w:val="nil"/>
              <w:left w:val="nil"/>
              <w:bottom w:val="single" w:sz="4" w:space="0" w:color="auto"/>
              <w:right w:val="single" w:sz="4" w:space="0" w:color="auto"/>
            </w:tcBorders>
            <w:shd w:val="clear" w:color="auto" w:fill="auto"/>
            <w:vAlign w:val="center"/>
            <w:hideMark/>
          </w:tcPr>
          <w:p w14:paraId="3DB2F91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88</w:t>
            </w:r>
          </w:p>
        </w:tc>
        <w:tc>
          <w:tcPr>
            <w:tcW w:w="993" w:type="dxa"/>
            <w:tcBorders>
              <w:top w:val="nil"/>
              <w:left w:val="nil"/>
              <w:bottom w:val="single" w:sz="4" w:space="0" w:color="auto"/>
              <w:right w:val="single" w:sz="4" w:space="0" w:color="auto"/>
            </w:tcBorders>
            <w:shd w:val="clear" w:color="auto" w:fill="auto"/>
            <w:vAlign w:val="center"/>
            <w:hideMark/>
          </w:tcPr>
          <w:p w14:paraId="160A2CF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276</w:t>
            </w:r>
          </w:p>
        </w:tc>
        <w:tc>
          <w:tcPr>
            <w:tcW w:w="1020" w:type="dxa"/>
            <w:tcBorders>
              <w:top w:val="nil"/>
              <w:left w:val="nil"/>
              <w:bottom w:val="single" w:sz="4" w:space="0" w:color="auto"/>
              <w:right w:val="single" w:sz="4" w:space="0" w:color="auto"/>
            </w:tcBorders>
            <w:shd w:val="clear" w:color="auto" w:fill="auto"/>
            <w:vAlign w:val="center"/>
            <w:hideMark/>
          </w:tcPr>
          <w:p w14:paraId="1F6CACA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54</w:t>
            </w:r>
          </w:p>
        </w:tc>
        <w:tc>
          <w:tcPr>
            <w:tcW w:w="992" w:type="dxa"/>
            <w:tcBorders>
              <w:top w:val="nil"/>
              <w:left w:val="nil"/>
              <w:bottom w:val="single" w:sz="4" w:space="0" w:color="auto"/>
              <w:right w:val="single" w:sz="4" w:space="0" w:color="auto"/>
            </w:tcBorders>
            <w:shd w:val="clear" w:color="auto" w:fill="auto"/>
            <w:vAlign w:val="center"/>
            <w:hideMark/>
          </w:tcPr>
          <w:p w14:paraId="2727FB67"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149</w:t>
            </w:r>
          </w:p>
        </w:tc>
        <w:tc>
          <w:tcPr>
            <w:tcW w:w="1020" w:type="dxa"/>
            <w:tcBorders>
              <w:top w:val="nil"/>
              <w:left w:val="nil"/>
              <w:bottom w:val="single" w:sz="4" w:space="0" w:color="auto"/>
              <w:right w:val="single" w:sz="4" w:space="0" w:color="auto"/>
            </w:tcBorders>
            <w:shd w:val="clear" w:color="auto" w:fill="auto"/>
            <w:vAlign w:val="center"/>
            <w:hideMark/>
          </w:tcPr>
          <w:p w14:paraId="43E46081"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134</w:t>
            </w:r>
          </w:p>
        </w:tc>
        <w:tc>
          <w:tcPr>
            <w:tcW w:w="992" w:type="dxa"/>
            <w:tcBorders>
              <w:top w:val="nil"/>
              <w:left w:val="nil"/>
              <w:bottom w:val="single" w:sz="4" w:space="0" w:color="auto"/>
              <w:right w:val="single" w:sz="4" w:space="0" w:color="auto"/>
            </w:tcBorders>
            <w:shd w:val="clear" w:color="auto" w:fill="auto"/>
            <w:vAlign w:val="center"/>
            <w:hideMark/>
          </w:tcPr>
          <w:p w14:paraId="2B5716A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606</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470C935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680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87DD49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8,892</w:t>
            </w:r>
          </w:p>
        </w:tc>
      </w:tr>
      <w:tr w:rsidR="006B5859" w:rsidRPr="00D71210" w14:paraId="0984296D"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586AE8C3"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Offshore wind</w:t>
            </w:r>
          </w:p>
        </w:tc>
        <w:tc>
          <w:tcPr>
            <w:tcW w:w="1020" w:type="dxa"/>
            <w:tcBorders>
              <w:top w:val="nil"/>
              <w:left w:val="nil"/>
              <w:bottom w:val="single" w:sz="4" w:space="0" w:color="auto"/>
              <w:right w:val="single" w:sz="4" w:space="0" w:color="auto"/>
            </w:tcBorders>
            <w:shd w:val="clear" w:color="auto" w:fill="auto"/>
            <w:vAlign w:val="center"/>
            <w:hideMark/>
          </w:tcPr>
          <w:p w14:paraId="187075B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26</w:t>
            </w:r>
          </w:p>
        </w:tc>
        <w:tc>
          <w:tcPr>
            <w:tcW w:w="992" w:type="dxa"/>
            <w:tcBorders>
              <w:top w:val="nil"/>
              <w:left w:val="nil"/>
              <w:bottom w:val="single" w:sz="4" w:space="0" w:color="auto"/>
              <w:right w:val="single" w:sz="4" w:space="0" w:color="auto"/>
            </w:tcBorders>
            <w:shd w:val="clear" w:color="auto" w:fill="auto"/>
            <w:vAlign w:val="center"/>
            <w:hideMark/>
          </w:tcPr>
          <w:p w14:paraId="2D61483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5,474</w:t>
            </w:r>
          </w:p>
        </w:tc>
        <w:tc>
          <w:tcPr>
            <w:tcW w:w="1020" w:type="dxa"/>
            <w:tcBorders>
              <w:top w:val="nil"/>
              <w:left w:val="nil"/>
              <w:bottom w:val="single" w:sz="4" w:space="0" w:color="auto"/>
              <w:right w:val="single" w:sz="4" w:space="0" w:color="auto"/>
            </w:tcBorders>
            <w:shd w:val="clear" w:color="auto" w:fill="auto"/>
            <w:vAlign w:val="center"/>
            <w:hideMark/>
          </w:tcPr>
          <w:p w14:paraId="081B880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w:t>
            </w:r>
          </w:p>
        </w:tc>
        <w:tc>
          <w:tcPr>
            <w:tcW w:w="993" w:type="dxa"/>
            <w:tcBorders>
              <w:top w:val="nil"/>
              <w:left w:val="nil"/>
              <w:bottom w:val="single" w:sz="4" w:space="0" w:color="auto"/>
              <w:right w:val="single" w:sz="4" w:space="0" w:color="auto"/>
            </w:tcBorders>
            <w:shd w:val="clear" w:color="auto" w:fill="auto"/>
            <w:vAlign w:val="center"/>
            <w:hideMark/>
          </w:tcPr>
          <w:p w14:paraId="233E0A3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364</w:t>
            </w:r>
          </w:p>
        </w:tc>
        <w:tc>
          <w:tcPr>
            <w:tcW w:w="1020" w:type="dxa"/>
            <w:tcBorders>
              <w:top w:val="nil"/>
              <w:left w:val="nil"/>
              <w:bottom w:val="single" w:sz="4" w:space="0" w:color="auto"/>
              <w:right w:val="single" w:sz="4" w:space="0" w:color="auto"/>
            </w:tcBorders>
            <w:shd w:val="clear" w:color="auto" w:fill="auto"/>
            <w:vAlign w:val="center"/>
            <w:hideMark/>
          </w:tcPr>
          <w:p w14:paraId="1E1A0CF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14:paraId="6870095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720</w:t>
            </w:r>
          </w:p>
        </w:tc>
        <w:tc>
          <w:tcPr>
            <w:tcW w:w="1020" w:type="dxa"/>
            <w:tcBorders>
              <w:top w:val="nil"/>
              <w:left w:val="nil"/>
              <w:bottom w:val="single" w:sz="4" w:space="0" w:color="auto"/>
              <w:right w:val="single" w:sz="4" w:space="0" w:color="auto"/>
            </w:tcBorders>
            <w:shd w:val="clear" w:color="auto" w:fill="auto"/>
            <w:vAlign w:val="center"/>
            <w:hideMark/>
          </w:tcPr>
          <w:p w14:paraId="2D223B0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153E28EC"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0CB4A8E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36</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9BF434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6,558</w:t>
            </w:r>
          </w:p>
        </w:tc>
      </w:tr>
      <w:tr w:rsidR="006B5859" w:rsidRPr="00D71210" w14:paraId="54ED3BF3"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2E35E409"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Solar PV</w:t>
            </w:r>
          </w:p>
        </w:tc>
        <w:tc>
          <w:tcPr>
            <w:tcW w:w="1020" w:type="dxa"/>
            <w:tcBorders>
              <w:top w:val="nil"/>
              <w:left w:val="nil"/>
              <w:bottom w:val="single" w:sz="4" w:space="0" w:color="auto"/>
              <w:right w:val="single" w:sz="4" w:space="0" w:color="auto"/>
            </w:tcBorders>
            <w:shd w:val="clear" w:color="auto" w:fill="auto"/>
            <w:vAlign w:val="center"/>
            <w:hideMark/>
          </w:tcPr>
          <w:p w14:paraId="6479F1E7"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785</w:t>
            </w:r>
          </w:p>
        </w:tc>
        <w:tc>
          <w:tcPr>
            <w:tcW w:w="992" w:type="dxa"/>
            <w:tcBorders>
              <w:top w:val="nil"/>
              <w:left w:val="nil"/>
              <w:bottom w:val="single" w:sz="4" w:space="0" w:color="auto"/>
              <w:right w:val="single" w:sz="4" w:space="0" w:color="auto"/>
            </w:tcBorders>
            <w:shd w:val="clear" w:color="auto" w:fill="auto"/>
            <w:vAlign w:val="center"/>
            <w:hideMark/>
          </w:tcPr>
          <w:p w14:paraId="3542137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5,119</w:t>
            </w:r>
          </w:p>
        </w:tc>
        <w:tc>
          <w:tcPr>
            <w:tcW w:w="1020" w:type="dxa"/>
            <w:tcBorders>
              <w:top w:val="nil"/>
              <w:left w:val="nil"/>
              <w:bottom w:val="single" w:sz="4" w:space="0" w:color="auto"/>
              <w:right w:val="single" w:sz="4" w:space="0" w:color="auto"/>
            </w:tcBorders>
            <w:shd w:val="clear" w:color="auto" w:fill="auto"/>
            <w:vAlign w:val="center"/>
            <w:hideMark/>
          </w:tcPr>
          <w:p w14:paraId="42F0BEC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15</w:t>
            </w:r>
          </w:p>
        </w:tc>
        <w:tc>
          <w:tcPr>
            <w:tcW w:w="993" w:type="dxa"/>
            <w:tcBorders>
              <w:top w:val="nil"/>
              <w:left w:val="nil"/>
              <w:bottom w:val="single" w:sz="4" w:space="0" w:color="auto"/>
              <w:right w:val="single" w:sz="4" w:space="0" w:color="auto"/>
            </w:tcBorders>
            <w:shd w:val="clear" w:color="auto" w:fill="auto"/>
            <w:vAlign w:val="center"/>
            <w:hideMark/>
          </w:tcPr>
          <w:p w14:paraId="28D495C4"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41</w:t>
            </w:r>
          </w:p>
        </w:tc>
        <w:tc>
          <w:tcPr>
            <w:tcW w:w="1020" w:type="dxa"/>
            <w:tcBorders>
              <w:top w:val="nil"/>
              <w:left w:val="nil"/>
              <w:bottom w:val="single" w:sz="4" w:space="0" w:color="auto"/>
              <w:right w:val="single" w:sz="4" w:space="0" w:color="auto"/>
            </w:tcBorders>
            <w:shd w:val="clear" w:color="auto" w:fill="auto"/>
            <w:vAlign w:val="center"/>
            <w:hideMark/>
          </w:tcPr>
          <w:p w14:paraId="7E824B21"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80</w:t>
            </w:r>
          </w:p>
        </w:tc>
        <w:tc>
          <w:tcPr>
            <w:tcW w:w="992" w:type="dxa"/>
            <w:tcBorders>
              <w:top w:val="nil"/>
              <w:left w:val="nil"/>
              <w:bottom w:val="single" w:sz="4" w:space="0" w:color="auto"/>
              <w:right w:val="single" w:sz="4" w:space="0" w:color="auto"/>
            </w:tcBorders>
            <w:shd w:val="clear" w:color="auto" w:fill="auto"/>
            <w:vAlign w:val="center"/>
            <w:hideMark/>
          </w:tcPr>
          <w:p w14:paraId="67892367"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486</w:t>
            </w:r>
          </w:p>
        </w:tc>
        <w:tc>
          <w:tcPr>
            <w:tcW w:w="1020" w:type="dxa"/>
            <w:tcBorders>
              <w:top w:val="nil"/>
              <w:left w:val="nil"/>
              <w:bottom w:val="single" w:sz="4" w:space="0" w:color="auto"/>
              <w:right w:val="single" w:sz="4" w:space="0" w:color="auto"/>
            </w:tcBorders>
            <w:shd w:val="clear" w:color="auto" w:fill="auto"/>
            <w:vAlign w:val="center"/>
            <w:hideMark/>
          </w:tcPr>
          <w:p w14:paraId="13200E59"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22,230</w:t>
            </w:r>
          </w:p>
        </w:tc>
        <w:tc>
          <w:tcPr>
            <w:tcW w:w="992" w:type="dxa"/>
            <w:tcBorders>
              <w:top w:val="nil"/>
              <w:left w:val="nil"/>
              <w:bottom w:val="single" w:sz="4" w:space="0" w:color="auto"/>
              <w:right w:val="single" w:sz="4" w:space="0" w:color="auto"/>
            </w:tcBorders>
            <w:shd w:val="clear" w:color="auto" w:fill="auto"/>
            <w:vAlign w:val="center"/>
            <w:hideMark/>
          </w:tcPr>
          <w:p w14:paraId="4FD31D5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276</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71193E2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23,110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071B30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5,922</w:t>
            </w:r>
          </w:p>
        </w:tc>
      </w:tr>
      <w:tr w:rsidR="006B5859" w:rsidRPr="00D71210" w14:paraId="22EA7F74"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2C21CC98"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Landfill gas</w:t>
            </w:r>
          </w:p>
        </w:tc>
        <w:tc>
          <w:tcPr>
            <w:tcW w:w="1020" w:type="dxa"/>
            <w:tcBorders>
              <w:top w:val="nil"/>
              <w:left w:val="nil"/>
              <w:bottom w:val="single" w:sz="4" w:space="0" w:color="auto"/>
              <w:right w:val="single" w:sz="4" w:space="0" w:color="auto"/>
            </w:tcBorders>
            <w:shd w:val="clear" w:color="auto" w:fill="auto"/>
            <w:vAlign w:val="center"/>
            <w:hideMark/>
          </w:tcPr>
          <w:p w14:paraId="27B2AB9A"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371</w:t>
            </w:r>
          </w:p>
        </w:tc>
        <w:tc>
          <w:tcPr>
            <w:tcW w:w="992" w:type="dxa"/>
            <w:tcBorders>
              <w:top w:val="nil"/>
              <w:left w:val="nil"/>
              <w:bottom w:val="single" w:sz="4" w:space="0" w:color="auto"/>
              <w:right w:val="single" w:sz="4" w:space="0" w:color="auto"/>
            </w:tcBorders>
            <w:shd w:val="clear" w:color="auto" w:fill="auto"/>
            <w:vAlign w:val="center"/>
            <w:hideMark/>
          </w:tcPr>
          <w:p w14:paraId="0C6DF84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720</w:t>
            </w:r>
          </w:p>
        </w:tc>
        <w:tc>
          <w:tcPr>
            <w:tcW w:w="1020" w:type="dxa"/>
            <w:tcBorders>
              <w:top w:val="nil"/>
              <w:left w:val="nil"/>
              <w:bottom w:val="single" w:sz="4" w:space="0" w:color="auto"/>
              <w:right w:val="single" w:sz="4" w:space="0" w:color="auto"/>
            </w:tcBorders>
            <w:shd w:val="clear" w:color="auto" w:fill="auto"/>
            <w:vAlign w:val="center"/>
            <w:hideMark/>
          </w:tcPr>
          <w:p w14:paraId="71D9B02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38</w:t>
            </w:r>
          </w:p>
        </w:tc>
        <w:tc>
          <w:tcPr>
            <w:tcW w:w="993" w:type="dxa"/>
            <w:tcBorders>
              <w:top w:val="nil"/>
              <w:left w:val="nil"/>
              <w:bottom w:val="single" w:sz="4" w:space="0" w:color="auto"/>
              <w:right w:val="single" w:sz="4" w:space="0" w:color="auto"/>
            </w:tcBorders>
            <w:shd w:val="clear" w:color="auto" w:fill="auto"/>
            <w:vAlign w:val="center"/>
            <w:hideMark/>
          </w:tcPr>
          <w:p w14:paraId="4746A5A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78</w:t>
            </w:r>
          </w:p>
        </w:tc>
        <w:tc>
          <w:tcPr>
            <w:tcW w:w="1020" w:type="dxa"/>
            <w:tcBorders>
              <w:top w:val="nil"/>
              <w:left w:val="nil"/>
              <w:bottom w:val="single" w:sz="4" w:space="0" w:color="auto"/>
              <w:right w:val="single" w:sz="4" w:space="0" w:color="auto"/>
            </w:tcBorders>
            <w:shd w:val="clear" w:color="auto" w:fill="auto"/>
            <w:vAlign w:val="center"/>
            <w:hideMark/>
          </w:tcPr>
          <w:p w14:paraId="7C4DAC0A"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17</w:t>
            </w:r>
          </w:p>
        </w:tc>
        <w:tc>
          <w:tcPr>
            <w:tcW w:w="992" w:type="dxa"/>
            <w:tcBorders>
              <w:top w:val="nil"/>
              <w:left w:val="nil"/>
              <w:bottom w:val="single" w:sz="4" w:space="0" w:color="auto"/>
              <w:right w:val="single" w:sz="4" w:space="0" w:color="auto"/>
            </w:tcBorders>
            <w:shd w:val="clear" w:color="auto" w:fill="auto"/>
            <w:vAlign w:val="center"/>
            <w:hideMark/>
          </w:tcPr>
          <w:p w14:paraId="4ACDFA9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26</w:t>
            </w:r>
          </w:p>
        </w:tc>
        <w:tc>
          <w:tcPr>
            <w:tcW w:w="1020" w:type="dxa"/>
            <w:tcBorders>
              <w:top w:val="nil"/>
              <w:left w:val="nil"/>
              <w:bottom w:val="single" w:sz="4" w:space="0" w:color="auto"/>
              <w:right w:val="single" w:sz="4" w:space="0" w:color="auto"/>
            </w:tcBorders>
            <w:shd w:val="clear" w:color="auto" w:fill="auto"/>
            <w:vAlign w:val="center"/>
            <w:hideMark/>
          </w:tcPr>
          <w:p w14:paraId="5B1234C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14:paraId="647EFD7F"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11</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76CFD71C"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434</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1E7C558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835</w:t>
            </w:r>
          </w:p>
        </w:tc>
      </w:tr>
      <w:tr w:rsidR="006B5859" w:rsidRPr="00D71210" w14:paraId="4C95088E"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19284355"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Hydro</w:t>
            </w:r>
          </w:p>
        </w:tc>
        <w:tc>
          <w:tcPr>
            <w:tcW w:w="1020" w:type="dxa"/>
            <w:tcBorders>
              <w:top w:val="nil"/>
              <w:left w:val="nil"/>
              <w:bottom w:val="single" w:sz="4" w:space="0" w:color="auto"/>
              <w:right w:val="single" w:sz="4" w:space="0" w:color="auto"/>
            </w:tcBorders>
            <w:shd w:val="clear" w:color="auto" w:fill="auto"/>
            <w:vAlign w:val="center"/>
            <w:hideMark/>
          </w:tcPr>
          <w:p w14:paraId="38ABE494"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44</w:t>
            </w:r>
          </w:p>
        </w:tc>
        <w:tc>
          <w:tcPr>
            <w:tcW w:w="992" w:type="dxa"/>
            <w:tcBorders>
              <w:top w:val="nil"/>
              <w:left w:val="nil"/>
              <w:bottom w:val="single" w:sz="4" w:space="0" w:color="auto"/>
              <w:right w:val="single" w:sz="4" w:space="0" w:color="auto"/>
            </w:tcBorders>
            <w:shd w:val="clear" w:color="auto" w:fill="auto"/>
            <w:vAlign w:val="center"/>
            <w:hideMark/>
          </w:tcPr>
          <w:p w14:paraId="356CCD4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21</w:t>
            </w:r>
          </w:p>
        </w:tc>
        <w:tc>
          <w:tcPr>
            <w:tcW w:w="1020" w:type="dxa"/>
            <w:tcBorders>
              <w:top w:val="nil"/>
              <w:left w:val="nil"/>
              <w:bottom w:val="single" w:sz="4" w:space="0" w:color="auto"/>
              <w:right w:val="single" w:sz="4" w:space="0" w:color="auto"/>
            </w:tcBorders>
            <w:shd w:val="clear" w:color="auto" w:fill="auto"/>
            <w:vAlign w:val="center"/>
            <w:hideMark/>
          </w:tcPr>
          <w:p w14:paraId="2A0C93AF"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147</w:t>
            </w:r>
          </w:p>
        </w:tc>
        <w:tc>
          <w:tcPr>
            <w:tcW w:w="993" w:type="dxa"/>
            <w:tcBorders>
              <w:top w:val="nil"/>
              <w:left w:val="nil"/>
              <w:bottom w:val="single" w:sz="4" w:space="0" w:color="auto"/>
              <w:right w:val="single" w:sz="4" w:space="0" w:color="auto"/>
            </w:tcBorders>
            <w:shd w:val="clear" w:color="auto" w:fill="auto"/>
            <w:vAlign w:val="center"/>
            <w:hideMark/>
          </w:tcPr>
          <w:p w14:paraId="3F8A677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619</w:t>
            </w:r>
          </w:p>
        </w:tc>
        <w:tc>
          <w:tcPr>
            <w:tcW w:w="1020" w:type="dxa"/>
            <w:tcBorders>
              <w:top w:val="nil"/>
              <w:left w:val="nil"/>
              <w:bottom w:val="single" w:sz="4" w:space="0" w:color="auto"/>
              <w:right w:val="single" w:sz="4" w:space="0" w:color="auto"/>
            </w:tcBorders>
            <w:shd w:val="clear" w:color="auto" w:fill="auto"/>
            <w:vAlign w:val="center"/>
            <w:hideMark/>
          </w:tcPr>
          <w:p w14:paraId="3BAFC6E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14:paraId="616E45C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77</w:t>
            </w:r>
          </w:p>
        </w:tc>
        <w:tc>
          <w:tcPr>
            <w:tcW w:w="1020" w:type="dxa"/>
            <w:tcBorders>
              <w:top w:val="nil"/>
              <w:left w:val="nil"/>
              <w:bottom w:val="single" w:sz="4" w:space="0" w:color="auto"/>
              <w:right w:val="single" w:sz="4" w:space="0" w:color="auto"/>
            </w:tcBorders>
            <w:shd w:val="clear" w:color="auto" w:fill="auto"/>
            <w:vAlign w:val="center"/>
            <w:hideMark/>
          </w:tcPr>
          <w:p w14:paraId="5E772C5E"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89</w:t>
            </w:r>
          </w:p>
        </w:tc>
        <w:tc>
          <w:tcPr>
            <w:tcW w:w="992" w:type="dxa"/>
            <w:tcBorders>
              <w:top w:val="nil"/>
              <w:left w:val="nil"/>
              <w:bottom w:val="single" w:sz="4" w:space="0" w:color="auto"/>
              <w:right w:val="single" w:sz="4" w:space="0" w:color="auto"/>
            </w:tcBorders>
            <w:shd w:val="clear" w:color="auto" w:fill="auto"/>
            <w:vAlign w:val="center"/>
            <w:hideMark/>
          </w:tcPr>
          <w:p w14:paraId="1CEE0CE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737101CE"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310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515F358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724</w:t>
            </w:r>
          </w:p>
        </w:tc>
      </w:tr>
      <w:tr w:rsidR="006B5859" w:rsidRPr="00D71210" w14:paraId="3270885C"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0C76163E"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Sewage gas</w:t>
            </w:r>
          </w:p>
        </w:tc>
        <w:tc>
          <w:tcPr>
            <w:tcW w:w="1020" w:type="dxa"/>
            <w:tcBorders>
              <w:top w:val="nil"/>
              <w:left w:val="nil"/>
              <w:bottom w:val="single" w:sz="4" w:space="0" w:color="auto"/>
              <w:right w:val="single" w:sz="4" w:space="0" w:color="auto"/>
            </w:tcBorders>
            <w:shd w:val="clear" w:color="auto" w:fill="auto"/>
            <w:vAlign w:val="center"/>
            <w:hideMark/>
          </w:tcPr>
          <w:p w14:paraId="293FF628"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152</w:t>
            </w:r>
          </w:p>
        </w:tc>
        <w:tc>
          <w:tcPr>
            <w:tcW w:w="992" w:type="dxa"/>
            <w:tcBorders>
              <w:top w:val="nil"/>
              <w:left w:val="nil"/>
              <w:bottom w:val="single" w:sz="4" w:space="0" w:color="auto"/>
              <w:right w:val="single" w:sz="4" w:space="0" w:color="auto"/>
            </w:tcBorders>
            <w:shd w:val="clear" w:color="auto" w:fill="auto"/>
            <w:vAlign w:val="center"/>
            <w:hideMark/>
          </w:tcPr>
          <w:p w14:paraId="15D327C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188</w:t>
            </w:r>
          </w:p>
        </w:tc>
        <w:tc>
          <w:tcPr>
            <w:tcW w:w="1020" w:type="dxa"/>
            <w:tcBorders>
              <w:top w:val="nil"/>
              <w:left w:val="nil"/>
              <w:bottom w:val="single" w:sz="4" w:space="0" w:color="auto"/>
              <w:right w:val="single" w:sz="4" w:space="0" w:color="auto"/>
            </w:tcBorders>
            <w:shd w:val="clear" w:color="auto" w:fill="auto"/>
            <w:vAlign w:val="center"/>
            <w:hideMark/>
          </w:tcPr>
          <w:p w14:paraId="60A92567"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14:paraId="540CB7C9"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w:t>
            </w:r>
          </w:p>
        </w:tc>
        <w:tc>
          <w:tcPr>
            <w:tcW w:w="1020" w:type="dxa"/>
            <w:tcBorders>
              <w:top w:val="nil"/>
              <w:left w:val="nil"/>
              <w:bottom w:val="single" w:sz="4" w:space="0" w:color="auto"/>
              <w:right w:val="single" w:sz="4" w:space="0" w:color="auto"/>
            </w:tcBorders>
            <w:shd w:val="clear" w:color="auto" w:fill="auto"/>
            <w:vAlign w:val="center"/>
            <w:hideMark/>
          </w:tcPr>
          <w:p w14:paraId="06F36BEC"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14:paraId="437FDE4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w:t>
            </w:r>
          </w:p>
        </w:tc>
        <w:tc>
          <w:tcPr>
            <w:tcW w:w="1020" w:type="dxa"/>
            <w:tcBorders>
              <w:top w:val="nil"/>
              <w:left w:val="nil"/>
              <w:bottom w:val="single" w:sz="4" w:space="0" w:color="auto"/>
              <w:right w:val="single" w:sz="4" w:space="0" w:color="auto"/>
            </w:tcBorders>
            <w:shd w:val="clear" w:color="auto" w:fill="auto"/>
            <w:vAlign w:val="center"/>
            <w:hideMark/>
          </w:tcPr>
          <w:p w14:paraId="1B80183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1C2D2968"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0B9A3C32"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174</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37041398"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207</w:t>
            </w:r>
          </w:p>
        </w:tc>
      </w:tr>
      <w:tr w:rsidR="006B5859" w:rsidRPr="00D71210" w14:paraId="270DE509"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222BF89B"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Tidal stream</w:t>
            </w:r>
          </w:p>
        </w:tc>
        <w:tc>
          <w:tcPr>
            <w:tcW w:w="1020" w:type="dxa"/>
            <w:tcBorders>
              <w:top w:val="nil"/>
              <w:left w:val="nil"/>
              <w:bottom w:val="single" w:sz="4" w:space="0" w:color="auto"/>
              <w:right w:val="single" w:sz="4" w:space="0" w:color="auto"/>
            </w:tcBorders>
            <w:shd w:val="clear" w:color="auto" w:fill="auto"/>
            <w:vAlign w:val="center"/>
            <w:hideMark/>
          </w:tcPr>
          <w:p w14:paraId="0BED1B38"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2239DCB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auto"/>
            <w:vAlign w:val="center"/>
            <w:hideMark/>
          </w:tcPr>
          <w:p w14:paraId="20D4C96C"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7</w:t>
            </w:r>
          </w:p>
        </w:tc>
        <w:tc>
          <w:tcPr>
            <w:tcW w:w="993" w:type="dxa"/>
            <w:tcBorders>
              <w:top w:val="nil"/>
              <w:left w:val="nil"/>
              <w:bottom w:val="single" w:sz="4" w:space="0" w:color="auto"/>
              <w:right w:val="single" w:sz="4" w:space="0" w:color="auto"/>
            </w:tcBorders>
            <w:shd w:val="clear" w:color="auto" w:fill="auto"/>
            <w:vAlign w:val="center"/>
            <w:hideMark/>
          </w:tcPr>
          <w:p w14:paraId="1E3FFA8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12</w:t>
            </w:r>
          </w:p>
        </w:tc>
        <w:tc>
          <w:tcPr>
            <w:tcW w:w="1020" w:type="dxa"/>
            <w:tcBorders>
              <w:top w:val="nil"/>
              <w:left w:val="nil"/>
              <w:bottom w:val="single" w:sz="4" w:space="0" w:color="auto"/>
              <w:right w:val="single" w:sz="4" w:space="0" w:color="auto"/>
            </w:tcBorders>
            <w:shd w:val="clear" w:color="auto" w:fill="auto"/>
            <w:vAlign w:val="center"/>
            <w:hideMark/>
          </w:tcPr>
          <w:p w14:paraId="177A825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51E6AB54"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0.4</w:t>
            </w:r>
          </w:p>
        </w:tc>
        <w:tc>
          <w:tcPr>
            <w:tcW w:w="1020" w:type="dxa"/>
            <w:tcBorders>
              <w:top w:val="nil"/>
              <w:left w:val="nil"/>
              <w:bottom w:val="single" w:sz="4" w:space="0" w:color="auto"/>
              <w:right w:val="single" w:sz="4" w:space="0" w:color="auto"/>
            </w:tcBorders>
            <w:shd w:val="clear" w:color="auto" w:fill="auto"/>
            <w:vAlign w:val="center"/>
            <w:hideMark/>
          </w:tcPr>
          <w:p w14:paraId="1947950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6A2DDDE6"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7CA6BA03"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233AEFCA"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14</w:t>
            </w:r>
          </w:p>
        </w:tc>
      </w:tr>
      <w:tr w:rsidR="006B5859" w:rsidRPr="00D71210" w14:paraId="7D742517" w14:textId="77777777" w:rsidTr="006836C5">
        <w:trPr>
          <w:trHeight w:val="296"/>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5B185D24" w14:textId="77777777" w:rsidR="00D71210" w:rsidRPr="003B35B0" w:rsidRDefault="00D71210" w:rsidP="00D71210">
            <w:pPr>
              <w:spacing w:after="0" w:line="240" w:lineRule="auto"/>
              <w:rPr>
                <w:rFonts w:eastAsia="Times New Roman" w:cs="Calibri"/>
                <w:color w:val="000000"/>
                <w:sz w:val="16"/>
                <w:szCs w:val="16"/>
              </w:rPr>
            </w:pPr>
            <w:r w:rsidRPr="003B35B0">
              <w:rPr>
                <w:rFonts w:eastAsia="Times New Roman" w:cs="Calibri"/>
                <w:color w:val="000000"/>
                <w:sz w:val="16"/>
                <w:szCs w:val="16"/>
              </w:rPr>
              <w:t>Wave Power</w:t>
            </w:r>
          </w:p>
        </w:tc>
        <w:tc>
          <w:tcPr>
            <w:tcW w:w="1020" w:type="dxa"/>
            <w:tcBorders>
              <w:top w:val="nil"/>
              <w:left w:val="nil"/>
              <w:bottom w:val="single" w:sz="4" w:space="0" w:color="auto"/>
              <w:right w:val="single" w:sz="4" w:space="0" w:color="auto"/>
            </w:tcBorders>
            <w:shd w:val="clear" w:color="auto" w:fill="auto"/>
            <w:vAlign w:val="center"/>
            <w:hideMark/>
          </w:tcPr>
          <w:p w14:paraId="50BA03DF"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0B335B08"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auto"/>
            <w:vAlign w:val="center"/>
            <w:hideMark/>
          </w:tcPr>
          <w:p w14:paraId="4C37ED4A"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w:t>
            </w:r>
          </w:p>
        </w:tc>
        <w:tc>
          <w:tcPr>
            <w:tcW w:w="993" w:type="dxa"/>
            <w:tcBorders>
              <w:top w:val="nil"/>
              <w:left w:val="nil"/>
              <w:bottom w:val="single" w:sz="4" w:space="0" w:color="auto"/>
              <w:right w:val="single" w:sz="4" w:space="0" w:color="auto"/>
            </w:tcBorders>
            <w:shd w:val="clear" w:color="auto" w:fill="auto"/>
            <w:vAlign w:val="center"/>
            <w:hideMark/>
          </w:tcPr>
          <w:p w14:paraId="1897103E"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w:t>
            </w:r>
          </w:p>
        </w:tc>
        <w:tc>
          <w:tcPr>
            <w:tcW w:w="1020" w:type="dxa"/>
            <w:tcBorders>
              <w:top w:val="nil"/>
              <w:left w:val="nil"/>
              <w:bottom w:val="single" w:sz="4" w:space="0" w:color="auto"/>
              <w:right w:val="single" w:sz="4" w:space="0" w:color="auto"/>
            </w:tcBorders>
            <w:shd w:val="clear" w:color="auto" w:fill="auto"/>
            <w:vAlign w:val="center"/>
            <w:hideMark/>
          </w:tcPr>
          <w:p w14:paraId="7656E4A0"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7E8DC09D"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auto"/>
            <w:vAlign w:val="center"/>
            <w:hideMark/>
          </w:tcPr>
          <w:p w14:paraId="1F2335DB"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24D5DEEA"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0</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3BD56E01"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5</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5EA02A5" w14:textId="77777777" w:rsidR="00D71210" w:rsidRPr="003B35B0" w:rsidRDefault="00D71210" w:rsidP="00D71210">
            <w:pPr>
              <w:spacing w:after="0" w:line="240" w:lineRule="auto"/>
              <w:jc w:val="right"/>
              <w:rPr>
                <w:rFonts w:eastAsia="Times New Roman" w:cs="Calibri"/>
                <w:color w:val="000000"/>
                <w:sz w:val="16"/>
                <w:szCs w:val="16"/>
              </w:rPr>
            </w:pPr>
            <w:r w:rsidRPr="003B35B0">
              <w:rPr>
                <w:rFonts w:eastAsia="Times New Roman" w:cs="Calibri"/>
                <w:color w:val="000000"/>
                <w:sz w:val="16"/>
                <w:szCs w:val="16"/>
              </w:rPr>
              <w:t>3</w:t>
            </w:r>
          </w:p>
        </w:tc>
      </w:tr>
      <w:tr w:rsidR="006B5859" w:rsidRPr="00D71210" w14:paraId="559BF2E1" w14:textId="77777777" w:rsidTr="006836C5">
        <w:trPr>
          <w:trHeight w:val="378"/>
        </w:trPr>
        <w:tc>
          <w:tcPr>
            <w:tcW w:w="1244" w:type="dxa"/>
            <w:tcBorders>
              <w:top w:val="nil"/>
              <w:left w:val="single" w:sz="4" w:space="0" w:color="auto"/>
              <w:bottom w:val="single" w:sz="4" w:space="0" w:color="auto"/>
              <w:right w:val="single" w:sz="4" w:space="0" w:color="auto"/>
            </w:tcBorders>
            <w:shd w:val="clear" w:color="000000" w:fill="2363AF"/>
            <w:vAlign w:val="center"/>
            <w:hideMark/>
          </w:tcPr>
          <w:p w14:paraId="6BBFE98D" w14:textId="77777777" w:rsidR="00D71210" w:rsidRPr="003B35B0" w:rsidRDefault="00D71210" w:rsidP="00D71210">
            <w:pPr>
              <w:spacing w:after="0" w:line="240" w:lineRule="auto"/>
              <w:rPr>
                <w:rFonts w:eastAsia="Times New Roman" w:cs="Calibri"/>
                <w:color w:val="FFFFFF"/>
                <w:sz w:val="16"/>
                <w:szCs w:val="16"/>
              </w:rPr>
            </w:pPr>
            <w:r w:rsidRPr="003B35B0">
              <w:rPr>
                <w:rFonts w:eastAsia="Times New Roman" w:cs="Calibri"/>
                <w:color w:val="FFFFFF"/>
                <w:sz w:val="16"/>
                <w:szCs w:val="16"/>
              </w:rPr>
              <w:t>Total</w:t>
            </w:r>
          </w:p>
        </w:tc>
        <w:tc>
          <w:tcPr>
            <w:tcW w:w="1020" w:type="dxa"/>
            <w:tcBorders>
              <w:top w:val="nil"/>
              <w:left w:val="nil"/>
              <w:bottom w:val="single" w:sz="4" w:space="0" w:color="auto"/>
              <w:right w:val="single" w:sz="4" w:space="0" w:color="auto"/>
            </w:tcBorders>
            <w:shd w:val="clear" w:color="000000" w:fill="2363AF"/>
            <w:vAlign w:val="center"/>
            <w:hideMark/>
          </w:tcPr>
          <w:p w14:paraId="3C6FAC5A"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2,020</w:t>
            </w:r>
          </w:p>
        </w:tc>
        <w:tc>
          <w:tcPr>
            <w:tcW w:w="992" w:type="dxa"/>
            <w:tcBorders>
              <w:top w:val="nil"/>
              <w:left w:val="nil"/>
              <w:bottom w:val="single" w:sz="4" w:space="0" w:color="auto"/>
              <w:right w:val="single" w:sz="4" w:space="0" w:color="auto"/>
            </w:tcBorders>
            <w:shd w:val="clear" w:color="000000" w:fill="2363AF"/>
            <w:vAlign w:val="center"/>
            <w:hideMark/>
          </w:tcPr>
          <w:p w14:paraId="2333C25A"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21,979</w:t>
            </w:r>
          </w:p>
        </w:tc>
        <w:tc>
          <w:tcPr>
            <w:tcW w:w="1020" w:type="dxa"/>
            <w:tcBorders>
              <w:top w:val="nil"/>
              <w:left w:val="nil"/>
              <w:bottom w:val="single" w:sz="4" w:space="0" w:color="auto"/>
              <w:right w:val="single" w:sz="4" w:space="0" w:color="auto"/>
            </w:tcBorders>
            <w:shd w:val="clear" w:color="000000" w:fill="2363AF"/>
            <w:vAlign w:val="center"/>
            <w:hideMark/>
          </w:tcPr>
          <w:p w14:paraId="13B3BF61"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566</w:t>
            </w:r>
          </w:p>
        </w:tc>
        <w:tc>
          <w:tcPr>
            <w:tcW w:w="993" w:type="dxa"/>
            <w:tcBorders>
              <w:top w:val="nil"/>
              <w:left w:val="nil"/>
              <w:bottom w:val="single" w:sz="4" w:space="0" w:color="auto"/>
              <w:right w:val="single" w:sz="4" w:space="0" w:color="auto"/>
            </w:tcBorders>
            <w:shd w:val="clear" w:color="000000" w:fill="2363AF"/>
            <w:vAlign w:val="center"/>
            <w:hideMark/>
          </w:tcPr>
          <w:p w14:paraId="71C1A70E"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8,802</w:t>
            </w:r>
          </w:p>
        </w:tc>
        <w:tc>
          <w:tcPr>
            <w:tcW w:w="1020" w:type="dxa"/>
            <w:tcBorders>
              <w:top w:val="nil"/>
              <w:left w:val="nil"/>
              <w:bottom w:val="single" w:sz="4" w:space="0" w:color="auto"/>
              <w:right w:val="single" w:sz="4" w:space="0" w:color="auto"/>
            </w:tcBorders>
            <w:shd w:val="clear" w:color="000000" w:fill="2363AF"/>
            <w:vAlign w:val="center"/>
            <w:hideMark/>
          </w:tcPr>
          <w:p w14:paraId="2D32B47B"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259</w:t>
            </w:r>
          </w:p>
        </w:tc>
        <w:tc>
          <w:tcPr>
            <w:tcW w:w="992" w:type="dxa"/>
            <w:tcBorders>
              <w:top w:val="nil"/>
              <w:left w:val="nil"/>
              <w:bottom w:val="single" w:sz="4" w:space="0" w:color="auto"/>
              <w:right w:val="single" w:sz="4" w:space="0" w:color="auto"/>
            </w:tcBorders>
            <w:shd w:val="clear" w:color="000000" w:fill="2363AF"/>
            <w:vAlign w:val="center"/>
            <w:hideMark/>
          </w:tcPr>
          <w:p w14:paraId="0D4297D9"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2,448</w:t>
            </w:r>
          </w:p>
        </w:tc>
        <w:tc>
          <w:tcPr>
            <w:tcW w:w="1020" w:type="dxa"/>
            <w:tcBorders>
              <w:top w:val="nil"/>
              <w:left w:val="nil"/>
              <w:bottom w:val="single" w:sz="4" w:space="0" w:color="auto"/>
              <w:right w:val="single" w:sz="4" w:space="0" w:color="auto"/>
            </w:tcBorders>
            <w:shd w:val="clear" w:color="000000" w:fill="2363AF"/>
            <w:vAlign w:val="center"/>
            <w:hideMark/>
          </w:tcPr>
          <w:p w14:paraId="4EC8060B"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23,754</w:t>
            </w:r>
          </w:p>
        </w:tc>
        <w:tc>
          <w:tcPr>
            <w:tcW w:w="992" w:type="dxa"/>
            <w:tcBorders>
              <w:top w:val="nil"/>
              <w:left w:val="nil"/>
              <w:bottom w:val="single" w:sz="4" w:space="0" w:color="auto"/>
              <w:right w:val="single" w:sz="4" w:space="0" w:color="auto"/>
            </w:tcBorders>
            <w:shd w:val="clear" w:color="000000" w:fill="2363AF"/>
            <w:vAlign w:val="center"/>
            <w:hideMark/>
          </w:tcPr>
          <w:p w14:paraId="6A9CC642"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2,147</w:t>
            </w:r>
          </w:p>
        </w:tc>
        <w:tc>
          <w:tcPr>
            <w:tcW w:w="1020" w:type="dxa"/>
            <w:tcBorders>
              <w:top w:val="nil"/>
              <w:left w:val="nil"/>
              <w:bottom w:val="single" w:sz="4" w:space="0" w:color="auto"/>
              <w:right w:val="single" w:sz="4" w:space="0" w:color="auto"/>
            </w:tcBorders>
            <w:shd w:val="clear" w:color="000000" w:fill="2363AF"/>
            <w:vAlign w:val="center"/>
            <w:hideMark/>
          </w:tcPr>
          <w:p w14:paraId="1B6ED242"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26,599</w:t>
            </w:r>
          </w:p>
        </w:tc>
        <w:tc>
          <w:tcPr>
            <w:tcW w:w="850" w:type="dxa"/>
            <w:tcBorders>
              <w:top w:val="nil"/>
              <w:left w:val="nil"/>
              <w:bottom w:val="single" w:sz="4" w:space="0" w:color="auto"/>
              <w:right w:val="single" w:sz="4" w:space="0" w:color="auto"/>
            </w:tcBorders>
            <w:shd w:val="clear" w:color="000000" w:fill="2363AF"/>
            <w:vAlign w:val="center"/>
            <w:hideMark/>
          </w:tcPr>
          <w:p w14:paraId="0584E042" w14:textId="77777777" w:rsidR="00D71210" w:rsidRPr="003B35B0" w:rsidRDefault="00D71210" w:rsidP="00D71210">
            <w:pPr>
              <w:spacing w:after="0" w:line="240" w:lineRule="auto"/>
              <w:jc w:val="right"/>
              <w:rPr>
                <w:rFonts w:eastAsia="Times New Roman" w:cs="Calibri"/>
                <w:color w:val="FFFFFF"/>
                <w:sz w:val="16"/>
                <w:szCs w:val="16"/>
              </w:rPr>
            </w:pPr>
            <w:r w:rsidRPr="003B35B0">
              <w:rPr>
                <w:rFonts w:eastAsia="Times New Roman" w:cs="Calibri"/>
                <w:color w:val="FFFFFF"/>
                <w:sz w:val="16"/>
                <w:szCs w:val="16"/>
              </w:rPr>
              <w:t>35,376</w:t>
            </w:r>
          </w:p>
        </w:tc>
      </w:tr>
    </w:tbl>
    <w:p w14:paraId="2BB4DB3C" w14:textId="77777777" w:rsidR="00D71210" w:rsidRPr="00AE1DD3" w:rsidRDefault="00D71210" w:rsidP="00A61EF7">
      <w:pPr>
        <w:numPr>
          <w:ilvl w:val="1"/>
          <w:numId w:val="0"/>
        </w:numPr>
        <w:spacing w:before="240" w:after="240"/>
        <w:rPr>
          <w:b/>
        </w:rPr>
      </w:pPr>
    </w:p>
    <w:p w14:paraId="6D0B9CDF" w14:textId="77777777" w:rsidR="006031F0" w:rsidRDefault="006031F0" w:rsidP="003B35B0">
      <w:pPr>
        <w:spacing w:after="360"/>
      </w:pPr>
    </w:p>
    <w:p w14:paraId="7C707EEF" w14:textId="018CEFE8" w:rsidR="00DE1AA7" w:rsidRDefault="00C923F5" w:rsidP="003B35B0">
      <w:pPr>
        <w:spacing w:after="120"/>
      </w:pPr>
      <w:r w:rsidRPr="003B35B0">
        <w:rPr>
          <w:b/>
        </w:rPr>
        <w:lastRenderedPageBreak/>
        <w:t xml:space="preserve">Figure 6.1: </w:t>
      </w:r>
      <w:r w:rsidR="00357C9E">
        <w:rPr>
          <w:b/>
        </w:rPr>
        <w:t>C</w:t>
      </w:r>
      <w:r w:rsidRPr="003B35B0">
        <w:rPr>
          <w:b/>
        </w:rPr>
        <w:t xml:space="preserve">apacity deployed by </w:t>
      </w:r>
      <w:r w:rsidR="00912A35">
        <w:rPr>
          <w:b/>
        </w:rPr>
        <w:t xml:space="preserve">country and </w:t>
      </w:r>
      <w:r w:rsidRPr="003B35B0">
        <w:rPr>
          <w:b/>
        </w:rPr>
        <w:t>technology type</w:t>
      </w:r>
      <w:r w:rsidR="00964B66" w:rsidRPr="00964B66">
        <w:t xml:space="preserve"> </w:t>
      </w:r>
    </w:p>
    <w:p w14:paraId="16CD3975" w14:textId="47F603D0" w:rsidR="00DE1AA7" w:rsidRDefault="003E1DE0">
      <w:pPr>
        <w:spacing w:line="276" w:lineRule="auto"/>
      </w:pPr>
      <w:r>
        <w:rPr>
          <w:noProof/>
        </w:rPr>
        <w:drawing>
          <wp:inline distT="0" distB="0" distL="0" distR="0" wp14:anchorId="5190BCB1" wp14:editId="02367523">
            <wp:extent cx="6530400" cy="7763574"/>
            <wp:effectExtent l="0" t="0" r="0" b="8890"/>
            <wp:docPr id="63" name="Picture 63" descr="This image is a map of Great Britain and Northern Ireland, alongside pie charts showing the breakdown of capacity deployed by technology type for each country. &#10;&#10;The data used to produce this image is published alongside this report on 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image is a map of Great Britain and Northern Ireland, alongside pie charts showing the breakdown of capacity deployed by technology type for each country. &#10;&#10;The data used to produce this image is published alongside this report on our website."/>
                    <pic:cNvPicPr/>
                  </pic:nvPicPr>
                  <pic:blipFill>
                    <a:blip r:embed="rId79"/>
                    <a:stretch>
                      <a:fillRect/>
                    </a:stretch>
                  </pic:blipFill>
                  <pic:spPr>
                    <a:xfrm>
                      <a:off x="0" y="0"/>
                      <a:ext cx="6530400" cy="7763574"/>
                    </a:xfrm>
                    <a:prstGeom prst="rect">
                      <a:avLst/>
                    </a:prstGeom>
                  </pic:spPr>
                </pic:pic>
              </a:graphicData>
            </a:graphic>
          </wp:inline>
        </w:drawing>
      </w:r>
      <w:r w:rsidR="00DE1AA7">
        <w:br w:type="page"/>
      </w:r>
    </w:p>
    <w:p w14:paraId="03C8E31D" w14:textId="52155F4B" w:rsidR="00F01C7B" w:rsidRPr="0076464C" w:rsidRDefault="00F01C7B" w:rsidP="003B35B0">
      <w:pPr>
        <w:pStyle w:val="CH6normal"/>
        <w:ind w:left="567" w:hanging="567"/>
      </w:pPr>
      <w:r w:rsidRPr="0076464C">
        <w:rPr>
          <w:b/>
        </w:rPr>
        <w:lastRenderedPageBreak/>
        <w:t xml:space="preserve">Figure 6.2 </w:t>
      </w:r>
      <w:r w:rsidRPr="0076464C">
        <w:t>below</w:t>
      </w:r>
      <w:r w:rsidR="00C50B16" w:rsidRPr="00C50B16">
        <w:t xml:space="preserve"> shows the proportion of accredited stations which are micro and non-micro. While micro stations make up 22,682</w:t>
      </w:r>
      <w:r w:rsidR="00FA72BD">
        <w:t xml:space="preserve"> (85%)</w:t>
      </w:r>
      <w:r w:rsidR="00C50B16" w:rsidRPr="00C50B16">
        <w:t xml:space="preserve"> of the 26,599</w:t>
      </w:r>
      <w:r w:rsidR="00C50B16">
        <w:t xml:space="preserve"> total</w:t>
      </w:r>
      <w:r w:rsidR="00C50B16" w:rsidRPr="00C50B16">
        <w:t xml:space="preserve"> stations, they only provide 121.53 MW</w:t>
      </w:r>
      <w:r w:rsidR="00FA72BD">
        <w:t xml:space="preserve"> (0.34%)</w:t>
      </w:r>
      <w:r w:rsidR="00C50B16" w:rsidRPr="00C50B16">
        <w:t xml:space="preserve"> of </w:t>
      </w:r>
      <w:r w:rsidR="00FA72BD">
        <w:t xml:space="preserve">installed </w:t>
      </w:r>
      <w:r w:rsidR="00C50B16" w:rsidRPr="00C50B16">
        <w:t>capacity</w:t>
      </w:r>
      <w:r w:rsidR="00C50B16">
        <w:t xml:space="preserve">. Meanwhile, non-micro stations have a combined capacity of </w:t>
      </w:r>
      <w:r w:rsidR="00C50B16" w:rsidRPr="00C50B16">
        <w:t>35</w:t>
      </w:r>
      <w:r w:rsidR="00C50B16">
        <w:t>,</w:t>
      </w:r>
      <w:r w:rsidR="00C50B16" w:rsidRPr="00C50B16">
        <w:t>254</w:t>
      </w:r>
      <w:r w:rsidR="00C50B16">
        <w:t xml:space="preserve"> MW. </w:t>
      </w:r>
    </w:p>
    <w:p w14:paraId="5F6EA1C2" w14:textId="0FE0242E" w:rsidR="009921A4" w:rsidRDefault="009921A4" w:rsidP="009921A4">
      <w:pPr>
        <w:rPr>
          <w:b/>
          <w:color w:val="000000" w:themeColor="text1"/>
          <w:szCs w:val="28"/>
        </w:rPr>
      </w:pPr>
      <w:r w:rsidRPr="0076464C">
        <w:rPr>
          <w:b/>
        </w:rPr>
        <w:t>Figure 6.</w:t>
      </w:r>
      <w:r w:rsidR="00C923F5" w:rsidRPr="0076464C">
        <w:rPr>
          <w:b/>
        </w:rPr>
        <w:t>2</w:t>
      </w:r>
      <w:r w:rsidRPr="0076464C">
        <w:rPr>
          <w:b/>
        </w:rPr>
        <w:t xml:space="preserve">: </w:t>
      </w:r>
      <w:r w:rsidRPr="0076464C">
        <w:rPr>
          <w:b/>
          <w:color w:val="000000" w:themeColor="text1"/>
          <w:szCs w:val="28"/>
        </w:rPr>
        <w:t xml:space="preserve">Percentage of accredited stations </w:t>
      </w:r>
      <w:r w:rsidR="002721B0">
        <w:rPr>
          <w:b/>
          <w:color w:val="000000" w:themeColor="text1"/>
          <w:szCs w:val="28"/>
        </w:rPr>
        <w:t>and capacity</w:t>
      </w:r>
      <w:r w:rsidRPr="0076464C">
        <w:rPr>
          <w:b/>
          <w:color w:val="000000" w:themeColor="text1"/>
          <w:szCs w:val="28"/>
        </w:rPr>
        <w:t xml:space="preserve"> – </w:t>
      </w:r>
      <w:r w:rsidR="00FC4B0F" w:rsidRPr="0076464C">
        <w:rPr>
          <w:b/>
          <w:color w:val="000000" w:themeColor="text1"/>
          <w:szCs w:val="28"/>
        </w:rPr>
        <w:t>micro-NIRO</w:t>
      </w:r>
      <w:r w:rsidRPr="0076464C">
        <w:rPr>
          <w:b/>
          <w:color w:val="000000" w:themeColor="text1"/>
          <w:szCs w:val="28"/>
        </w:rPr>
        <w:t xml:space="preserve"> vs non </w:t>
      </w:r>
      <w:r w:rsidR="00FC4B0F" w:rsidRPr="0076464C">
        <w:rPr>
          <w:b/>
          <w:color w:val="000000" w:themeColor="text1"/>
          <w:szCs w:val="28"/>
        </w:rPr>
        <w:t>micro-NIRO</w:t>
      </w:r>
    </w:p>
    <w:p w14:paraId="4A6FF9E4" w14:textId="65BB773A" w:rsidR="009921A4" w:rsidRDefault="007F595B" w:rsidP="009921A4">
      <w:r>
        <w:rPr>
          <w:noProof/>
        </w:rPr>
        <w:drawing>
          <wp:inline distT="0" distB="0" distL="0" distR="0" wp14:anchorId="77ABA1D7" wp14:editId="3E00259C">
            <wp:extent cx="2965450" cy="2803510"/>
            <wp:effectExtent l="0" t="0" r="6350" b="0"/>
            <wp:docPr id="276" name="Chart 276" descr="This pie chart shows that Micro stations make up 85% of accredited stations. &#10;&#10;The data used to produce this chart is published alongside this report on our website.">
              <a:extLst xmlns:a="http://schemas.openxmlformats.org/drawingml/2006/main">
                <a:ext uri="{FF2B5EF4-FFF2-40B4-BE49-F238E27FC236}">
                  <a16:creationId xmlns:a16="http://schemas.microsoft.com/office/drawing/2014/main" id="{8ED258C4-CD2F-4517-A27B-A01F7B29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rPr>
        <w:drawing>
          <wp:inline distT="0" distB="0" distL="0" distR="0" wp14:anchorId="1F95723E" wp14:editId="74739FE2">
            <wp:extent cx="2873650" cy="2803510"/>
            <wp:effectExtent l="0" t="0" r="3175" b="0"/>
            <wp:docPr id="277" name="Chart 277" descr="This pie chart shows that Non-Micro stations make up more than 99% of the installed capacity. &#10;&#10;The data used to produce this chart is published alongside this report on our website.">
              <a:extLst xmlns:a="http://schemas.openxmlformats.org/drawingml/2006/main">
                <a:ext uri="{FF2B5EF4-FFF2-40B4-BE49-F238E27FC236}">
                  <a16:creationId xmlns:a16="http://schemas.microsoft.com/office/drawing/2014/main" id="{24EED9B4-FF82-470F-8C31-97AF506DF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096C60" w14:textId="425B1C9D" w:rsidR="00F01C7B" w:rsidRPr="0076464C" w:rsidRDefault="00F01C7B" w:rsidP="003B35B0">
      <w:pPr>
        <w:pStyle w:val="CH6normal"/>
        <w:ind w:left="567" w:hanging="567"/>
        <w:rPr>
          <w:bCs/>
        </w:rPr>
      </w:pPr>
      <w:r w:rsidRPr="0076464C">
        <w:rPr>
          <w:b/>
        </w:rPr>
        <w:t xml:space="preserve">Figure 6.3 </w:t>
      </w:r>
      <w:r w:rsidRPr="0076464C">
        <w:t xml:space="preserve">provides a snapshot of the capacity accredited under the scheme (excluding </w:t>
      </w:r>
      <w:r w:rsidR="00FC4B0F" w:rsidRPr="0076464C">
        <w:t>micro-NIRO</w:t>
      </w:r>
      <w:r w:rsidRPr="0076464C">
        <w:t>) and the corresponding number of stations. Onshore wind has the most capacity (12,216</w:t>
      </w:r>
      <w:r w:rsidR="00032947">
        <w:t xml:space="preserve"> </w:t>
      </w:r>
      <w:r w:rsidRPr="0076464C">
        <w:t>MW) and number of stations (1,403) giving an average capacity of 8.71</w:t>
      </w:r>
      <w:r w:rsidR="00032947">
        <w:t xml:space="preserve"> </w:t>
      </w:r>
      <w:r w:rsidRPr="0076464C">
        <w:t>MW. Offshore wind</w:t>
      </w:r>
      <w:r w:rsidR="002918CF">
        <w:t>, which</w:t>
      </w:r>
      <w:r w:rsidRPr="0076464C">
        <w:t xml:space="preserve"> has a total of 6,558</w:t>
      </w:r>
      <w:r w:rsidR="00032947">
        <w:t xml:space="preserve"> </w:t>
      </w:r>
      <w:r w:rsidRPr="0076464C">
        <w:t>MW and only 36 stations</w:t>
      </w:r>
      <w:r w:rsidR="002918CF">
        <w:t>,</w:t>
      </w:r>
      <w:r w:rsidRPr="0076464C">
        <w:t xml:space="preserve"> has a much larger average capacity of 182.17</w:t>
      </w:r>
      <w:r w:rsidR="00032947">
        <w:t xml:space="preserve"> </w:t>
      </w:r>
      <w:r w:rsidRPr="0076464C">
        <w:t>MW. Fuelled and solar PV stations also have relatively large average capacities – 13.15</w:t>
      </w:r>
      <w:r w:rsidR="00032947">
        <w:t xml:space="preserve"> </w:t>
      </w:r>
      <w:r w:rsidRPr="0076464C">
        <w:t>MW and 6.30</w:t>
      </w:r>
      <w:r w:rsidR="00032947">
        <w:t xml:space="preserve"> </w:t>
      </w:r>
      <w:r w:rsidRPr="0076464C">
        <w:t>MW respectively. The average size of stations for the other technology types are smaller - hydro (2.79</w:t>
      </w:r>
      <w:r w:rsidR="00032947">
        <w:t xml:space="preserve"> </w:t>
      </w:r>
      <w:r w:rsidRPr="0076464C">
        <w:t>MW), landfill gas (1.9</w:t>
      </w:r>
      <w:r w:rsidR="00276AD2" w:rsidRPr="0076464C">
        <w:t>2</w:t>
      </w:r>
      <w:r w:rsidR="00032947">
        <w:t xml:space="preserve"> </w:t>
      </w:r>
      <w:r w:rsidRPr="0076464C">
        <w:t>MW), tidal stream (1.52</w:t>
      </w:r>
      <w:r w:rsidR="00032947">
        <w:t xml:space="preserve"> </w:t>
      </w:r>
      <w:r w:rsidRPr="0076464C">
        <w:t>MW), sewage gas (1.</w:t>
      </w:r>
      <w:r w:rsidR="00276AD2" w:rsidRPr="0076464C">
        <w:t>19</w:t>
      </w:r>
      <w:r w:rsidR="00032947">
        <w:t xml:space="preserve"> </w:t>
      </w:r>
      <w:r w:rsidRPr="0076464C">
        <w:t>MW) and wave power (0.67</w:t>
      </w:r>
      <w:r w:rsidR="00032947">
        <w:t xml:space="preserve"> </w:t>
      </w:r>
      <w:r w:rsidRPr="0076464C">
        <w:t>MW).</w:t>
      </w:r>
    </w:p>
    <w:p w14:paraId="595EA91F" w14:textId="0B19BC89" w:rsidR="009921A4" w:rsidRDefault="009921A4" w:rsidP="007E1963"/>
    <w:p w14:paraId="51A9DC75" w14:textId="77777777" w:rsidR="009921A4" w:rsidRDefault="009921A4" w:rsidP="007E1963">
      <w:pPr>
        <w:rPr>
          <w:b/>
        </w:rPr>
      </w:pPr>
    </w:p>
    <w:p w14:paraId="10508F83" w14:textId="77777777" w:rsidR="00733CFD" w:rsidRDefault="00733CFD" w:rsidP="007E1963">
      <w:pPr>
        <w:rPr>
          <w:b/>
        </w:rPr>
      </w:pPr>
    </w:p>
    <w:p w14:paraId="3C3F85D9" w14:textId="77777777" w:rsidR="00733CFD" w:rsidRDefault="00733CFD" w:rsidP="007E1963">
      <w:pPr>
        <w:rPr>
          <w:b/>
        </w:rPr>
      </w:pPr>
    </w:p>
    <w:p w14:paraId="249AABAD" w14:textId="77777777" w:rsidR="00733CFD" w:rsidRDefault="00733CFD" w:rsidP="007E1963">
      <w:pPr>
        <w:rPr>
          <w:b/>
        </w:rPr>
      </w:pPr>
    </w:p>
    <w:p w14:paraId="35491BE4" w14:textId="77777777" w:rsidR="00B559F8" w:rsidRDefault="00B559F8">
      <w:pPr>
        <w:spacing w:line="276" w:lineRule="auto"/>
        <w:rPr>
          <w:b/>
        </w:rPr>
      </w:pPr>
      <w:r>
        <w:rPr>
          <w:b/>
        </w:rPr>
        <w:br w:type="page"/>
      </w:r>
    </w:p>
    <w:p w14:paraId="2B00F670" w14:textId="2359E24B" w:rsidR="00F6069F" w:rsidRDefault="00F6069F" w:rsidP="007E1963">
      <w:pPr>
        <w:rPr>
          <w:b/>
          <w:color w:val="000000" w:themeColor="text1"/>
          <w:szCs w:val="28"/>
        </w:rPr>
      </w:pPr>
      <w:r w:rsidRPr="0076464C">
        <w:rPr>
          <w:b/>
        </w:rPr>
        <w:lastRenderedPageBreak/>
        <w:t>Figure 6.</w:t>
      </w:r>
      <w:r w:rsidR="00C923F5" w:rsidRPr="0076464C">
        <w:rPr>
          <w:b/>
        </w:rPr>
        <w:t>3</w:t>
      </w:r>
      <w:r w:rsidRPr="0076464C">
        <w:rPr>
          <w:b/>
        </w:rPr>
        <w:t xml:space="preserve">: </w:t>
      </w:r>
      <w:r w:rsidRPr="0076464C">
        <w:rPr>
          <w:b/>
          <w:color w:val="000000" w:themeColor="text1"/>
          <w:szCs w:val="28"/>
        </w:rPr>
        <w:t xml:space="preserve">Total accredited capacity and number of stations by technology (excluding </w:t>
      </w:r>
      <w:r w:rsidR="00FC4B0F" w:rsidRPr="0076464C">
        <w:rPr>
          <w:b/>
          <w:color w:val="000000" w:themeColor="text1"/>
          <w:szCs w:val="28"/>
        </w:rPr>
        <w:t>micro-NIRO</w:t>
      </w:r>
      <w:r w:rsidRPr="0076464C">
        <w:rPr>
          <w:b/>
          <w:color w:val="000000" w:themeColor="text1"/>
          <w:szCs w:val="28"/>
        </w:rPr>
        <w:t>)</w:t>
      </w:r>
    </w:p>
    <w:p w14:paraId="2E3C454E" w14:textId="31A5706F" w:rsidR="00F6069F" w:rsidRDefault="007F595B" w:rsidP="007E1963">
      <w:pPr>
        <w:rPr>
          <w:b/>
          <w:color w:val="000000" w:themeColor="text1"/>
          <w:szCs w:val="28"/>
        </w:rPr>
      </w:pPr>
      <w:r w:rsidRPr="003B35B0">
        <w:rPr>
          <w:noProof/>
          <w:shd w:val="clear" w:color="auto" w:fill="FFFFFF" w:themeFill="background1"/>
        </w:rPr>
        <w:drawing>
          <wp:inline distT="0" distB="0" distL="0" distR="0" wp14:anchorId="61D3840B" wp14:editId="6ED82436">
            <wp:extent cx="6120130" cy="3030279"/>
            <wp:effectExtent l="0" t="0" r="0" b="0"/>
            <wp:docPr id="278" name="Chart 278" descr="This chart shows the total accredited capacity and the number of stations for each technology type.&#10;&#10;The data used to produce this chart is published alongside this report on our website.">
              <a:extLst xmlns:a="http://schemas.openxmlformats.org/drawingml/2006/main">
                <a:ext uri="{FF2B5EF4-FFF2-40B4-BE49-F238E27FC236}">
                  <a16:creationId xmlns:a16="http://schemas.microsoft.com/office/drawing/2014/main" id="{A5B331D9-61AF-40E3-8500-32DDC4D65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5FE47BB" w14:textId="3BC1CE90" w:rsidR="001F73E7" w:rsidRPr="0076464C" w:rsidRDefault="001F73E7" w:rsidP="003B35B0">
      <w:pPr>
        <w:pStyle w:val="CH6normal"/>
        <w:ind w:left="567" w:hanging="567"/>
        <w:rPr>
          <w:bCs/>
        </w:rPr>
      </w:pPr>
      <w:r w:rsidRPr="0076464C">
        <w:t xml:space="preserve">As shown in </w:t>
      </w:r>
      <w:r w:rsidRPr="0076464C">
        <w:rPr>
          <w:b/>
        </w:rPr>
        <w:t xml:space="preserve">Table 6.2 </w:t>
      </w:r>
      <w:r w:rsidRPr="0076464C">
        <w:t xml:space="preserve">by far the most common </w:t>
      </w:r>
      <w:r w:rsidR="00FC4B0F" w:rsidRPr="0076464C">
        <w:t>micro-NIRO</w:t>
      </w:r>
      <w:r w:rsidRPr="0076464C">
        <w:t xml:space="preserve"> technology is solar PV, making up 97.8% of all micro accreditations and accounting for </w:t>
      </w:r>
      <w:r w:rsidR="002918CF">
        <w:t>96.0</w:t>
      </w:r>
      <w:r w:rsidRPr="0076464C">
        <w:t xml:space="preserve">% of installed micro capacity. After this, onshore wind is the most common technology making up </w:t>
      </w:r>
      <w:r w:rsidR="00C413BF" w:rsidRPr="0076464C">
        <w:t>about</w:t>
      </w:r>
      <w:r w:rsidRPr="0076464C">
        <w:t xml:space="preserve"> </w:t>
      </w:r>
      <w:r w:rsidR="00C413BF" w:rsidRPr="0076464C">
        <w:t>1.9</w:t>
      </w:r>
      <w:r w:rsidRPr="0076464C">
        <w:t>% of stations and 3.1% of installed capacity.</w:t>
      </w:r>
    </w:p>
    <w:p w14:paraId="4FFDA7CC" w14:textId="77777777" w:rsidR="00C923F5" w:rsidRDefault="00C923F5" w:rsidP="00985B64">
      <w:pPr>
        <w:spacing w:line="276" w:lineRule="auto"/>
        <w:rPr>
          <w:b/>
        </w:rPr>
      </w:pPr>
    </w:p>
    <w:p w14:paraId="22B1A8A7" w14:textId="197CC309" w:rsidR="00985B64" w:rsidRPr="00927F42" w:rsidRDefault="00985B64" w:rsidP="00985B64">
      <w:pPr>
        <w:spacing w:line="276" w:lineRule="auto"/>
        <w:rPr>
          <w:b/>
        </w:rPr>
      </w:pPr>
      <w:r w:rsidRPr="0076464C">
        <w:rPr>
          <w:b/>
        </w:rPr>
        <w:t xml:space="preserve">Table 6.2: Micro NIRO </w:t>
      </w:r>
      <w:r w:rsidRPr="0076464C">
        <w:rPr>
          <w:b/>
          <w:color w:val="000000" w:themeColor="text1"/>
          <w:szCs w:val="28"/>
        </w:rPr>
        <w:t>accredited capacity and number of stations by technology</w:t>
      </w:r>
    </w:p>
    <w:tbl>
      <w:tblPr>
        <w:tblStyle w:val="TableGrid"/>
        <w:tblW w:w="0" w:type="auto"/>
        <w:tblLook w:val="04A0" w:firstRow="1" w:lastRow="0" w:firstColumn="1" w:lastColumn="0" w:noHBand="0" w:noVBand="1"/>
      </w:tblPr>
      <w:tblGrid>
        <w:gridCol w:w="2405"/>
        <w:gridCol w:w="1805"/>
        <w:gridCol w:w="1806"/>
        <w:gridCol w:w="1806"/>
        <w:gridCol w:w="1806"/>
      </w:tblGrid>
      <w:tr w:rsidR="00352141" w14:paraId="3DE12375" w14:textId="77777777" w:rsidTr="003B35B0">
        <w:tc>
          <w:tcPr>
            <w:tcW w:w="2405" w:type="dxa"/>
            <w:tcBorders>
              <w:top w:val="nil"/>
              <w:left w:val="nil"/>
            </w:tcBorders>
          </w:tcPr>
          <w:p w14:paraId="19C585E6" w14:textId="77777777" w:rsidR="00352141" w:rsidRDefault="00352141" w:rsidP="00352141"/>
        </w:tc>
        <w:tc>
          <w:tcPr>
            <w:tcW w:w="1805" w:type="dxa"/>
            <w:shd w:val="clear" w:color="auto" w:fill="2363AF"/>
            <w:vAlign w:val="center"/>
          </w:tcPr>
          <w:p w14:paraId="49AE8BEA" w14:textId="410ACFC3" w:rsidR="00352141" w:rsidRPr="003B35B0" w:rsidRDefault="00352141" w:rsidP="003B35B0">
            <w:pPr>
              <w:spacing w:line="240" w:lineRule="auto"/>
              <w:jc w:val="right"/>
              <w:rPr>
                <w:color w:val="FFFFFF" w:themeColor="background1"/>
                <w:sz w:val="16"/>
                <w:szCs w:val="16"/>
              </w:rPr>
            </w:pPr>
            <w:r w:rsidRPr="003B35B0">
              <w:rPr>
                <w:color w:val="FFFFFF" w:themeColor="background1"/>
                <w:sz w:val="16"/>
                <w:szCs w:val="16"/>
              </w:rPr>
              <w:t>Solar PV</w:t>
            </w:r>
          </w:p>
        </w:tc>
        <w:tc>
          <w:tcPr>
            <w:tcW w:w="1806" w:type="dxa"/>
            <w:shd w:val="clear" w:color="auto" w:fill="2363AF"/>
            <w:vAlign w:val="center"/>
          </w:tcPr>
          <w:p w14:paraId="483A7529" w14:textId="110D8FFC" w:rsidR="00352141" w:rsidRPr="003B35B0" w:rsidRDefault="00352141" w:rsidP="003B35B0">
            <w:pPr>
              <w:spacing w:line="240" w:lineRule="auto"/>
              <w:jc w:val="right"/>
              <w:rPr>
                <w:color w:val="FFFFFF" w:themeColor="background1"/>
                <w:sz w:val="16"/>
                <w:szCs w:val="16"/>
              </w:rPr>
            </w:pPr>
            <w:r w:rsidRPr="003B35B0">
              <w:rPr>
                <w:color w:val="FFFFFF" w:themeColor="background1"/>
                <w:sz w:val="16"/>
                <w:szCs w:val="16"/>
              </w:rPr>
              <w:t>Onshore wind</w:t>
            </w:r>
          </w:p>
        </w:tc>
        <w:tc>
          <w:tcPr>
            <w:tcW w:w="1806" w:type="dxa"/>
            <w:shd w:val="clear" w:color="auto" w:fill="2363AF"/>
            <w:vAlign w:val="center"/>
          </w:tcPr>
          <w:p w14:paraId="05AD87FB" w14:textId="24313FDE" w:rsidR="00352141" w:rsidRPr="003B35B0" w:rsidRDefault="00352141" w:rsidP="003B35B0">
            <w:pPr>
              <w:spacing w:line="240" w:lineRule="auto"/>
              <w:jc w:val="right"/>
              <w:rPr>
                <w:color w:val="FFFFFF" w:themeColor="background1"/>
                <w:sz w:val="16"/>
                <w:szCs w:val="16"/>
              </w:rPr>
            </w:pPr>
            <w:r w:rsidRPr="003B35B0">
              <w:rPr>
                <w:color w:val="FFFFFF" w:themeColor="background1"/>
                <w:sz w:val="16"/>
                <w:szCs w:val="16"/>
              </w:rPr>
              <w:t>Hydro</w:t>
            </w:r>
          </w:p>
        </w:tc>
        <w:tc>
          <w:tcPr>
            <w:tcW w:w="1806" w:type="dxa"/>
            <w:shd w:val="clear" w:color="auto" w:fill="2363AF"/>
            <w:vAlign w:val="center"/>
          </w:tcPr>
          <w:p w14:paraId="6D4652BE" w14:textId="683B8D43" w:rsidR="00352141" w:rsidRPr="003B35B0" w:rsidRDefault="00352141" w:rsidP="003B35B0">
            <w:pPr>
              <w:spacing w:line="240" w:lineRule="auto"/>
              <w:jc w:val="right"/>
              <w:rPr>
                <w:color w:val="FFFFFF" w:themeColor="background1"/>
                <w:sz w:val="16"/>
                <w:szCs w:val="16"/>
              </w:rPr>
            </w:pPr>
            <w:r w:rsidRPr="003B35B0">
              <w:rPr>
                <w:color w:val="FFFFFF" w:themeColor="background1"/>
                <w:sz w:val="16"/>
                <w:szCs w:val="16"/>
              </w:rPr>
              <w:t>Fuelled</w:t>
            </w:r>
          </w:p>
        </w:tc>
      </w:tr>
      <w:tr w:rsidR="00352141" w14:paraId="38B10399" w14:textId="77777777" w:rsidTr="003B35B0">
        <w:trPr>
          <w:trHeight w:val="340"/>
        </w:trPr>
        <w:tc>
          <w:tcPr>
            <w:tcW w:w="2405" w:type="dxa"/>
            <w:shd w:val="clear" w:color="auto" w:fill="2363AF"/>
            <w:vAlign w:val="center"/>
          </w:tcPr>
          <w:p w14:paraId="011A10A8" w14:textId="14FD1431" w:rsidR="00352141" w:rsidRDefault="00352141" w:rsidP="003B35B0">
            <w:pPr>
              <w:spacing w:line="240" w:lineRule="auto"/>
            </w:pPr>
            <w:r w:rsidRPr="00CE1BDB">
              <w:rPr>
                <w:rFonts w:eastAsia="Times New Roman" w:cs="Times New Roman"/>
                <w:color w:val="FFFFFF"/>
                <w:sz w:val="16"/>
                <w:szCs w:val="16"/>
              </w:rPr>
              <w:t>Sum of capacity (MW)</w:t>
            </w:r>
          </w:p>
        </w:tc>
        <w:tc>
          <w:tcPr>
            <w:tcW w:w="1805" w:type="dxa"/>
            <w:vAlign w:val="center"/>
          </w:tcPr>
          <w:p w14:paraId="5FFDA5A4" w14:textId="76FC04A9" w:rsidR="00352141" w:rsidRDefault="00352141" w:rsidP="003B35B0">
            <w:pPr>
              <w:spacing w:line="240" w:lineRule="auto"/>
              <w:jc w:val="right"/>
            </w:pPr>
            <w:r w:rsidRPr="00CE1BDB">
              <w:rPr>
                <w:rFonts w:eastAsia="Times New Roman" w:cs="Times New Roman"/>
                <w:color w:val="000000"/>
                <w:sz w:val="16"/>
                <w:szCs w:val="16"/>
              </w:rPr>
              <w:t>116.</w:t>
            </w:r>
            <w:r>
              <w:rPr>
                <w:rFonts w:eastAsia="Times New Roman" w:cs="Times New Roman"/>
                <w:color w:val="000000"/>
                <w:sz w:val="16"/>
                <w:szCs w:val="16"/>
              </w:rPr>
              <w:t>6</w:t>
            </w:r>
          </w:p>
        </w:tc>
        <w:tc>
          <w:tcPr>
            <w:tcW w:w="1806" w:type="dxa"/>
            <w:vAlign w:val="center"/>
          </w:tcPr>
          <w:p w14:paraId="20C86FA7" w14:textId="3D4BCDF7" w:rsidR="00352141" w:rsidRDefault="00352141" w:rsidP="003B35B0">
            <w:pPr>
              <w:spacing w:line="240" w:lineRule="auto"/>
              <w:jc w:val="right"/>
            </w:pPr>
            <w:r w:rsidRPr="00CE1BDB">
              <w:rPr>
                <w:rFonts w:eastAsia="Times New Roman" w:cs="Times New Roman"/>
                <w:color w:val="000000"/>
                <w:sz w:val="16"/>
                <w:szCs w:val="16"/>
              </w:rPr>
              <w:t>3.8</w:t>
            </w:r>
          </w:p>
        </w:tc>
        <w:tc>
          <w:tcPr>
            <w:tcW w:w="1806" w:type="dxa"/>
            <w:vAlign w:val="center"/>
          </w:tcPr>
          <w:p w14:paraId="44702E43" w14:textId="20295F43" w:rsidR="00352141" w:rsidRDefault="00352141" w:rsidP="003B35B0">
            <w:pPr>
              <w:spacing w:line="240" w:lineRule="auto"/>
              <w:jc w:val="right"/>
            </w:pPr>
            <w:r w:rsidRPr="00CE1BDB">
              <w:rPr>
                <w:rFonts w:eastAsia="Times New Roman" w:cs="Times New Roman"/>
                <w:color w:val="000000"/>
                <w:sz w:val="16"/>
                <w:szCs w:val="16"/>
              </w:rPr>
              <w:t>0.9</w:t>
            </w:r>
          </w:p>
        </w:tc>
        <w:tc>
          <w:tcPr>
            <w:tcW w:w="1806" w:type="dxa"/>
            <w:vAlign w:val="center"/>
          </w:tcPr>
          <w:p w14:paraId="1EAB9CF4" w14:textId="6E3861B5" w:rsidR="00352141" w:rsidRDefault="00352141" w:rsidP="003B35B0">
            <w:pPr>
              <w:spacing w:line="240" w:lineRule="auto"/>
              <w:jc w:val="right"/>
            </w:pPr>
            <w:r w:rsidRPr="00CE1BDB">
              <w:rPr>
                <w:rFonts w:eastAsia="Times New Roman" w:cs="Times New Roman"/>
                <w:color w:val="000000"/>
                <w:sz w:val="16"/>
                <w:szCs w:val="16"/>
              </w:rPr>
              <w:t>0.2</w:t>
            </w:r>
          </w:p>
        </w:tc>
      </w:tr>
      <w:tr w:rsidR="00352141" w14:paraId="2428538A" w14:textId="77777777" w:rsidTr="003B35B0">
        <w:trPr>
          <w:trHeight w:val="340"/>
        </w:trPr>
        <w:tc>
          <w:tcPr>
            <w:tcW w:w="2405" w:type="dxa"/>
            <w:shd w:val="clear" w:color="auto" w:fill="2363AF"/>
            <w:vAlign w:val="center"/>
          </w:tcPr>
          <w:p w14:paraId="79E3DEF1" w14:textId="696D06D5" w:rsidR="00352141" w:rsidRDefault="00352141" w:rsidP="003B35B0">
            <w:pPr>
              <w:spacing w:line="240" w:lineRule="auto"/>
            </w:pPr>
            <w:r w:rsidRPr="00CE1BDB">
              <w:rPr>
                <w:rFonts w:eastAsia="Times New Roman" w:cs="Times New Roman"/>
                <w:color w:val="FFFFFF"/>
                <w:sz w:val="16"/>
                <w:szCs w:val="16"/>
              </w:rPr>
              <w:t>Number of stations</w:t>
            </w:r>
          </w:p>
        </w:tc>
        <w:tc>
          <w:tcPr>
            <w:tcW w:w="1805" w:type="dxa"/>
            <w:vAlign w:val="center"/>
          </w:tcPr>
          <w:p w14:paraId="35ECC600" w14:textId="0423CF85" w:rsidR="00352141" w:rsidRDefault="00352141" w:rsidP="003B35B0">
            <w:pPr>
              <w:spacing w:line="240" w:lineRule="auto"/>
              <w:jc w:val="right"/>
            </w:pPr>
            <w:r w:rsidRPr="00CE1BDB">
              <w:rPr>
                <w:rFonts w:eastAsia="Times New Roman" w:cs="Times New Roman"/>
                <w:color w:val="000000"/>
                <w:sz w:val="16"/>
                <w:szCs w:val="16"/>
              </w:rPr>
              <w:t>22,18</w:t>
            </w:r>
            <w:r>
              <w:rPr>
                <w:rFonts w:eastAsia="Times New Roman" w:cs="Times New Roman"/>
                <w:color w:val="000000"/>
                <w:sz w:val="16"/>
                <w:szCs w:val="16"/>
              </w:rPr>
              <w:t>9</w:t>
            </w:r>
          </w:p>
        </w:tc>
        <w:tc>
          <w:tcPr>
            <w:tcW w:w="1806" w:type="dxa"/>
            <w:vAlign w:val="center"/>
          </w:tcPr>
          <w:p w14:paraId="5774D0FB" w14:textId="6CDCDC5C" w:rsidR="00352141" w:rsidRDefault="00352141" w:rsidP="003B35B0">
            <w:pPr>
              <w:spacing w:line="240" w:lineRule="auto"/>
              <w:jc w:val="right"/>
            </w:pPr>
            <w:r w:rsidRPr="00CE1BDB">
              <w:rPr>
                <w:rFonts w:eastAsia="Times New Roman" w:cs="Times New Roman"/>
                <w:color w:val="000000"/>
                <w:sz w:val="16"/>
                <w:szCs w:val="16"/>
              </w:rPr>
              <w:t>438</w:t>
            </w:r>
          </w:p>
        </w:tc>
        <w:tc>
          <w:tcPr>
            <w:tcW w:w="1806" w:type="dxa"/>
            <w:vAlign w:val="center"/>
          </w:tcPr>
          <w:p w14:paraId="37820500" w14:textId="6FFE945A" w:rsidR="00352141" w:rsidRDefault="00352141" w:rsidP="003B35B0">
            <w:pPr>
              <w:spacing w:line="240" w:lineRule="auto"/>
              <w:jc w:val="right"/>
            </w:pPr>
            <w:r w:rsidRPr="00CE1BDB">
              <w:rPr>
                <w:rFonts w:eastAsia="Times New Roman" w:cs="Times New Roman"/>
                <w:color w:val="000000"/>
                <w:sz w:val="16"/>
                <w:szCs w:val="16"/>
              </w:rPr>
              <w:t>5</w:t>
            </w:r>
            <w:r>
              <w:rPr>
                <w:rFonts w:eastAsia="Times New Roman" w:cs="Times New Roman"/>
                <w:color w:val="000000"/>
                <w:sz w:val="16"/>
                <w:szCs w:val="16"/>
              </w:rPr>
              <w:t>1</w:t>
            </w:r>
          </w:p>
        </w:tc>
        <w:tc>
          <w:tcPr>
            <w:tcW w:w="1806" w:type="dxa"/>
            <w:vAlign w:val="center"/>
          </w:tcPr>
          <w:p w14:paraId="1206A659" w14:textId="148E464C" w:rsidR="00352141" w:rsidRDefault="00352141" w:rsidP="003B35B0">
            <w:pPr>
              <w:spacing w:line="240" w:lineRule="auto"/>
              <w:jc w:val="right"/>
            </w:pPr>
            <w:r w:rsidRPr="00CE1BDB">
              <w:rPr>
                <w:rFonts w:eastAsia="Times New Roman" w:cs="Times New Roman"/>
                <w:color w:val="000000"/>
                <w:sz w:val="16"/>
                <w:szCs w:val="16"/>
              </w:rPr>
              <w:t>4</w:t>
            </w:r>
          </w:p>
        </w:tc>
      </w:tr>
    </w:tbl>
    <w:p w14:paraId="5D5BF5A3" w14:textId="77777777" w:rsidR="00352141" w:rsidRPr="003B35B0" w:rsidRDefault="00352141" w:rsidP="003B35B0">
      <w:pPr>
        <w:jc w:val="right"/>
      </w:pPr>
    </w:p>
    <w:p w14:paraId="230B7920" w14:textId="0D18553F" w:rsidR="001F73E7" w:rsidRPr="003313AF" w:rsidRDefault="000326C1" w:rsidP="003B35B0">
      <w:pPr>
        <w:pStyle w:val="Heading2"/>
        <w:rPr>
          <w:highlight w:val="yellow"/>
        </w:rPr>
      </w:pPr>
      <w:bookmarkStart w:id="409" w:name="_Toc98852176"/>
      <w:r w:rsidRPr="003B35B0">
        <w:rPr>
          <w:rStyle w:val="Heading1Char"/>
          <w:b/>
          <w:bCs w:val="0"/>
          <w:sz w:val="28"/>
          <w:szCs w:val="26"/>
        </w:rPr>
        <w:t>Accreditations and withdrawals</w:t>
      </w:r>
      <w:bookmarkEnd w:id="409"/>
    </w:p>
    <w:p w14:paraId="0FF9A2CB" w14:textId="4F66B398" w:rsidR="001F73E7" w:rsidRPr="0076464C" w:rsidRDefault="001F73E7" w:rsidP="003B35B0">
      <w:pPr>
        <w:pStyle w:val="CH6normal"/>
        <w:ind w:left="567" w:hanging="567"/>
      </w:pPr>
      <w:bookmarkStart w:id="410" w:name="_Hlk96326357"/>
      <w:r w:rsidRPr="0076464C">
        <w:t xml:space="preserve">One of our key duties as scheme administrators is to assess applications for accreditation against the scheme eligibility criteria. </w:t>
      </w:r>
      <w:r w:rsidR="006E0C42">
        <w:t>T</w:t>
      </w:r>
      <w:r w:rsidRPr="0076464C">
        <w:t>he scheme closed to</w:t>
      </w:r>
      <w:r w:rsidR="00D31E15">
        <w:t xml:space="preserve"> most</w:t>
      </w:r>
      <w:r w:rsidRPr="0076464C">
        <w:t xml:space="preserve"> new generation capacity on 31 March 201</w:t>
      </w:r>
      <w:r w:rsidR="00476D59">
        <w:t>7</w:t>
      </w:r>
      <w:r w:rsidR="00E0766F">
        <w:t>,</w:t>
      </w:r>
      <w:r w:rsidRPr="0076464C">
        <w:t xml:space="preserve"> </w:t>
      </w:r>
      <w:r w:rsidR="006E0C42">
        <w:t xml:space="preserve">and to all new generation capacity </w:t>
      </w:r>
      <w:r w:rsidR="00E0766F">
        <w:t>on</w:t>
      </w:r>
      <w:r w:rsidR="006E0C42">
        <w:t xml:space="preserve"> 31 January 2019</w:t>
      </w:r>
      <w:r w:rsidR="00F85AF8">
        <w:t>. I</w:t>
      </w:r>
      <w:r w:rsidRPr="0076464C">
        <w:t>t has not been possible for stations to have an accreditation date after this</w:t>
      </w:r>
      <w:r w:rsidR="00F85AF8">
        <w:t>,</w:t>
      </w:r>
      <w:r w:rsidRPr="0076464C">
        <w:rPr>
          <w:rStyle w:val="FootnoteReference"/>
        </w:rPr>
        <w:footnoteReference w:id="93"/>
      </w:r>
      <w:r w:rsidRPr="0076464C">
        <w:t xml:space="preserve"> </w:t>
      </w:r>
      <w:r w:rsidR="00F85AF8">
        <w:t>h</w:t>
      </w:r>
      <w:r w:rsidRPr="0076464C">
        <w:t>owever</w:t>
      </w:r>
      <w:r w:rsidR="00F85AF8">
        <w:t>,</w:t>
      </w:r>
      <w:r w:rsidRPr="0076464C">
        <w:t xml:space="preserve"> we </w:t>
      </w:r>
      <w:r w:rsidRPr="0076464C">
        <w:lastRenderedPageBreak/>
        <w:t xml:space="preserve">continue to assess the eligibility of </w:t>
      </w:r>
      <w:r w:rsidR="00E0766F">
        <w:t>some</w:t>
      </w:r>
      <w:r w:rsidRPr="0076464C">
        <w:t xml:space="preserve"> applications with accreditation dates prior to 31 </w:t>
      </w:r>
      <w:r w:rsidR="00F85AF8">
        <w:t>January 2019</w:t>
      </w:r>
      <w:r w:rsidRPr="0076464C">
        <w:t xml:space="preserve">. </w:t>
      </w:r>
    </w:p>
    <w:bookmarkEnd w:id="410"/>
    <w:p w14:paraId="76E6F0D4" w14:textId="65717F6B" w:rsidR="001F73E7" w:rsidRPr="0076464C" w:rsidRDefault="001F73E7" w:rsidP="003B35B0">
      <w:pPr>
        <w:pStyle w:val="CH6normal"/>
        <w:ind w:left="567" w:hanging="567"/>
        <w:rPr>
          <w:bCs/>
        </w:rPr>
      </w:pPr>
      <w:r w:rsidRPr="0076464C">
        <w:t xml:space="preserve">As shown in </w:t>
      </w:r>
      <w:r w:rsidRPr="0076464C">
        <w:rPr>
          <w:b/>
        </w:rPr>
        <w:t>Figures 6.</w:t>
      </w:r>
      <w:r w:rsidR="00ED32E3" w:rsidRPr="0076464C">
        <w:rPr>
          <w:b/>
        </w:rPr>
        <w:t>4</w:t>
      </w:r>
      <w:r w:rsidRPr="0076464C">
        <w:rPr>
          <w:b/>
        </w:rPr>
        <w:t xml:space="preserve"> &amp; 6.</w:t>
      </w:r>
      <w:r w:rsidR="00ED32E3" w:rsidRPr="0076464C">
        <w:rPr>
          <w:b/>
        </w:rPr>
        <w:t>5</w:t>
      </w:r>
      <w:r w:rsidRPr="0076464C">
        <w:t>, since the last annual report the</w:t>
      </w:r>
      <w:r w:rsidR="000326C1">
        <w:t xml:space="preserve"> number of stations accredited on the scheme has grown by </w:t>
      </w:r>
      <w:r w:rsidR="00ED32E3" w:rsidRPr="0076464C">
        <w:t>1</w:t>
      </w:r>
      <w:r w:rsidRPr="0076464C">
        <w:t xml:space="preserve">7 and the total capacity installed has </w:t>
      </w:r>
      <w:r w:rsidR="00ED32E3" w:rsidRPr="0076464C">
        <w:t xml:space="preserve">dropped </w:t>
      </w:r>
      <w:r w:rsidRPr="0076464C">
        <w:t xml:space="preserve">by </w:t>
      </w:r>
      <w:r w:rsidR="00ED32E3" w:rsidRPr="0076464C">
        <w:t>43.2</w:t>
      </w:r>
      <w:r w:rsidR="006836C5">
        <w:t xml:space="preserve"> </w:t>
      </w:r>
      <w:r w:rsidRPr="0076464C">
        <w:t xml:space="preserve">MW. Please note that </w:t>
      </w:r>
      <w:bookmarkStart w:id="411" w:name="_Hlk96004643"/>
      <w:r w:rsidRPr="0076464C">
        <w:t xml:space="preserve">these figures are the net change in stations accredited and installed capacity (including </w:t>
      </w:r>
      <w:r w:rsidR="00FC4B0F" w:rsidRPr="0076464C">
        <w:t>micro-NIRO</w:t>
      </w:r>
      <w:r w:rsidRPr="0076464C">
        <w:t xml:space="preserve">). </w:t>
      </w:r>
      <w:r w:rsidR="00ED32E3" w:rsidRPr="0076464C">
        <w:t xml:space="preserve">The totals can be affected by </w:t>
      </w:r>
      <w:r w:rsidRPr="0076464C">
        <w:t xml:space="preserve">stations or additional capacity being approved onto the scheme, </w:t>
      </w:r>
      <w:r w:rsidR="00ED32E3" w:rsidRPr="0076464C">
        <w:t xml:space="preserve">as well as by </w:t>
      </w:r>
      <w:r w:rsidRPr="0076464C">
        <w:t>stations withdrawing from the scheme or the capacity of a station changing</w:t>
      </w:r>
      <w:r w:rsidR="00F6105E">
        <w:t xml:space="preserve"> </w:t>
      </w:r>
      <w:bookmarkEnd w:id="411"/>
      <w:r w:rsidR="00F6105E">
        <w:t>(f</w:t>
      </w:r>
      <w:r w:rsidRPr="0076464C">
        <w:t>or example, as a result of decommissioning a wind turbine</w:t>
      </w:r>
      <w:r w:rsidR="00F85AC5">
        <w:t xml:space="preserve">, </w:t>
      </w:r>
      <w:r w:rsidR="00F85AC5" w:rsidRPr="0076464C">
        <w:t>a capacity correction following an audit</w:t>
      </w:r>
      <w:r w:rsidR="00F85AC5">
        <w:t xml:space="preserve"> or us taking compliance action)</w:t>
      </w:r>
      <w:r w:rsidR="00F85AC5" w:rsidRPr="0076464C">
        <w:t xml:space="preserve">. </w:t>
      </w:r>
      <w:r w:rsidRPr="0076464C">
        <w:t xml:space="preserve">This is why </w:t>
      </w:r>
      <w:r w:rsidRPr="0076464C">
        <w:rPr>
          <w:b/>
        </w:rPr>
        <w:t>Figure</w:t>
      </w:r>
      <w:r w:rsidR="000326C1">
        <w:rPr>
          <w:b/>
        </w:rPr>
        <w:t>s 6.4 &amp;</w:t>
      </w:r>
      <w:r w:rsidRPr="0076464C">
        <w:rPr>
          <w:b/>
        </w:rPr>
        <w:t xml:space="preserve"> 6.</w:t>
      </w:r>
      <w:r w:rsidR="00ED32E3">
        <w:rPr>
          <w:b/>
        </w:rPr>
        <w:t>5</w:t>
      </w:r>
      <w:r w:rsidRPr="0076464C">
        <w:t xml:space="preserve"> </w:t>
      </w:r>
      <w:r w:rsidR="00E1405D">
        <w:t xml:space="preserve">below </w:t>
      </w:r>
      <w:r w:rsidR="0082285C">
        <w:t>show</w:t>
      </w:r>
      <w:r w:rsidRPr="0076464C">
        <w:t xml:space="preserve"> reduction</w:t>
      </w:r>
      <w:r w:rsidR="000326C1">
        <w:t>s</w:t>
      </w:r>
      <w:r w:rsidRPr="0076464C">
        <w:t xml:space="preserve"> in </w:t>
      </w:r>
      <w:r w:rsidR="000326C1">
        <w:t xml:space="preserve">the number of stations and </w:t>
      </w:r>
      <w:r w:rsidRPr="0076464C">
        <w:t xml:space="preserve">capacity for </w:t>
      </w:r>
      <w:r w:rsidR="000326C1">
        <w:t xml:space="preserve">some countries and technology types. </w:t>
      </w:r>
    </w:p>
    <w:p w14:paraId="1F2F6B04" w14:textId="0BFBB04E" w:rsidR="00DF64C0" w:rsidRDefault="00CD0EDF" w:rsidP="007E1963">
      <w:pPr>
        <w:rPr>
          <w:b/>
          <w:bCs/>
        </w:rPr>
      </w:pPr>
      <w:r w:rsidRPr="00CD0EDF">
        <w:rPr>
          <w:b/>
          <w:bCs/>
        </w:rPr>
        <w:t>Figure 6.4: Accredited station and capacity change by country (net change)</w:t>
      </w:r>
    </w:p>
    <w:p w14:paraId="51A75DB4" w14:textId="6F6CA30B" w:rsidR="00CD0EDF" w:rsidRDefault="007648FA" w:rsidP="007E1963">
      <w:pPr>
        <w:rPr>
          <w:b/>
          <w:bCs/>
        </w:rPr>
      </w:pPr>
      <w:r>
        <w:rPr>
          <w:noProof/>
        </w:rPr>
        <w:drawing>
          <wp:inline distT="0" distB="0" distL="0" distR="0" wp14:anchorId="556DDD53" wp14:editId="1102937B">
            <wp:extent cx="6570921" cy="3122930"/>
            <wp:effectExtent l="0" t="0" r="1905" b="1270"/>
            <wp:docPr id="279" name="Chart 279" descr="This chart shows the net change in accredited stations and capacity by country from 2019-20 to 2020-21.&#10;&#10;The data used to produce this chart is published alongside this report on our website.&#10;">
              <a:extLst xmlns:a="http://schemas.openxmlformats.org/drawingml/2006/main">
                <a:ext uri="{FF2B5EF4-FFF2-40B4-BE49-F238E27FC236}">
                  <a16:creationId xmlns:a16="http://schemas.microsoft.com/office/drawing/2014/main" id="{423AF87C-75CC-4E8B-9BB8-087BB578C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F9484C0" w14:textId="2FB5B96E" w:rsidR="00CD0EDF" w:rsidRDefault="00CD0EDF" w:rsidP="007E1963">
      <w:pPr>
        <w:rPr>
          <w:b/>
          <w:bCs/>
        </w:rPr>
      </w:pPr>
    </w:p>
    <w:p w14:paraId="79CC82B4" w14:textId="77777777" w:rsidR="000326C1" w:rsidRDefault="000326C1">
      <w:pPr>
        <w:spacing w:line="276" w:lineRule="auto"/>
        <w:rPr>
          <w:b/>
          <w:bCs/>
        </w:rPr>
      </w:pPr>
      <w:r>
        <w:rPr>
          <w:b/>
          <w:bCs/>
        </w:rPr>
        <w:br w:type="page"/>
      </w:r>
    </w:p>
    <w:p w14:paraId="71716893" w14:textId="36FE0955" w:rsidR="00C83514" w:rsidRDefault="00CD0EDF" w:rsidP="003B35B0">
      <w:pPr>
        <w:spacing w:after="0" w:line="240" w:lineRule="auto"/>
        <w:rPr>
          <w:b/>
          <w:bCs/>
        </w:rPr>
      </w:pPr>
      <w:r>
        <w:rPr>
          <w:b/>
          <w:bCs/>
        </w:rPr>
        <w:lastRenderedPageBreak/>
        <w:t xml:space="preserve">Figure 6.5: </w:t>
      </w:r>
      <w:r w:rsidRPr="00CD0EDF">
        <w:rPr>
          <w:b/>
          <w:bCs/>
        </w:rPr>
        <w:t>Accredited station and capacity change by technology (net change)</w:t>
      </w:r>
      <w:r w:rsidRPr="00CD0EDF">
        <w:rPr>
          <w:b/>
          <w:bCs/>
        </w:rPr>
        <w:cr/>
      </w:r>
      <w:r w:rsidR="00F85AC5" w:rsidRPr="00CD0EDF">
        <w:rPr>
          <w:b/>
          <w:bCs/>
        </w:rPr>
        <w:cr/>
      </w:r>
      <w:r w:rsidR="007648FA">
        <w:rPr>
          <w:noProof/>
        </w:rPr>
        <w:drawing>
          <wp:inline distT="0" distB="0" distL="0" distR="0" wp14:anchorId="3D10C3C3" wp14:editId="631BC08C">
            <wp:extent cx="6645349" cy="3189605"/>
            <wp:effectExtent l="0" t="0" r="3175" b="0"/>
            <wp:docPr id="280" name="Chart 280" descr="This chart shows the net change in accredited stations and capacity by technology type from 2019-20 to 2020-21. &#10;&#10;The data used to produce this chart is published alongside this report on our website.">
              <a:extLst xmlns:a="http://schemas.openxmlformats.org/drawingml/2006/main">
                <a:ext uri="{FF2B5EF4-FFF2-40B4-BE49-F238E27FC236}">
                  <a16:creationId xmlns:a16="http://schemas.microsoft.com/office/drawing/2014/main" id="{983499CD-45EF-4B10-9441-2C96CF456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977837" w14:textId="55B7151E" w:rsidR="00CD0EDF" w:rsidRDefault="00CD0EDF" w:rsidP="007E1963">
      <w:pPr>
        <w:rPr>
          <w:b/>
          <w:bCs/>
        </w:rPr>
      </w:pPr>
    </w:p>
    <w:p w14:paraId="26C5D1A1" w14:textId="4BFCFB0D" w:rsidR="00237C32" w:rsidRPr="00BE1C55" w:rsidRDefault="00237C32" w:rsidP="003B35B0">
      <w:pPr>
        <w:pStyle w:val="Heading2"/>
        <w:rPr>
          <w:highlight w:val="yellow"/>
        </w:rPr>
      </w:pPr>
      <w:bookmarkStart w:id="412" w:name="_Toc98852177"/>
      <w:r w:rsidRPr="003B35B0">
        <w:rPr>
          <w:rStyle w:val="Heading1Char"/>
          <w:b/>
          <w:bCs w:val="0"/>
          <w:sz w:val="28"/>
          <w:szCs w:val="26"/>
        </w:rPr>
        <w:t xml:space="preserve">Application </w:t>
      </w:r>
      <w:r w:rsidR="00165BAF" w:rsidRPr="003B35B0">
        <w:rPr>
          <w:rStyle w:val="Heading1Char"/>
          <w:b/>
          <w:bCs w:val="0"/>
          <w:sz w:val="28"/>
          <w:szCs w:val="26"/>
        </w:rPr>
        <w:t>refusals</w:t>
      </w:r>
      <w:bookmarkEnd w:id="412"/>
    </w:p>
    <w:p w14:paraId="426A920E" w14:textId="565A68C0" w:rsidR="00F85AC5" w:rsidRPr="007A5132" w:rsidRDefault="00237C32" w:rsidP="003B35B0">
      <w:pPr>
        <w:pStyle w:val="CH6normal"/>
        <w:ind w:left="567" w:hanging="567"/>
        <w:rPr>
          <w:b/>
          <w:bCs/>
        </w:rPr>
      </w:pPr>
      <w:bookmarkStart w:id="413" w:name="_Hlk89434179"/>
      <w:r w:rsidRPr="0076464C">
        <w:t xml:space="preserve">During an application assessment, if it is demonstrated that the applicant does not meet the eligibility criteria then we will look to refuse the application. </w:t>
      </w:r>
      <w:r w:rsidR="00F85AC5" w:rsidRPr="007A5132">
        <w:t xml:space="preserve">A total of 13 applications </w:t>
      </w:r>
      <w:r w:rsidR="00DA2149">
        <w:t>with an estimated value of £11.8</w:t>
      </w:r>
      <w:r w:rsidR="006836C5">
        <w:t xml:space="preserve"> million</w:t>
      </w:r>
      <w:r w:rsidR="00DA2149">
        <w:t xml:space="preserve"> </w:t>
      </w:r>
      <w:r w:rsidR="00F85AC5" w:rsidRPr="007A5132">
        <w:t>were refused on this basis during 20</w:t>
      </w:r>
      <w:r w:rsidR="00F85AC5">
        <w:t>20</w:t>
      </w:r>
      <w:r w:rsidR="00F85AC5" w:rsidRPr="007A5132">
        <w:t>-2</w:t>
      </w:r>
      <w:r w:rsidR="00F85AC5">
        <w:t>1</w:t>
      </w:r>
      <w:r w:rsidR="00F85AC5" w:rsidRPr="007A5132">
        <w:t>.</w:t>
      </w:r>
    </w:p>
    <w:bookmarkEnd w:id="413"/>
    <w:p w14:paraId="02FF8E88" w14:textId="454019A2" w:rsidR="00237C32" w:rsidRDefault="00237C32" w:rsidP="003B35B0">
      <w:pPr>
        <w:pStyle w:val="CH6normal"/>
        <w:keepLines/>
        <w:numPr>
          <w:ilvl w:val="0"/>
          <w:numId w:val="0"/>
        </w:numPr>
        <w:rPr>
          <w:b/>
          <w:bCs/>
        </w:rPr>
      </w:pPr>
    </w:p>
    <w:p w14:paraId="0CABDD70" w14:textId="385ACE01" w:rsidR="00B84318" w:rsidRDefault="00B84318" w:rsidP="00237C32">
      <w:pPr>
        <w:pStyle w:val="ListParagraph"/>
        <w:keepLines/>
        <w:ind w:left="790"/>
        <w:rPr>
          <w:b/>
          <w:bCs/>
        </w:rPr>
      </w:pPr>
    </w:p>
    <w:p w14:paraId="0E9DDEAC" w14:textId="59742BF3" w:rsidR="00B84318" w:rsidRDefault="00B84318">
      <w:pPr>
        <w:spacing w:line="276" w:lineRule="auto"/>
        <w:rPr>
          <w:b/>
          <w:bCs/>
        </w:rPr>
      </w:pPr>
      <w:r>
        <w:rPr>
          <w:b/>
          <w:bCs/>
        </w:rPr>
        <w:br w:type="page"/>
      </w:r>
    </w:p>
    <w:p w14:paraId="60267187" w14:textId="6D92E547" w:rsidR="00B84318" w:rsidRPr="00482E14" w:rsidRDefault="00B84318" w:rsidP="003B35B0">
      <w:pPr>
        <w:pStyle w:val="Heading1"/>
        <w:rPr>
          <w:rStyle w:val="Heading2Char"/>
          <w:sz w:val="36"/>
          <w:szCs w:val="32"/>
        </w:rPr>
      </w:pPr>
      <w:bookmarkStart w:id="414" w:name="_Toc98852178"/>
      <w:r w:rsidRPr="00AB2C04">
        <w:rPr>
          <w:rStyle w:val="Heading2Char"/>
          <w:b/>
          <w:sz w:val="36"/>
          <w:szCs w:val="32"/>
        </w:rPr>
        <w:lastRenderedPageBreak/>
        <w:t>7. Our Administration</w:t>
      </w:r>
      <w:bookmarkEnd w:id="414"/>
    </w:p>
    <w:p w14:paraId="59B28AA5" w14:textId="77777777" w:rsidR="003B1013" w:rsidRDefault="001625A2" w:rsidP="003B1013">
      <w:pPr>
        <w:rPr>
          <w:b/>
          <w:bCs/>
          <w:color w:val="004125"/>
          <w:sz w:val="28"/>
          <w:szCs w:val="28"/>
        </w:rPr>
      </w:pPr>
      <w:bookmarkStart w:id="415" w:name="_Toc64493566"/>
      <w:r w:rsidRPr="003B35B0">
        <w:rPr>
          <w:b/>
          <w:bCs/>
          <w:color w:val="004125"/>
          <w:sz w:val="28"/>
          <w:szCs w:val="28"/>
        </w:rPr>
        <w:t>Chapter s</w:t>
      </w:r>
      <w:r w:rsidRPr="003B35B0">
        <w:rPr>
          <w:rStyle w:val="ChaptersummaryheadingChar"/>
        </w:rPr>
        <w:t>umma</w:t>
      </w:r>
      <w:r w:rsidRPr="003B35B0">
        <w:rPr>
          <w:b/>
          <w:bCs/>
          <w:color w:val="004125"/>
          <w:sz w:val="28"/>
          <w:szCs w:val="28"/>
        </w:rPr>
        <w:t>ry</w:t>
      </w:r>
    </w:p>
    <w:p w14:paraId="40063A1F" w14:textId="6789CFBD" w:rsidR="003B1013" w:rsidRPr="003B35B0" w:rsidRDefault="00F73800" w:rsidP="003B35B0">
      <w:pPr>
        <w:pStyle w:val="Default"/>
        <w:spacing w:after="200" w:line="360" w:lineRule="auto"/>
        <w:rPr>
          <w:bCs/>
          <w:sz w:val="20"/>
          <w:szCs w:val="20"/>
        </w:rPr>
      </w:pPr>
      <w:r w:rsidRPr="00F73800">
        <w:rPr>
          <w:b/>
          <w:bCs/>
          <w:sz w:val="20"/>
          <w:szCs w:val="20"/>
        </w:rPr>
        <w:t>This chapter provides detail on our admin</w:t>
      </w:r>
      <w:r>
        <w:rPr>
          <w:b/>
          <w:bCs/>
          <w:sz w:val="20"/>
          <w:szCs w:val="20"/>
        </w:rPr>
        <w:t>istration</w:t>
      </w:r>
      <w:r w:rsidRPr="00F73800">
        <w:rPr>
          <w:b/>
          <w:bCs/>
          <w:sz w:val="20"/>
          <w:szCs w:val="20"/>
        </w:rPr>
        <w:t xml:space="preserve"> activity during 2020-21</w:t>
      </w:r>
      <w:r w:rsidR="00E67039" w:rsidRPr="00E67039">
        <w:rPr>
          <w:b/>
          <w:bCs/>
          <w:sz w:val="20"/>
          <w:szCs w:val="20"/>
        </w:rPr>
        <w:t>.</w:t>
      </w:r>
      <w:r w:rsidR="00E67039">
        <w:rPr>
          <w:b/>
          <w:bCs/>
          <w:sz w:val="20"/>
          <w:szCs w:val="20"/>
        </w:rPr>
        <w:t xml:space="preserve"> </w:t>
      </w:r>
      <w:r w:rsidR="003B1013">
        <w:rPr>
          <w:b/>
          <w:bCs/>
          <w:sz w:val="20"/>
          <w:szCs w:val="20"/>
        </w:rPr>
        <w:t>We</w:t>
      </w:r>
      <w:r w:rsidR="003B1013" w:rsidRPr="003B35B0">
        <w:rPr>
          <w:b/>
          <w:bCs/>
          <w:sz w:val="20"/>
          <w:szCs w:val="20"/>
        </w:rPr>
        <w:t xml:space="preserve"> perform several functions as administrator of the scheme, including </w:t>
      </w:r>
      <w:r w:rsidR="003B1013" w:rsidRPr="003B1013">
        <w:rPr>
          <w:b/>
          <w:bCs/>
          <w:sz w:val="20"/>
          <w:szCs w:val="20"/>
        </w:rPr>
        <w:t>accredit</w:t>
      </w:r>
      <w:r w:rsidR="003B1013">
        <w:rPr>
          <w:b/>
          <w:bCs/>
          <w:sz w:val="20"/>
          <w:szCs w:val="20"/>
        </w:rPr>
        <w:t>ing</w:t>
      </w:r>
      <w:r w:rsidR="003B1013" w:rsidRPr="003B1013">
        <w:rPr>
          <w:b/>
          <w:bCs/>
          <w:sz w:val="20"/>
          <w:szCs w:val="20"/>
        </w:rPr>
        <w:t xml:space="preserve"> generating stations, issu</w:t>
      </w:r>
      <w:r w:rsidR="003B1013">
        <w:rPr>
          <w:b/>
          <w:bCs/>
          <w:sz w:val="20"/>
          <w:szCs w:val="20"/>
        </w:rPr>
        <w:t>ing</w:t>
      </w:r>
      <w:r w:rsidR="003B1013" w:rsidRPr="003B1013">
        <w:rPr>
          <w:b/>
          <w:bCs/>
          <w:sz w:val="20"/>
          <w:szCs w:val="20"/>
        </w:rPr>
        <w:t xml:space="preserve"> certificates, </w:t>
      </w:r>
      <w:r w:rsidR="003B1013">
        <w:rPr>
          <w:b/>
          <w:bCs/>
          <w:sz w:val="20"/>
          <w:szCs w:val="20"/>
        </w:rPr>
        <w:t xml:space="preserve">and ensuring </w:t>
      </w:r>
      <w:r w:rsidR="003B1013" w:rsidRPr="003B1013">
        <w:rPr>
          <w:b/>
          <w:bCs/>
          <w:sz w:val="20"/>
          <w:szCs w:val="20"/>
        </w:rPr>
        <w:t xml:space="preserve">compliance </w:t>
      </w:r>
      <w:r>
        <w:rPr>
          <w:b/>
          <w:bCs/>
          <w:sz w:val="20"/>
          <w:szCs w:val="20"/>
        </w:rPr>
        <w:t>of generators and</w:t>
      </w:r>
      <w:r w:rsidR="003B1013" w:rsidRPr="003B1013">
        <w:rPr>
          <w:b/>
          <w:bCs/>
          <w:sz w:val="20"/>
          <w:szCs w:val="20"/>
        </w:rPr>
        <w:t xml:space="preserve"> electricity suppliers</w:t>
      </w:r>
      <w:r w:rsidR="003B1013" w:rsidRPr="003B35B0">
        <w:rPr>
          <w:b/>
          <w:bCs/>
          <w:sz w:val="20"/>
          <w:szCs w:val="20"/>
        </w:rPr>
        <w:t>.</w:t>
      </w:r>
      <w:r w:rsidR="003B1013">
        <w:rPr>
          <w:b/>
          <w:bCs/>
          <w:sz w:val="20"/>
          <w:szCs w:val="20"/>
        </w:rPr>
        <w:t xml:space="preserve"> </w:t>
      </w:r>
      <w:r w:rsidR="003B1013" w:rsidRPr="003B1013">
        <w:rPr>
          <w:b/>
          <w:bCs/>
          <w:sz w:val="20"/>
          <w:szCs w:val="20"/>
        </w:rPr>
        <w:t xml:space="preserve">To </w:t>
      </w:r>
      <w:r w:rsidR="00E67039">
        <w:rPr>
          <w:b/>
          <w:bCs/>
          <w:sz w:val="20"/>
          <w:szCs w:val="20"/>
        </w:rPr>
        <w:t xml:space="preserve">provide transparency and to </w:t>
      </w:r>
      <w:r w:rsidR="003B1013" w:rsidRPr="003B1013">
        <w:rPr>
          <w:b/>
          <w:bCs/>
          <w:sz w:val="20"/>
          <w:szCs w:val="20"/>
        </w:rPr>
        <w:t>ensure that we are providing a good service we track our performance</w:t>
      </w:r>
      <w:r>
        <w:rPr>
          <w:b/>
          <w:bCs/>
          <w:sz w:val="20"/>
          <w:szCs w:val="20"/>
        </w:rPr>
        <w:t>,</w:t>
      </w:r>
      <w:r w:rsidR="003B1013" w:rsidRPr="003B1013">
        <w:rPr>
          <w:b/>
          <w:bCs/>
          <w:sz w:val="20"/>
          <w:szCs w:val="20"/>
        </w:rPr>
        <w:t xml:space="preserve"> </w:t>
      </w:r>
      <w:r w:rsidR="00E67039">
        <w:rPr>
          <w:b/>
          <w:bCs/>
          <w:sz w:val="20"/>
          <w:szCs w:val="20"/>
        </w:rPr>
        <w:t xml:space="preserve">and </w:t>
      </w:r>
      <w:r>
        <w:rPr>
          <w:b/>
          <w:bCs/>
          <w:sz w:val="20"/>
          <w:szCs w:val="20"/>
        </w:rPr>
        <w:t>in addition to the information published here we also</w:t>
      </w:r>
      <w:r w:rsidR="00E67039">
        <w:rPr>
          <w:b/>
          <w:bCs/>
          <w:sz w:val="20"/>
          <w:szCs w:val="20"/>
        </w:rPr>
        <w:t xml:space="preserve"> publish performance metrics on our website each </w:t>
      </w:r>
      <w:r w:rsidR="003B1013" w:rsidRPr="003B1013">
        <w:rPr>
          <w:b/>
          <w:bCs/>
          <w:sz w:val="20"/>
          <w:szCs w:val="20"/>
        </w:rPr>
        <w:t>month</w:t>
      </w:r>
      <w:r w:rsidR="003B1013">
        <w:rPr>
          <w:b/>
          <w:bCs/>
          <w:sz w:val="20"/>
          <w:szCs w:val="20"/>
        </w:rPr>
        <w:t>.</w:t>
      </w:r>
      <w:r w:rsidR="003B1013">
        <w:rPr>
          <w:rStyle w:val="FootnoteReference"/>
          <w:b/>
          <w:bCs/>
          <w:sz w:val="20"/>
          <w:szCs w:val="20"/>
        </w:rPr>
        <w:footnoteReference w:id="94"/>
      </w:r>
      <w:r>
        <w:rPr>
          <w:b/>
          <w:bCs/>
          <w:sz w:val="20"/>
          <w:szCs w:val="20"/>
        </w:rPr>
        <w:t xml:space="preserve"> </w:t>
      </w:r>
    </w:p>
    <w:p w14:paraId="3DD3560C" w14:textId="47243E4F" w:rsidR="00DC0822" w:rsidRPr="00CA2EAD" w:rsidRDefault="00DC0822" w:rsidP="00DC0822">
      <w:pPr>
        <w:pStyle w:val="Heading2"/>
        <w:rPr>
          <w:rStyle w:val="Heading2Char"/>
          <w:b/>
        </w:rPr>
      </w:pPr>
      <w:bookmarkStart w:id="416" w:name="_Toc98852179"/>
      <w:r>
        <w:rPr>
          <w:rStyle w:val="Heading2Char"/>
          <w:b/>
        </w:rPr>
        <w:t>Applications</w:t>
      </w:r>
      <w:bookmarkEnd w:id="416"/>
    </w:p>
    <w:p w14:paraId="0DD634B7" w14:textId="32F992C4" w:rsidR="0019041A" w:rsidRPr="003B35B0" w:rsidRDefault="0019041A" w:rsidP="003B35B0">
      <w:pPr>
        <w:pStyle w:val="CH7normal"/>
        <w:ind w:left="567" w:hanging="567"/>
        <w:rPr>
          <w:rFonts w:ascii="Calibri" w:hAnsi="Calibri"/>
        </w:rPr>
      </w:pPr>
      <w:r>
        <w:t>Following the closure of the final grace period</w:t>
      </w:r>
      <w:r w:rsidR="00E0766F">
        <w:rPr>
          <w:rStyle w:val="FootnoteReference"/>
        </w:rPr>
        <w:footnoteReference w:id="95"/>
      </w:r>
      <w:r>
        <w:t xml:space="preserve"> for applications on 31 January 2019</w:t>
      </w:r>
      <w:r w:rsidR="00BC417B">
        <w:t xml:space="preserve"> for GB RO and 31 March 201</w:t>
      </w:r>
      <w:r w:rsidR="00E0766F">
        <w:t>8</w:t>
      </w:r>
      <w:r w:rsidR="00BC417B">
        <w:t xml:space="preserve"> for NIRO, </w:t>
      </w:r>
      <w:r w:rsidR="00F73800">
        <w:t>our workload has shifted towards processing amendments</w:t>
      </w:r>
      <w:r w:rsidR="00DC0822">
        <w:t>. </w:t>
      </w:r>
      <w:r>
        <w:t xml:space="preserve">Despite the change in focus, </w:t>
      </w:r>
      <w:r w:rsidR="00F73800">
        <w:t>we continue to process the rem</w:t>
      </w:r>
      <w:r w:rsidR="003B1513">
        <w:t>a</w:t>
      </w:r>
      <w:r w:rsidR="00F73800">
        <w:t xml:space="preserve">ining </w:t>
      </w:r>
      <w:r w:rsidR="003B1513">
        <w:t>applications for accreditation. These are</w:t>
      </w:r>
      <w:r w:rsidR="00DC0822">
        <w:t xml:space="preserve"> complex </w:t>
      </w:r>
      <w:r w:rsidR="00DC0822" w:rsidDel="0019041A">
        <w:t xml:space="preserve">applications </w:t>
      </w:r>
      <w:r>
        <w:t>and</w:t>
      </w:r>
      <w:r w:rsidR="00DC0822">
        <w:t xml:space="preserve"> require more in-depth assessment. </w:t>
      </w:r>
    </w:p>
    <w:p w14:paraId="09219FDA" w14:textId="20A4E180" w:rsidR="00DC0822" w:rsidRPr="003B35B0" w:rsidRDefault="0019041A" w:rsidP="003B35B0">
      <w:pPr>
        <w:pStyle w:val="CH7normal"/>
        <w:ind w:left="567" w:hanging="567"/>
        <w:rPr>
          <w:rFonts w:ascii="Calibri" w:hAnsi="Calibri"/>
        </w:rPr>
      </w:pPr>
      <w:r>
        <w:t>A</w:t>
      </w:r>
      <w:r w:rsidR="003313AF">
        <w:t>s of the end of October 2021</w:t>
      </w:r>
      <w:r>
        <w:t>, we had a queue of</w:t>
      </w:r>
      <w:r w:rsidR="00DC0822">
        <w:t xml:space="preserve"> </w:t>
      </w:r>
      <w:r w:rsidR="003313AF">
        <w:t>2</w:t>
      </w:r>
      <w:r w:rsidR="00DC0822">
        <w:t>7</w:t>
      </w:r>
      <w:r>
        <w:t xml:space="preserve"> applications</w:t>
      </w:r>
      <w:r w:rsidDel="00A47C38">
        <w:t xml:space="preserve"> remaining</w:t>
      </w:r>
      <w:r>
        <w:t>, the majority of which will be determined in 2021-22</w:t>
      </w:r>
      <w:r w:rsidR="00DC0822">
        <w:t>. </w:t>
      </w:r>
    </w:p>
    <w:p w14:paraId="320E43B8" w14:textId="6759A15D" w:rsidR="00DC0822" w:rsidRPr="00CA2EAD" w:rsidRDefault="00DC0822" w:rsidP="00DC0822">
      <w:pPr>
        <w:pStyle w:val="Heading2"/>
        <w:rPr>
          <w:rStyle w:val="Heading2Char"/>
          <w:b/>
        </w:rPr>
      </w:pPr>
      <w:bookmarkStart w:id="417" w:name="_Toc98852180"/>
      <w:r>
        <w:rPr>
          <w:rStyle w:val="Heading2Char"/>
          <w:b/>
        </w:rPr>
        <w:t>Amendments</w:t>
      </w:r>
      <w:bookmarkEnd w:id="417"/>
    </w:p>
    <w:p w14:paraId="5209E2D0" w14:textId="6F7A7122" w:rsidR="0018059C" w:rsidRPr="00D37EC9" w:rsidRDefault="0018059C" w:rsidP="003B35B0">
      <w:pPr>
        <w:pStyle w:val="CH7normal"/>
        <w:ind w:left="567" w:hanging="567"/>
        <w:rPr>
          <w:rFonts w:ascii="Calibri" w:hAnsi="Calibri"/>
        </w:rPr>
      </w:pPr>
      <w:r w:rsidRPr="007153E5">
        <w:t>As the scheme and the installation</w:t>
      </w:r>
      <w:r>
        <w:t>s accredited to the scheme mature, we receive more amendments. Amendments can vary from simple meter replacements to substantial changes</w:t>
      </w:r>
      <w:r w:rsidR="006E642D">
        <w:t>,</w:t>
      </w:r>
      <w:r>
        <w:t xml:space="preserve"> including replacement equipment and relocation. We anticipate</w:t>
      </w:r>
      <w:r w:rsidRPr="007153E5">
        <w:t xml:space="preserve"> this area of work will increase in coming years.</w:t>
      </w:r>
    </w:p>
    <w:p w14:paraId="4A16636B" w14:textId="05858473" w:rsidR="00DC0822" w:rsidRPr="003B35B0" w:rsidRDefault="00CA2495">
      <w:pPr>
        <w:pStyle w:val="CH7normal"/>
        <w:ind w:left="567" w:hanging="567"/>
        <w:rPr>
          <w:rFonts w:ascii="Calibri" w:hAnsi="Calibri"/>
        </w:rPr>
      </w:pPr>
      <w:r>
        <w:t xml:space="preserve">As outlined in </w:t>
      </w:r>
      <w:r w:rsidRPr="003B35B0">
        <w:rPr>
          <w:b/>
          <w:bCs/>
        </w:rPr>
        <w:t>Table 7.</w:t>
      </w:r>
      <w:r w:rsidR="00E65F38">
        <w:rPr>
          <w:b/>
          <w:bCs/>
        </w:rPr>
        <w:t>1</w:t>
      </w:r>
      <w:r>
        <w:t xml:space="preserve"> below, we</w:t>
      </w:r>
      <w:r w:rsidR="00DC0822">
        <w:t xml:space="preserve"> </w:t>
      </w:r>
      <w:r w:rsidR="0018059C">
        <w:t>processed 574 amendments during the 2020-21 scheme year. Of these amendments, 62.5%</w:t>
      </w:r>
      <w:r w:rsidR="00DC0822">
        <w:t> </w:t>
      </w:r>
      <w:r w:rsidR="0018059C">
        <w:t xml:space="preserve">were for Micro NIRO installations. </w:t>
      </w:r>
    </w:p>
    <w:p w14:paraId="09A3AFF4" w14:textId="77777777" w:rsidR="006D467B" w:rsidRDefault="006D467B">
      <w:pPr>
        <w:spacing w:line="276" w:lineRule="auto"/>
        <w:rPr>
          <w:b/>
          <w:bCs/>
        </w:rPr>
      </w:pPr>
      <w:r>
        <w:rPr>
          <w:b/>
          <w:bCs/>
        </w:rPr>
        <w:br w:type="page"/>
      </w:r>
    </w:p>
    <w:p w14:paraId="5A889503" w14:textId="3AC5D4D0" w:rsidR="006D467B" w:rsidRDefault="006D467B" w:rsidP="003B35B0">
      <w:pPr>
        <w:pStyle w:val="CH7normal"/>
        <w:numPr>
          <w:ilvl w:val="0"/>
          <w:numId w:val="0"/>
        </w:numPr>
        <w:rPr>
          <w:b/>
          <w:bCs/>
        </w:rPr>
      </w:pPr>
      <w:r w:rsidRPr="003B35B0">
        <w:rPr>
          <w:b/>
          <w:bCs/>
        </w:rPr>
        <w:lastRenderedPageBreak/>
        <w:t>Table 7.1: RO scheme amendments 2020-21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3260"/>
        <w:gridCol w:w="2552"/>
      </w:tblGrid>
      <w:tr w:rsidR="006D467B" w:rsidRPr="00DC0822" w14:paraId="1BA398C8" w14:textId="77777777" w:rsidTr="009D7AB9">
        <w:trPr>
          <w:trHeight w:val="604"/>
        </w:trPr>
        <w:tc>
          <w:tcPr>
            <w:tcW w:w="1696" w:type="dxa"/>
            <w:shd w:val="clear" w:color="auto" w:fill="2363AF"/>
            <w:vAlign w:val="center"/>
            <w:hideMark/>
          </w:tcPr>
          <w:p w14:paraId="23DC19D6" w14:textId="77777777" w:rsidR="006D467B" w:rsidRPr="003B35B0" w:rsidRDefault="006D467B" w:rsidP="006D467B">
            <w:pPr>
              <w:spacing w:after="0" w:line="240" w:lineRule="auto"/>
              <w:rPr>
                <w:rFonts w:eastAsia="Times New Roman" w:cs="Calibri"/>
                <w:color w:val="FFFFFF" w:themeColor="background1"/>
                <w:sz w:val="16"/>
                <w:szCs w:val="16"/>
              </w:rPr>
            </w:pPr>
            <w:r w:rsidRPr="003B35B0">
              <w:rPr>
                <w:rFonts w:eastAsia="Times New Roman" w:cs="Calibri"/>
                <w:color w:val="FFFFFF" w:themeColor="background1"/>
                <w:sz w:val="16"/>
                <w:szCs w:val="16"/>
              </w:rPr>
              <w:t>Scheme year</w:t>
            </w:r>
          </w:p>
        </w:tc>
        <w:tc>
          <w:tcPr>
            <w:tcW w:w="2410" w:type="dxa"/>
            <w:shd w:val="clear" w:color="auto" w:fill="2363AF"/>
            <w:vAlign w:val="center"/>
            <w:hideMark/>
          </w:tcPr>
          <w:p w14:paraId="4DD7DDE4" w14:textId="77777777" w:rsidR="006D467B" w:rsidRPr="003B35B0" w:rsidRDefault="006D467B" w:rsidP="006D467B">
            <w:pPr>
              <w:spacing w:after="0" w:line="240" w:lineRule="auto"/>
              <w:rPr>
                <w:rFonts w:eastAsia="Times New Roman" w:cs="Calibri"/>
                <w:color w:val="FFFFFF" w:themeColor="background1"/>
                <w:sz w:val="16"/>
                <w:szCs w:val="16"/>
              </w:rPr>
            </w:pPr>
            <w:r w:rsidRPr="003B35B0">
              <w:rPr>
                <w:rFonts w:eastAsia="Times New Roman" w:cs="Calibri"/>
                <w:color w:val="FFFFFF" w:themeColor="background1"/>
                <w:sz w:val="16"/>
                <w:szCs w:val="16"/>
              </w:rPr>
              <w:t>Amendments processed</w:t>
            </w:r>
          </w:p>
        </w:tc>
        <w:tc>
          <w:tcPr>
            <w:tcW w:w="3260" w:type="dxa"/>
            <w:shd w:val="clear" w:color="auto" w:fill="2363AF"/>
            <w:vAlign w:val="center"/>
            <w:hideMark/>
          </w:tcPr>
          <w:p w14:paraId="6D6841AD" w14:textId="77777777" w:rsidR="006D467B" w:rsidRPr="003B35B0" w:rsidRDefault="006D467B" w:rsidP="006D467B">
            <w:pPr>
              <w:spacing w:after="0" w:line="240" w:lineRule="auto"/>
              <w:rPr>
                <w:rFonts w:eastAsia="Times New Roman" w:cs="Calibri"/>
                <w:color w:val="FFFFFF" w:themeColor="background1"/>
                <w:sz w:val="16"/>
                <w:szCs w:val="16"/>
              </w:rPr>
            </w:pPr>
            <w:r w:rsidRPr="003B35B0">
              <w:rPr>
                <w:rFonts w:eastAsia="Times New Roman" w:cs="Calibri"/>
                <w:color w:val="FFFFFF" w:themeColor="background1"/>
                <w:sz w:val="16"/>
                <w:szCs w:val="16"/>
              </w:rPr>
              <w:t>Key Performance Indicator (KPI)</w:t>
            </w:r>
          </w:p>
        </w:tc>
        <w:tc>
          <w:tcPr>
            <w:tcW w:w="2552" w:type="dxa"/>
            <w:shd w:val="clear" w:color="auto" w:fill="2363AF"/>
            <w:vAlign w:val="center"/>
            <w:hideMark/>
          </w:tcPr>
          <w:p w14:paraId="53AC7F7C" w14:textId="77777777" w:rsidR="006D467B" w:rsidRPr="003B35B0" w:rsidRDefault="006D467B" w:rsidP="006D467B">
            <w:pPr>
              <w:spacing w:after="0" w:line="240" w:lineRule="auto"/>
              <w:rPr>
                <w:rFonts w:eastAsia="Times New Roman" w:cs="Calibri"/>
                <w:color w:val="FFFFFF" w:themeColor="background1"/>
                <w:sz w:val="16"/>
                <w:szCs w:val="16"/>
              </w:rPr>
            </w:pPr>
            <w:r w:rsidRPr="003B35B0">
              <w:rPr>
                <w:rFonts w:eastAsia="Times New Roman" w:cs="Calibri"/>
                <w:color w:val="FFFFFF" w:themeColor="background1"/>
                <w:sz w:val="16"/>
                <w:szCs w:val="16"/>
              </w:rPr>
              <w:t>Performance against KPI</w:t>
            </w:r>
          </w:p>
        </w:tc>
      </w:tr>
      <w:tr w:rsidR="006D467B" w:rsidRPr="00DC0822" w14:paraId="513D2D71" w14:textId="77777777" w:rsidTr="003B35B0">
        <w:trPr>
          <w:trHeight w:val="629"/>
        </w:trPr>
        <w:tc>
          <w:tcPr>
            <w:tcW w:w="1696" w:type="dxa"/>
            <w:shd w:val="clear" w:color="auto" w:fill="FFFFFF" w:themeFill="background1"/>
            <w:noWrap/>
            <w:vAlign w:val="center"/>
            <w:hideMark/>
          </w:tcPr>
          <w:p w14:paraId="6E28F73C" w14:textId="77777777" w:rsidR="006D467B" w:rsidRPr="00394206" w:rsidRDefault="006D467B" w:rsidP="006D467B">
            <w:pPr>
              <w:spacing w:after="0" w:line="240" w:lineRule="auto"/>
              <w:rPr>
                <w:rFonts w:eastAsia="Times New Roman" w:cs="Calibri"/>
                <w:color w:val="000000"/>
                <w:sz w:val="16"/>
                <w:szCs w:val="16"/>
              </w:rPr>
            </w:pPr>
            <w:r>
              <w:rPr>
                <w:rFonts w:eastAsia="Times New Roman" w:cs="Calibri"/>
                <w:color w:val="000000"/>
                <w:sz w:val="16"/>
                <w:szCs w:val="16"/>
              </w:rPr>
              <w:t>2020-21</w:t>
            </w:r>
          </w:p>
        </w:tc>
        <w:tc>
          <w:tcPr>
            <w:tcW w:w="2410" w:type="dxa"/>
            <w:shd w:val="clear" w:color="auto" w:fill="FFFFFF" w:themeFill="background1"/>
            <w:noWrap/>
            <w:vAlign w:val="center"/>
            <w:hideMark/>
          </w:tcPr>
          <w:p w14:paraId="34A1BD0C" w14:textId="77777777" w:rsidR="006D467B" w:rsidRPr="00394206" w:rsidRDefault="006D467B" w:rsidP="006D467B">
            <w:pPr>
              <w:spacing w:after="0" w:line="240" w:lineRule="auto"/>
              <w:rPr>
                <w:rFonts w:eastAsia="Times New Roman" w:cs="Calibri"/>
                <w:color w:val="000000"/>
                <w:sz w:val="16"/>
                <w:szCs w:val="16"/>
              </w:rPr>
            </w:pPr>
            <w:r>
              <w:rPr>
                <w:rFonts w:eastAsia="Times New Roman" w:cs="Calibri"/>
                <w:color w:val="000000"/>
                <w:sz w:val="16"/>
                <w:szCs w:val="16"/>
              </w:rPr>
              <w:t>574</w:t>
            </w:r>
          </w:p>
        </w:tc>
        <w:tc>
          <w:tcPr>
            <w:tcW w:w="3260" w:type="dxa"/>
            <w:shd w:val="clear" w:color="auto" w:fill="FFFFFF" w:themeFill="background1"/>
            <w:noWrap/>
            <w:vAlign w:val="center"/>
          </w:tcPr>
          <w:p w14:paraId="3BDE3FC4" w14:textId="77777777" w:rsidR="006D467B" w:rsidRPr="00394206" w:rsidRDefault="006D467B" w:rsidP="006D467B">
            <w:pPr>
              <w:spacing w:after="0" w:line="240" w:lineRule="auto"/>
              <w:rPr>
                <w:rFonts w:eastAsia="Times New Roman" w:cs="Calibri"/>
                <w:color w:val="000000"/>
                <w:sz w:val="16"/>
                <w:szCs w:val="16"/>
              </w:rPr>
            </w:pPr>
            <w:r>
              <w:rPr>
                <w:rFonts w:eastAsia="Times New Roman" w:cs="Calibri"/>
                <w:color w:val="000000"/>
                <w:sz w:val="16"/>
                <w:szCs w:val="16"/>
              </w:rPr>
              <w:t>Transactions processed within 10 working days</w:t>
            </w:r>
          </w:p>
        </w:tc>
        <w:tc>
          <w:tcPr>
            <w:tcW w:w="2552" w:type="dxa"/>
            <w:shd w:val="clear" w:color="auto" w:fill="FFFFFF" w:themeFill="background1"/>
            <w:noWrap/>
            <w:vAlign w:val="center"/>
          </w:tcPr>
          <w:p w14:paraId="584103D7" w14:textId="77777777" w:rsidR="006D467B" w:rsidRPr="00394206" w:rsidRDefault="006D467B" w:rsidP="006D467B">
            <w:pPr>
              <w:spacing w:after="0" w:line="240" w:lineRule="auto"/>
              <w:rPr>
                <w:rFonts w:eastAsia="Times New Roman" w:cs="Calibri"/>
                <w:color w:val="000000"/>
                <w:sz w:val="16"/>
                <w:szCs w:val="16"/>
              </w:rPr>
            </w:pPr>
            <w:r w:rsidRPr="00902C61">
              <w:rPr>
                <w:rFonts w:eastAsia="Times New Roman" w:cs="Calibri"/>
                <w:sz w:val="16"/>
                <w:szCs w:val="16"/>
              </w:rPr>
              <w:t>97</w:t>
            </w:r>
            <w:r>
              <w:rPr>
                <w:rFonts w:eastAsia="Times New Roman" w:cs="Calibri"/>
                <w:sz w:val="16"/>
                <w:szCs w:val="16"/>
              </w:rPr>
              <w:t>.4</w:t>
            </w:r>
            <w:r w:rsidRPr="00902C61">
              <w:rPr>
                <w:rFonts w:eastAsia="Times New Roman" w:cs="Calibri"/>
                <w:sz w:val="16"/>
                <w:szCs w:val="16"/>
              </w:rPr>
              <w:t>%</w:t>
            </w:r>
          </w:p>
        </w:tc>
      </w:tr>
    </w:tbl>
    <w:p w14:paraId="52820D4C" w14:textId="77777777" w:rsidR="006D467B" w:rsidRPr="003B35B0" w:rsidRDefault="006D467B" w:rsidP="003B35B0">
      <w:pPr>
        <w:pStyle w:val="CH7normal"/>
        <w:numPr>
          <w:ilvl w:val="0"/>
          <w:numId w:val="0"/>
        </w:numPr>
        <w:spacing w:after="0" w:line="240" w:lineRule="auto"/>
        <w:rPr>
          <w:b/>
          <w:sz w:val="10"/>
          <w:szCs w:val="10"/>
        </w:rPr>
      </w:pPr>
    </w:p>
    <w:p w14:paraId="26FF78B8" w14:textId="54772A19" w:rsidR="00371B84" w:rsidRPr="00CA2EAD" w:rsidRDefault="00371B84" w:rsidP="003B35B0">
      <w:pPr>
        <w:pStyle w:val="Heading2"/>
        <w:spacing w:before="360"/>
        <w:rPr>
          <w:rStyle w:val="Heading2Char"/>
          <w:b/>
        </w:rPr>
      </w:pPr>
      <w:bookmarkStart w:id="418" w:name="_Toc98852181"/>
      <w:r>
        <w:rPr>
          <w:rStyle w:val="Heading2Char"/>
          <w:b/>
        </w:rPr>
        <w:t>ROCs issued</w:t>
      </w:r>
      <w:bookmarkEnd w:id="418"/>
    </w:p>
    <w:p w14:paraId="655E175F" w14:textId="4D4BC956" w:rsidR="001719C3" w:rsidRPr="003B35B0" w:rsidRDefault="00371B84">
      <w:pPr>
        <w:pStyle w:val="CH7normal"/>
        <w:ind w:left="567" w:hanging="567"/>
        <w:rPr>
          <w:b/>
          <w:bCs/>
        </w:rPr>
      </w:pPr>
      <w:r>
        <w:t xml:space="preserve">As </w:t>
      </w:r>
      <w:r w:rsidR="00B12B1A">
        <w:t>shown</w:t>
      </w:r>
      <w:r>
        <w:t xml:space="preserve"> in </w:t>
      </w:r>
      <w:r w:rsidRPr="003B35B0">
        <w:rPr>
          <w:b/>
          <w:bCs/>
        </w:rPr>
        <w:t>Table 7.</w:t>
      </w:r>
      <w:r w:rsidR="00E65F38">
        <w:rPr>
          <w:b/>
          <w:bCs/>
        </w:rPr>
        <w:t>2</w:t>
      </w:r>
      <w:r>
        <w:t xml:space="preserve"> below, </w:t>
      </w:r>
      <w:r w:rsidR="001719C3">
        <w:t>we issued 96.3%</w:t>
      </w:r>
      <w:r>
        <w:t xml:space="preserve"> ROCs in the 2020-21 scheme year</w:t>
      </w:r>
      <w:r w:rsidR="001719C3">
        <w:t xml:space="preserve"> on time</w:t>
      </w:r>
      <w:r>
        <w:t>.</w:t>
      </w:r>
      <w:r w:rsidR="001719C3">
        <w:t xml:space="preserve"> </w:t>
      </w:r>
      <w:r w:rsidR="001719C3" w:rsidRPr="001719C3">
        <w:t>We achieved our KPI target of issuing 95% of ROCs</w:t>
      </w:r>
      <w:r w:rsidR="00276A44">
        <w:t xml:space="preserve"> in all months</w:t>
      </w:r>
      <w:r w:rsidR="001719C3" w:rsidRPr="001719C3">
        <w:t xml:space="preserve"> </w:t>
      </w:r>
      <w:r w:rsidR="00A84754" w:rsidRPr="001719C3">
        <w:t>apart from</w:t>
      </w:r>
      <w:r w:rsidR="001719C3" w:rsidRPr="001719C3">
        <w:t xml:space="preserve"> July 2021</w:t>
      </w:r>
      <w:r w:rsidR="00276A44">
        <w:t>,</w:t>
      </w:r>
      <w:r w:rsidR="001719C3">
        <w:t xml:space="preserve"> d</w:t>
      </w:r>
      <w:r w:rsidR="001719C3" w:rsidRPr="001719C3">
        <w:t>ue to late data submissions</w:t>
      </w:r>
      <w:r w:rsidR="00012D57">
        <w:t xml:space="preserve"> from generators</w:t>
      </w:r>
      <w:r w:rsidR="001719C3">
        <w:t>.</w:t>
      </w:r>
    </w:p>
    <w:p w14:paraId="271CB4D4" w14:textId="10FA7748" w:rsidR="0080320C" w:rsidRPr="003B35B0" w:rsidRDefault="0080320C" w:rsidP="003B35B0">
      <w:pPr>
        <w:pStyle w:val="CH7normal"/>
        <w:ind w:left="567" w:hanging="567"/>
        <w:rPr>
          <w:b/>
          <w:bCs/>
        </w:rPr>
      </w:pPr>
      <w:r>
        <w:t xml:space="preserve">The current methodology of calculating </w:t>
      </w:r>
      <w:r w:rsidR="00276A44">
        <w:t>this</w:t>
      </w:r>
      <w:r>
        <w:t xml:space="preserve"> KPI is impacted by the submission of late data by operators. Therefore, we are considering changes to more accurately represent the number of ROCs issued by the deadline</w:t>
      </w:r>
      <w:r w:rsidR="00276A44">
        <w:t>,</w:t>
      </w:r>
      <w:r>
        <w:t xml:space="preserve"> where the data was provided by the agreed date.</w:t>
      </w:r>
    </w:p>
    <w:p w14:paraId="37000C0A" w14:textId="3CF448E9" w:rsidR="001719C3" w:rsidRDefault="001719C3">
      <w:pPr>
        <w:pStyle w:val="CH7normal"/>
        <w:numPr>
          <w:ilvl w:val="0"/>
          <w:numId w:val="0"/>
        </w:numPr>
        <w:rPr>
          <w:b/>
          <w:bCs/>
        </w:rPr>
      </w:pPr>
      <w:r w:rsidRPr="001719C3">
        <w:rPr>
          <w:b/>
          <w:bCs/>
        </w:rPr>
        <w:t>Table 7.</w:t>
      </w:r>
      <w:r w:rsidR="00E65F38">
        <w:rPr>
          <w:b/>
          <w:bCs/>
        </w:rPr>
        <w:t>2</w:t>
      </w:r>
      <w:r w:rsidRPr="001719C3">
        <w:rPr>
          <w:b/>
          <w:bCs/>
        </w:rPr>
        <w:t xml:space="preserve">: ROCs issued </w:t>
      </w:r>
      <w:r w:rsidR="00D07D7F">
        <w:rPr>
          <w:b/>
          <w:bCs/>
        </w:rPr>
        <w:t xml:space="preserve">on time </w:t>
      </w:r>
      <w:r w:rsidRPr="001719C3">
        <w:rPr>
          <w:b/>
          <w:bCs/>
        </w:rPr>
        <w:t>2020-21</w:t>
      </w:r>
    </w:p>
    <w:tbl>
      <w:tblPr>
        <w:tblW w:w="9918" w:type="dxa"/>
        <w:tblLook w:val="04A0" w:firstRow="1" w:lastRow="0" w:firstColumn="1" w:lastColumn="0" w:noHBand="0" w:noVBand="1"/>
      </w:tblPr>
      <w:tblGrid>
        <w:gridCol w:w="1838"/>
        <w:gridCol w:w="5528"/>
        <w:gridCol w:w="2552"/>
      </w:tblGrid>
      <w:tr w:rsidR="00C8778C" w:rsidRPr="00C8778C" w14:paraId="13CE92CF" w14:textId="77777777" w:rsidTr="003B35B0">
        <w:trPr>
          <w:trHeight w:val="444"/>
        </w:trPr>
        <w:tc>
          <w:tcPr>
            <w:tcW w:w="1838" w:type="dxa"/>
            <w:tcBorders>
              <w:top w:val="single" w:sz="4" w:space="0" w:color="auto"/>
              <w:left w:val="single" w:sz="4" w:space="0" w:color="auto"/>
              <w:bottom w:val="single" w:sz="4" w:space="0" w:color="auto"/>
              <w:right w:val="single" w:sz="4" w:space="0" w:color="auto"/>
            </w:tcBorders>
            <w:shd w:val="clear" w:color="000000" w:fill="2363AF"/>
            <w:noWrap/>
            <w:vAlign w:val="center"/>
            <w:hideMark/>
          </w:tcPr>
          <w:p w14:paraId="7B55C589" w14:textId="77777777" w:rsidR="00C8778C" w:rsidRPr="003B35B0" w:rsidRDefault="00C8778C" w:rsidP="00C8778C">
            <w:pPr>
              <w:spacing w:after="0" w:line="240" w:lineRule="auto"/>
              <w:rPr>
                <w:rFonts w:eastAsia="Times New Roman" w:cs="Calibri"/>
                <w:color w:val="FFFFFF"/>
                <w:sz w:val="16"/>
                <w:szCs w:val="16"/>
              </w:rPr>
            </w:pPr>
            <w:r w:rsidRPr="003B35B0">
              <w:rPr>
                <w:rFonts w:eastAsia="Times New Roman" w:cs="Calibri"/>
                <w:color w:val="FFFFFF"/>
                <w:sz w:val="16"/>
                <w:szCs w:val="16"/>
              </w:rPr>
              <w:t>Scheme Year</w:t>
            </w:r>
          </w:p>
        </w:tc>
        <w:tc>
          <w:tcPr>
            <w:tcW w:w="5528" w:type="dxa"/>
            <w:tcBorders>
              <w:top w:val="single" w:sz="4" w:space="0" w:color="auto"/>
              <w:left w:val="nil"/>
              <w:bottom w:val="single" w:sz="4" w:space="0" w:color="auto"/>
              <w:right w:val="single" w:sz="4" w:space="0" w:color="auto"/>
            </w:tcBorders>
            <w:shd w:val="clear" w:color="000000" w:fill="2363AF"/>
            <w:vAlign w:val="center"/>
            <w:hideMark/>
          </w:tcPr>
          <w:p w14:paraId="24880FAF" w14:textId="77777777" w:rsidR="00C8778C" w:rsidRPr="003B35B0" w:rsidRDefault="00C8778C" w:rsidP="00C8778C">
            <w:pPr>
              <w:spacing w:after="0" w:line="240" w:lineRule="auto"/>
              <w:rPr>
                <w:rFonts w:eastAsia="Times New Roman" w:cs="Calibri"/>
                <w:color w:val="FFFFFF"/>
                <w:sz w:val="16"/>
                <w:szCs w:val="16"/>
              </w:rPr>
            </w:pPr>
            <w:r w:rsidRPr="003B35B0">
              <w:rPr>
                <w:rFonts w:eastAsia="Times New Roman" w:cs="Calibri"/>
                <w:color w:val="FFFFFF"/>
                <w:sz w:val="16"/>
                <w:szCs w:val="16"/>
              </w:rPr>
              <w:t>Key Performance Indicator (KPI)</w:t>
            </w:r>
          </w:p>
        </w:tc>
        <w:tc>
          <w:tcPr>
            <w:tcW w:w="2552" w:type="dxa"/>
            <w:tcBorders>
              <w:top w:val="single" w:sz="4" w:space="0" w:color="auto"/>
              <w:left w:val="nil"/>
              <w:bottom w:val="single" w:sz="4" w:space="0" w:color="auto"/>
              <w:right w:val="single" w:sz="4" w:space="0" w:color="auto"/>
            </w:tcBorders>
            <w:shd w:val="clear" w:color="000000" w:fill="2363AF"/>
            <w:vAlign w:val="center"/>
            <w:hideMark/>
          </w:tcPr>
          <w:p w14:paraId="12CE6A3E" w14:textId="77777777" w:rsidR="00C8778C" w:rsidRPr="003B35B0" w:rsidRDefault="00C8778C" w:rsidP="00C8778C">
            <w:pPr>
              <w:spacing w:after="0" w:line="240" w:lineRule="auto"/>
              <w:jc w:val="right"/>
              <w:rPr>
                <w:rFonts w:eastAsia="Times New Roman" w:cs="Calibri"/>
                <w:color w:val="FFFFFF"/>
                <w:sz w:val="16"/>
                <w:szCs w:val="16"/>
              </w:rPr>
            </w:pPr>
            <w:r w:rsidRPr="003B35B0">
              <w:rPr>
                <w:rFonts w:eastAsia="Times New Roman" w:cs="Calibri"/>
                <w:color w:val="FFFFFF"/>
                <w:sz w:val="16"/>
                <w:szCs w:val="16"/>
              </w:rPr>
              <w:t>Performance against KPI</w:t>
            </w:r>
          </w:p>
        </w:tc>
      </w:tr>
      <w:tr w:rsidR="00C8778C" w:rsidRPr="00C8778C" w14:paraId="611DF864" w14:textId="77777777" w:rsidTr="003B35B0">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6E2D135" w14:textId="77777777" w:rsidR="00C8778C" w:rsidRPr="003B35B0" w:rsidRDefault="00C8778C" w:rsidP="00C8778C">
            <w:pPr>
              <w:spacing w:after="0" w:line="240" w:lineRule="auto"/>
              <w:rPr>
                <w:rFonts w:eastAsia="Times New Roman" w:cs="Calibri"/>
                <w:color w:val="000000"/>
                <w:sz w:val="16"/>
                <w:szCs w:val="16"/>
              </w:rPr>
            </w:pPr>
            <w:r w:rsidRPr="003B35B0">
              <w:rPr>
                <w:rFonts w:eastAsia="Times New Roman" w:cs="Calibri"/>
                <w:color w:val="000000"/>
                <w:sz w:val="16"/>
                <w:szCs w:val="16"/>
              </w:rPr>
              <w:t>2020-21</w:t>
            </w:r>
          </w:p>
        </w:tc>
        <w:tc>
          <w:tcPr>
            <w:tcW w:w="5528" w:type="dxa"/>
            <w:tcBorders>
              <w:top w:val="nil"/>
              <w:left w:val="nil"/>
              <w:bottom w:val="single" w:sz="4" w:space="0" w:color="auto"/>
              <w:right w:val="single" w:sz="4" w:space="0" w:color="auto"/>
            </w:tcBorders>
            <w:shd w:val="clear" w:color="auto" w:fill="auto"/>
            <w:vAlign w:val="center"/>
            <w:hideMark/>
          </w:tcPr>
          <w:p w14:paraId="7680DF6D" w14:textId="58311253" w:rsidR="00C8778C" w:rsidRPr="003B35B0" w:rsidRDefault="00C8778C" w:rsidP="00C8778C">
            <w:pPr>
              <w:spacing w:after="0" w:line="240" w:lineRule="auto"/>
              <w:rPr>
                <w:rFonts w:eastAsia="Times New Roman" w:cs="Calibri"/>
                <w:color w:val="000000"/>
                <w:sz w:val="16"/>
                <w:szCs w:val="16"/>
              </w:rPr>
            </w:pPr>
            <w:r w:rsidRPr="003B35B0">
              <w:rPr>
                <w:rFonts w:eastAsia="Times New Roman" w:cs="Calibri"/>
                <w:color w:val="000000"/>
                <w:sz w:val="16"/>
                <w:szCs w:val="16"/>
              </w:rPr>
              <w:t>Issue ROCs within 17 working days (Apr-Jun)</w:t>
            </w:r>
            <w:r w:rsidR="009D7AB9">
              <w:rPr>
                <w:rFonts w:eastAsia="Times New Roman" w:cs="Calibri"/>
                <w:color w:val="000000"/>
                <w:sz w:val="16"/>
                <w:szCs w:val="16"/>
              </w:rPr>
              <w:t>*</w:t>
            </w:r>
            <w:r w:rsidRPr="003B35B0">
              <w:rPr>
                <w:rFonts w:eastAsia="Times New Roman" w:cs="Calibri"/>
                <w:color w:val="000000"/>
                <w:sz w:val="16"/>
                <w:szCs w:val="16"/>
              </w:rPr>
              <w:t xml:space="preserve"> and 12 working days (Jul-Mar).</w:t>
            </w:r>
          </w:p>
        </w:tc>
        <w:tc>
          <w:tcPr>
            <w:tcW w:w="2552" w:type="dxa"/>
            <w:tcBorders>
              <w:top w:val="nil"/>
              <w:left w:val="nil"/>
              <w:bottom w:val="single" w:sz="4" w:space="0" w:color="auto"/>
              <w:right w:val="single" w:sz="4" w:space="0" w:color="auto"/>
            </w:tcBorders>
            <w:shd w:val="clear" w:color="auto" w:fill="auto"/>
            <w:noWrap/>
            <w:vAlign w:val="center"/>
            <w:hideMark/>
          </w:tcPr>
          <w:p w14:paraId="49085E7F" w14:textId="77777777" w:rsidR="00C8778C" w:rsidRPr="003B35B0" w:rsidRDefault="00C8778C" w:rsidP="00C8778C">
            <w:pPr>
              <w:spacing w:after="0" w:line="240" w:lineRule="auto"/>
              <w:jc w:val="right"/>
              <w:rPr>
                <w:rFonts w:eastAsia="Times New Roman" w:cs="Calibri"/>
                <w:color w:val="000000"/>
                <w:sz w:val="16"/>
                <w:szCs w:val="16"/>
              </w:rPr>
            </w:pPr>
            <w:r w:rsidRPr="003B35B0">
              <w:rPr>
                <w:rFonts w:eastAsia="Times New Roman" w:cs="Calibri"/>
                <w:color w:val="000000"/>
                <w:sz w:val="16"/>
                <w:szCs w:val="16"/>
              </w:rPr>
              <w:t>96.3%</w:t>
            </w:r>
          </w:p>
        </w:tc>
      </w:tr>
    </w:tbl>
    <w:p w14:paraId="073C0596" w14:textId="49852BAE" w:rsidR="00446DB1" w:rsidRDefault="009D7AB9" w:rsidP="003B35B0">
      <w:pPr>
        <w:pStyle w:val="CommentText"/>
        <w:spacing w:after="240" w:line="240" w:lineRule="exact"/>
      </w:pPr>
      <w:bookmarkStart w:id="419" w:name="_Toc98852182"/>
      <w:r>
        <w:rPr>
          <w:rStyle w:val="Heading2Char"/>
          <w:b w:val="0"/>
          <w:color w:val="auto"/>
          <w:sz w:val="16"/>
          <w:szCs w:val="16"/>
        </w:rPr>
        <w:t>*During the first three months of the scheme year an extra five days is allocated for ROC issue. This is due to increased workload including GB/NI Fuel Mix Disclosure.</w:t>
      </w:r>
      <w:bookmarkEnd w:id="419"/>
    </w:p>
    <w:p w14:paraId="1DACE829" w14:textId="7A96F345" w:rsidR="0003072C" w:rsidRPr="00310026" w:rsidRDefault="0003072C" w:rsidP="003B35B0">
      <w:pPr>
        <w:pStyle w:val="CommentText"/>
        <w:rPr>
          <w:rStyle w:val="Heading2Char"/>
          <w:b w:val="0"/>
        </w:rPr>
      </w:pPr>
      <w:bookmarkStart w:id="420" w:name="_Toc98852183"/>
      <w:r w:rsidRPr="00310026">
        <w:rPr>
          <w:rStyle w:val="Heading2Char"/>
        </w:rPr>
        <w:t>Enquiries</w:t>
      </w:r>
      <w:bookmarkEnd w:id="420"/>
    </w:p>
    <w:p w14:paraId="1923E002" w14:textId="36A2E553" w:rsidR="0003072C" w:rsidRDefault="0003072C" w:rsidP="003B35B0">
      <w:pPr>
        <w:pStyle w:val="CH7normal"/>
        <w:ind w:left="567" w:hanging="567"/>
      </w:pPr>
      <w:r w:rsidRPr="00310026">
        <w:t>We receive enquiries related to ongoing participant compliance</w:t>
      </w:r>
      <w:r w:rsidR="00A47C38">
        <w:t xml:space="preserve">, </w:t>
      </w:r>
      <w:r w:rsidR="00761DEA">
        <w:t xml:space="preserve">the processing of </w:t>
      </w:r>
      <w:r w:rsidR="00A47C38">
        <w:t>applications</w:t>
      </w:r>
      <w:r w:rsidRPr="00310026">
        <w:t xml:space="preserve"> </w:t>
      </w:r>
      <w:r w:rsidR="00761DEA">
        <w:t>and amendments,</w:t>
      </w:r>
      <w:r w:rsidRPr="00310026">
        <w:t xml:space="preserve"> and more general queries regarding the scheme. As seen in </w:t>
      </w:r>
      <w:r w:rsidRPr="00310026">
        <w:rPr>
          <w:b/>
          <w:bCs/>
        </w:rPr>
        <w:t>Table 7.</w:t>
      </w:r>
      <w:r w:rsidR="00E65F38">
        <w:rPr>
          <w:b/>
          <w:bCs/>
        </w:rPr>
        <w:t>3</w:t>
      </w:r>
      <w:r w:rsidRPr="00310026">
        <w:t xml:space="preserve">, 514 telephone calls and 1,849 email enquiries were received in </w:t>
      </w:r>
      <w:r>
        <w:t>2020-21</w:t>
      </w:r>
      <w:r w:rsidRPr="00310026">
        <w:t xml:space="preserve">. </w:t>
      </w:r>
    </w:p>
    <w:p w14:paraId="10557470" w14:textId="4CE5B884" w:rsidR="0003072C" w:rsidRPr="00310026" w:rsidRDefault="0003072C" w:rsidP="0003072C">
      <w:pPr>
        <w:rPr>
          <w:b/>
          <w:bCs/>
        </w:rPr>
      </w:pPr>
      <w:r w:rsidRPr="00310026">
        <w:rPr>
          <w:b/>
          <w:bCs/>
        </w:rPr>
        <w:t>Table 7.</w:t>
      </w:r>
      <w:r w:rsidR="00E65F38">
        <w:rPr>
          <w:b/>
          <w:bCs/>
        </w:rPr>
        <w:t>3</w:t>
      </w:r>
      <w:r w:rsidRPr="00310026">
        <w:rPr>
          <w:b/>
          <w:bCs/>
        </w:rPr>
        <w:t>: RO scheme enquir</w:t>
      </w:r>
      <w:r w:rsidR="00D07D7F">
        <w:rPr>
          <w:b/>
          <w:bCs/>
        </w:rPr>
        <w:t xml:space="preserve">y KPIs </w:t>
      </w:r>
      <w:r w:rsidRPr="00310026">
        <w:rPr>
          <w:b/>
          <w:bCs/>
        </w:rPr>
        <w:t>2020-21</w:t>
      </w:r>
    </w:p>
    <w:tbl>
      <w:tblPr>
        <w:tblStyle w:val="TableGrid"/>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80"/>
        <w:gridCol w:w="3342"/>
        <w:gridCol w:w="2036"/>
        <w:gridCol w:w="1559"/>
        <w:gridCol w:w="1701"/>
      </w:tblGrid>
      <w:tr w:rsidR="001F50C2" w:rsidRPr="00444DD2" w14:paraId="5D3A5707" w14:textId="77777777" w:rsidTr="003B35B0">
        <w:trPr>
          <w:trHeight w:val="641"/>
        </w:trPr>
        <w:tc>
          <w:tcPr>
            <w:tcW w:w="1280" w:type="dxa"/>
            <w:tcBorders>
              <w:top w:val="single" w:sz="4" w:space="0" w:color="auto"/>
              <w:left w:val="single" w:sz="4" w:space="0" w:color="auto"/>
              <w:bottom w:val="single" w:sz="4" w:space="0" w:color="auto"/>
              <w:right w:val="single" w:sz="4" w:space="0" w:color="auto"/>
            </w:tcBorders>
            <w:shd w:val="clear" w:color="auto" w:fill="2363AF"/>
            <w:vAlign w:val="center"/>
          </w:tcPr>
          <w:p w14:paraId="396099A5" w14:textId="0DE4BDE1" w:rsidR="0003072C" w:rsidRPr="003B35B0" w:rsidRDefault="0003072C">
            <w:pPr>
              <w:spacing w:after="200"/>
              <w:rPr>
                <w:color w:val="FFFFFF" w:themeColor="background1"/>
                <w:sz w:val="16"/>
                <w:szCs w:val="16"/>
              </w:rPr>
            </w:pPr>
            <w:r w:rsidRPr="003B35B0">
              <w:rPr>
                <w:color w:val="FFFFFF" w:themeColor="background1"/>
                <w:sz w:val="16"/>
                <w:szCs w:val="16"/>
              </w:rPr>
              <w:t>Enquiry</w:t>
            </w:r>
          </w:p>
        </w:tc>
        <w:tc>
          <w:tcPr>
            <w:tcW w:w="3342"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49F3282E" w14:textId="77777777" w:rsidR="0003072C" w:rsidRPr="003B35B0" w:rsidRDefault="0003072C">
            <w:pPr>
              <w:spacing w:after="200"/>
              <w:rPr>
                <w:color w:val="FFFFFF" w:themeColor="background1"/>
                <w:sz w:val="16"/>
                <w:szCs w:val="16"/>
              </w:rPr>
            </w:pPr>
            <w:r w:rsidRPr="003B35B0">
              <w:rPr>
                <w:color w:val="FFFFFF" w:themeColor="background1"/>
                <w:sz w:val="16"/>
                <w:szCs w:val="16"/>
              </w:rPr>
              <w:t>Key Performance Indicator (KPI)</w:t>
            </w:r>
          </w:p>
        </w:tc>
        <w:tc>
          <w:tcPr>
            <w:tcW w:w="2036"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1059535E" w14:textId="77777777" w:rsidR="0003072C" w:rsidRPr="003B35B0" w:rsidRDefault="0003072C" w:rsidP="003B35B0">
            <w:pPr>
              <w:spacing w:after="200"/>
              <w:jc w:val="right"/>
              <w:rPr>
                <w:color w:val="FFFFFF" w:themeColor="background1"/>
                <w:sz w:val="16"/>
                <w:szCs w:val="16"/>
              </w:rPr>
            </w:pPr>
            <w:r w:rsidRPr="003B35B0">
              <w:rPr>
                <w:color w:val="FFFFFF" w:themeColor="background1"/>
                <w:sz w:val="16"/>
                <w:szCs w:val="16"/>
              </w:rPr>
              <w:t>Received</w:t>
            </w:r>
          </w:p>
        </w:tc>
        <w:tc>
          <w:tcPr>
            <w:tcW w:w="1559"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4DDFEAC7" w14:textId="2244852F" w:rsidR="0003072C" w:rsidRPr="003B35B0" w:rsidRDefault="00E434C3" w:rsidP="003B35B0">
            <w:pPr>
              <w:spacing w:after="200"/>
              <w:jc w:val="right"/>
              <w:rPr>
                <w:color w:val="FFFFFF" w:themeColor="background1"/>
                <w:sz w:val="16"/>
                <w:szCs w:val="16"/>
              </w:rPr>
            </w:pPr>
            <w:r w:rsidRPr="003B35B0">
              <w:rPr>
                <w:color w:val="FFFFFF" w:themeColor="background1"/>
                <w:sz w:val="16"/>
                <w:szCs w:val="16"/>
              </w:rPr>
              <w:t>Met KPI</w:t>
            </w:r>
          </w:p>
        </w:tc>
        <w:tc>
          <w:tcPr>
            <w:tcW w:w="1701"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223EC5E3" w14:textId="1FD8857C" w:rsidR="0003072C" w:rsidRPr="003B35B0" w:rsidRDefault="0003072C" w:rsidP="003B35B0">
            <w:pPr>
              <w:spacing w:after="200"/>
              <w:jc w:val="right"/>
              <w:rPr>
                <w:color w:val="FFFFFF" w:themeColor="background1"/>
                <w:sz w:val="16"/>
                <w:szCs w:val="16"/>
              </w:rPr>
            </w:pPr>
            <w:r w:rsidRPr="003B35B0">
              <w:rPr>
                <w:color w:val="FFFFFF" w:themeColor="background1"/>
                <w:sz w:val="16"/>
                <w:szCs w:val="16"/>
              </w:rPr>
              <w:t>Performance</w:t>
            </w:r>
            <w:r w:rsidR="009D7AB9">
              <w:rPr>
                <w:color w:val="FFFFFF" w:themeColor="background1"/>
                <w:sz w:val="16"/>
                <w:szCs w:val="16"/>
              </w:rPr>
              <w:t xml:space="preserve"> against KPI</w:t>
            </w:r>
          </w:p>
        </w:tc>
      </w:tr>
      <w:tr w:rsidR="00216025" w:rsidRPr="00444DD2" w14:paraId="763A14D1" w14:textId="77777777" w:rsidTr="003B35B0">
        <w:trPr>
          <w:trHeight w:val="693"/>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97EE9" w14:textId="77777777" w:rsidR="0003072C" w:rsidRPr="00310026" w:rsidRDefault="0003072C">
            <w:pPr>
              <w:spacing w:after="200"/>
              <w:rPr>
                <w:b/>
                <w:bCs/>
                <w:sz w:val="16"/>
                <w:szCs w:val="16"/>
              </w:rPr>
            </w:pPr>
            <w:r w:rsidRPr="00310026">
              <w:rPr>
                <w:bCs/>
                <w:sz w:val="16"/>
                <w:szCs w:val="16"/>
              </w:rPr>
              <w:t>Telephone Enquiries</w:t>
            </w:r>
          </w:p>
        </w:tc>
        <w:tc>
          <w:tcPr>
            <w:tcW w:w="3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6828B" w14:textId="657FDD4A" w:rsidR="0003072C" w:rsidRPr="00310026" w:rsidRDefault="0003072C">
            <w:pPr>
              <w:spacing w:after="200"/>
              <w:rPr>
                <w:b/>
                <w:bCs/>
                <w:sz w:val="16"/>
                <w:szCs w:val="16"/>
              </w:rPr>
            </w:pPr>
            <w:r w:rsidRPr="00310026">
              <w:rPr>
                <w:bCs/>
                <w:sz w:val="16"/>
                <w:szCs w:val="16"/>
              </w:rPr>
              <w:t>85% calls answered/no more than 15% abandoned</w:t>
            </w:r>
            <w:r w:rsidR="007475E1">
              <w:rPr>
                <w:bCs/>
                <w:sz w:val="16"/>
                <w:szCs w:val="16"/>
              </w:rPr>
              <w:t>*</w:t>
            </w:r>
            <w:r w:rsidR="009D7AB9">
              <w:rPr>
                <w:bCs/>
                <w:sz w:val="16"/>
                <w:szCs w:val="16"/>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D66E" w14:textId="77777777" w:rsidR="0003072C" w:rsidRPr="00310026" w:rsidRDefault="0003072C" w:rsidP="003B35B0">
            <w:pPr>
              <w:spacing w:after="200"/>
              <w:jc w:val="right"/>
              <w:rPr>
                <w:b/>
                <w:bCs/>
                <w:sz w:val="16"/>
                <w:szCs w:val="16"/>
              </w:rPr>
            </w:pPr>
            <w:r w:rsidRPr="00310026">
              <w:rPr>
                <w:bCs/>
                <w:sz w:val="16"/>
                <w:szCs w:val="16"/>
              </w:rPr>
              <w:t>514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0FBD3" w14:textId="77777777" w:rsidR="0003072C" w:rsidRPr="00310026" w:rsidRDefault="0003072C" w:rsidP="003B35B0">
            <w:pPr>
              <w:spacing w:after="200"/>
              <w:jc w:val="right"/>
              <w:rPr>
                <w:b/>
                <w:bCs/>
                <w:sz w:val="16"/>
                <w:szCs w:val="16"/>
              </w:rPr>
            </w:pPr>
            <w:r w:rsidRPr="00310026">
              <w:rPr>
                <w:bCs/>
                <w:sz w:val="16"/>
                <w:szCs w:val="16"/>
              </w:rPr>
              <w:t>499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99A87" w14:textId="77777777" w:rsidR="0003072C" w:rsidRPr="00310026" w:rsidRDefault="0003072C" w:rsidP="003B35B0">
            <w:pPr>
              <w:spacing w:after="200"/>
              <w:jc w:val="right"/>
              <w:rPr>
                <w:b/>
                <w:bCs/>
                <w:sz w:val="16"/>
                <w:szCs w:val="16"/>
              </w:rPr>
            </w:pPr>
            <w:r w:rsidRPr="00310026">
              <w:rPr>
                <w:bCs/>
                <w:sz w:val="16"/>
                <w:szCs w:val="16"/>
              </w:rPr>
              <w:t>97.1%</w:t>
            </w:r>
          </w:p>
        </w:tc>
      </w:tr>
      <w:tr w:rsidR="007F598B" w:rsidRPr="00444DD2" w14:paraId="7592F10B" w14:textId="77777777" w:rsidTr="003B35B0">
        <w:trPr>
          <w:trHeight w:val="763"/>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D85B8" w14:textId="77777777" w:rsidR="0003072C" w:rsidRPr="00310026" w:rsidRDefault="0003072C">
            <w:pPr>
              <w:spacing w:after="200"/>
              <w:rPr>
                <w:b/>
                <w:bCs/>
                <w:sz w:val="16"/>
                <w:szCs w:val="16"/>
              </w:rPr>
            </w:pPr>
            <w:r w:rsidRPr="00310026">
              <w:rPr>
                <w:bCs/>
                <w:sz w:val="16"/>
                <w:szCs w:val="16"/>
              </w:rPr>
              <w:t>Email Enquiries</w:t>
            </w:r>
          </w:p>
        </w:tc>
        <w:tc>
          <w:tcPr>
            <w:tcW w:w="3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FBDFC" w14:textId="77777777" w:rsidR="0003072C" w:rsidRPr="00310026" w:rsidRDefault="0003072C">
            <w:pPr>
              <w:spacing w:after="200"/>
              <w:rPr>
                <w:b/>
                <w:bCs/>
                <w:sz w:val="16"/>
                <w:szCs w:val="16"/>
              </w:rPr>
            </w:pPr>
            <w:r w:rsidRPr="00310026">
              <w:rPr>
                <w:bCs/>
                <w:sz w:val="16"/>
                <w:szCs w:val="16"/>
              </w:rPr>
              <w:t xml:space="preserve">80% of email enquiries responded to within 10 </w:t>
            </w:r>
            <w:r>
              <w:rPr>
                <w:bCs/>
                <w:sz w:val="16"/>
                <w:szCs w:val="16"/>
              </w:rPr>
              <w:t>working days</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833BB" w14:textId="77777777" w:rsidR="0003072C" w:rsidRPr="00310026" w:rsidRDefault="0003072C" w:rsidP="003B35B0">
            <w:pPr>
              <w:spacing w:after="200"/>
              <w:jc w:val="right"/>
              <w:rPr>
                <w:b/>
                <w:bCs/>
                <w:sz w:val="16"/>
                <w:szCs w:val="16"/>
              </w:rPr>
            </w:pPr>
            <w:r w:rsidRPr="00310026">
              <w:rPr>
                <w:bCs/>
                <w:sz w:val="16"/>
                <w:szCs w:val="16"/>
              </w:rPr>
              <w:t>1</w:t>
            </w:r>
            <w:r>
              <w:rPr>
                <w:bCs/>
                <w:sz w:val="16"/>
                <w:szCs w:val="16"/>
              </w:rPr>
              <w:t>,</w:t>
            </w:r>
            <w:r w:rsidRPr="00310026">
              <w:rPr>
                <w:bCs/>
                <w:sz w:val="16"/>
                <w:szCs w:val="16"/>
              </w:rPr>
              <w:t>849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55D7" w14:textId="39B6225C" w:rsidR="0003072C" w:rsidRPr="00310026" w:rsidRDefault="0003072C" w:rsidP="003B35B0">
            <w:pPr>
              <w:spacing w:after="200"/>
              <w:jc w:val="right"/>
              <w:rPr>
                <w:b/>
                <w:bCs/>
                <w:sz w:val="16"/>
                <w:szCs w:val="16"/>
              </w:rPr>
            </w:pPr>
            <w:r w:rsidRPr="00310026">
              <w:rPr>
                <w:bCs/>
                <w:sz w:val="16"/>
                <w:szCs w:val="16"/>
              </w:rPr>
              <w:t>1</w:t>
            </w:r>
            <w:r>
              <w:rPr>
                <w:bCs/>
                <w:sz w:val="16"/>
                <w:szCs w:val="16"/>
              </w:rPr>
              <w:t>,</w:t>
            </w:r>
            <w:r w:rsidR="00F76275">
              <w:rPr>
                <w:bCs/>
                <w:sz w:val="16"/>
                <w:szCs w:val="16"/>
              </w:rPr>
              <w:t>808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AE8D5" w14:textId="0C3AA8EF" w:rsidR="0003072C" w:rsidRPr="00310026" w:rsidRDefault="0003072C" w:rsidP="003B35B0">
            <w:pPr>
              <w:spacing w:after="200"/>
              <w:jc w:val="right"/>
              <w:rPr>
                <w:b/>
                <w:bCs/>
                <w:sz w:val="16"/>
                <w:szCs w:val="16"/>
              </w:rPr>
            </w:pPr>
            <w:r w:rsidRPr="00310026">
              <w:rPr>
                <w:bCs/>
                <w:sz w:val="16"/>
                <w:szCs w:val="16"/>
              </w:rPr>
              <w:t>97.8%</w:t>
            </w:r>
          </w:p>
        </w:tc>
      </w:tr>
    </w:tbl>
    <w:p w14:paraId="67D22BA4" w14:textId="097EAE24" w:rsidR="007475E1" w:rsidRPr="002D5077" w:rsidRDefault="007475E1" w:rsidP="007475E1">
      <w:pPr>
        <w:pStyle w:val="CH1normal"/>
        <w:numPr>
          <w:ilvl w:val="0"/>
          <w:numId w:val="0"/>
        </w:numPr>
        <w:rPr>
          <w:rStyle w:val="Heading2Char"/>
          <w:b w:val="0"/>
          <w:color w:val="auto"/>
          <w:sz w:val="16"/>
          <w:szCs w:val="16"/>
        </w:rPr>
      </w:pPr>
      <w:bookmarkStart w:id="421" w:name="_Toc98852184"/>
      <w:bookmarkStart w:id="422" w:name="_Hlk96006389"/>
      <w:r w:rsidRPr="002D5077">
        <w:rPr>
          <w:rStyle w:val="Heading2Char"/>
          <w:b w:val="0"/>
          <w:color w:val="auto"/>
          <w:sz w:val="16"/>
          <w:szCs w:val="16"/>
        </w:rPr>
        <w:t>*</w:t>
      </w:r>
      <w:r w:rsidR="009D7AB9">
        <w:rPr>
          <w:rStyle w:val="Heading2Char"/>
          <w:b w:val="0"/>
          <w:color w:val="auto"/>
          <w:sz w:val="16"/>
          <w:szCs w:val="16"/>
        </w:rPr>
        <w:t>*</w:t>
      </w:r>
      <w:r>
        <w:rPr>
          <w:rStyle w:val="Heading2Char"/>
          <w:b w:val="0"/>
          <w:color w:val="auto"/>
          <w:sz w:val="16"/>
          <w:szCs w:val="16"/>
        </w:rPr>
        <w:t xml:space="preserve">Abandoned calls are calls which are ended or disconnected before a conversation </w:t>
      </w:r>
      <w:r w:rsidR="0029034F">
        <w:rPr>
          <w:rStyle w:val="Heading2Char"/>
          <w:b w:val="0"/>
          <w:color w:val="auto"/>
          <w:sz w:val="16"/>
          <w:szCs w:val="16"/>
        </w:rPr>
        <w:t>takes place.</w:t>
      </w:r>
      <w:bookmarkEnd w:id="421"/>
      <w:r>
        <w:rPr>
          <w:rStyle w:val="Heading2Char"/>
          <w:b w:val="0"/>
          <w:color w:val="auto"/>
          <w:sz w:val="16"/>
          <w:szCs w:val="16"/>
        </w:rPr>
        <w:t xml:space="preserve"> </w:t>
      </w:r>
      <w:r w:rsidRPr="002D5077">
        <w:rPr>
          <w:rStyle w:val="Heading2Char"/>
          <w:b w:val="0"/>
          <w:color w:val="auto"/>
          <w:sz w:val="16"/>
          <w:szCs w:val="16"/>
        </w:rPr>
        <w:t xml:space="preserve"> </w:t>
      </w:r>
    </w:p>
    <w:bookmarkEnd w:id="422"/>
    <w:p w14:paraId="3468BF1B" w14:textId="77777777" w:rsidR="0003072C" w:rsidRPr="00310026" w:rsidRDefault="0003072C" w:rsidP="003B35B0">
      <w:pPr>
        <w:pStyle w:val="CH7normal"/>
        <w:ind w:left="567" w:hanging="567"/>
      </w:pPr>
      <w:r w:rsidRPr="00310026">
        <w:lastRenderedPageBreak/>
        <w:t xml:space="preserve">We exceeded our performance targets for enquiries in </w:t>
      </w:r>
      <w:r>
        <w:t>2020-21,</w:t>
      </w:r>
      <w:r w:rsidRPr="00310026">
        <w:t xml:space="preserve"> with 97.1% of telephone enquiries answered and 97.8% of email enquiries receiving a response within 10 working days.</w:t>
      </w:r>
    </w:p>
    <w:p w14:paraId="31783132" w14:textId="1C6D65E1" w:rsidR="0003072C" w:rsidRDefault="0003072C" w:rsidP="003B35B0">
      <w:pPr>
        <w:pStyle w:val="CH7normal"/>
        <w:ind w:left="567" w:hanging="567"/>
      </w:pPr>
      <w:r w:rsidRPr="00310026">
        <w:t xml:space="preserve">As part of our response to COVID-19 and the transition to our staff working from home, we reduced our phone line availability to two hours per day in March 2020. This increased to three hours in May, and then six hours in November. These changes led to an increase in email enquiries as a more accessible means of contact for participants. </w:t>
      </w:r>
    </w:p>
    <w:p w14:paraId="013395C6" w14:textId="0BFF9761" w:rsidR="00471EF7" w:rsidRPr="003B35B0" w:rsidRDefault="00471EF7" w:rsidP="003B35B0">
      <w:pPr>
        <w:pStyle w:val="Heading2"/>
        <w:rPr>
          <w:rStyle w:val="Heading2Char"/>
          <w:b/>
        </w:rPr>
      </w:pPr>
      <w:bookmarkStart w:id="423" w:name="_Toc98852185"/>
      <w:bookmarkEnd w:id="415"/>
      <w:r w:rsidRPr="003B35B0">
        <w:rPr>
          <w:rStyle w:val="Heading2Char"/>
          <w:b/>
        </w:rPr>
        <w:t>Register updates</w:t>
      </w:r>
      <w:bookmarkEnd w:id="423"/>
    </w:p>
    <w:p w14:paraId="4EBDE5CC" w14:textId="11E66196" w:rsidR="00471EF7" w:rsidRDefault="00471EF7" w:rsidP="003B35B0">
      <w:pPr>
        <w:pStyle w:val="CH7normal"/>
        <w:ind w:left="567" w:hanging="567"/>
      </w:pPr>
      <w:r>
        <w:t>During 2020-21, a limited number of changes were made to the Register. All amendments were undertaken so that we could continue to meet our legislative duties.</w:t>
      </w:r>
    </w:p>
    <w:p w14:paraId="4CF811EF" w14:textId="469093FB" w:rsidR="00B84318" w:rsidRPr="003B35B0" w:rsidRDefault="004537F3" w:rsidP="003B35B0">
      <w:pPr>
        <w:pStyle w:val="Heading2"/>
        <w:rPr>
          <w:rStyle w:val="Heading2Char"/>
          <w:b/>
        </w:rPr>
      </w:pPr>
      <w:bookmarkStart w:id="424" w:name="_Toc98852186"/>
      <w:r w:rsidRPr="003B35B0">
        <w:rPr>
          <w:rStyle w:val="Heading2Char"/>
          <w:b/>
        </w:rPr>
        <w:t>Guidance updates</w:t>
      </w:r>
      <w:bookmarkEnd w:id="424"/>
    </w:p>
    <w:p w14:paraId="424BC121" w14:textId="53E57F95" w:rsidR="008076A9" w:rsidRPr="002B175A" w:rsidRDefault="004537F3" w:rsidP="008076A9">
      <w:pPr>
        <w:pStyle w:val="CH7normal"/>
        <w:ind w:left="567" w:hanging="567"/>
        <w:rPr>
          <w:rFonts w:cs="Arial"/>
        </w:rPr>
      </w:pPr>
      <w:r w:rsidRPr="00FA32C4">
        <w:t xml:space="preserve">Between April 2020 and </w:t>
      </w:r>
      <w:r w:rsidR="00B12B1A" w:rsidRPr="00FA32C4">
        <w:t>December 2021,</w:t>
      </w:r>
      <w:r w:rsidRPr="00FA32C4">
        <w:t xml:space="preserve"> we published the following documents:</w:t>
      </w:r>
    </w:p>
    <w:p w14:paraId="1850F32E" w14:textId="77777777" w:rsidR="008076A9" w:rsidRPr="00EA260C" w:rsidRDefault="00482956" w:rsidP="008076A9">
      <w:pPr>
        <w:pStyle w:val="CH7normal"/>
        <w:numPr>
          <w:ilvl w:val="0"/>
          <w:numId w:val="80"/>
        </w:numPr>
        <w:rPr>
          <w:rFonts w:eastAsia="Calibri" w:cs="Times New Roman"/>
        </w:rPr>
      </w:pPr>
      <w:hyperlink r:id="rId85" w:history="1">
        <w:r w:rsidR="008076A9" w:rsidRPr="00E85623">
          <w:rPr>
            <w:rStyle w:val="Hyperlink"/>
          </w:rPr>
          <w:t>Link to ‘Renewables and CHP Register User Guide</w:t>
        </w:r>
      </w:hyperlink>
      <w:r w:rsidR="008076A9" w:rsidRPr="00E85623">
        <w:rPr>
          <w:rStyle w:val="Hyperlink"/>
        </w:rPr>
        <w:t xml:space="preserve">’ </w:t>
      </w:r>
      <w:r w:rsidR="008076A9" w:rsidRPr="00E85623">
        <w:rPr>
          <w:rFonts w:eastAsia="Calibri" w:cs="Times New Roman"/>
          <w:b/>
          <w:bCs/>
        </w:rPr>
        <w:t xml:space="preserve">(Published April 2020) </w:t>
      </w:r>
      <w:r w:rsidR="008076A9" w:rsidRPr="00E85623">
        <w:rPr>
          <w:rFonts w:eastAsia="Calibri" w:cs="Times New Roman"/>
          <w:b/>
          <w:bCs/>
        </w:rPr>
        <w:br/>
      </w:r>
      <w:r w:rsidR="008076A9" w:rsidRPr="00E85623">
        <w:rPr>
          <w:rFonts w:eastAsia="Calibri" w:cs="Times New Roman"/>
        </w:rPr>
        <w:t>This document was updated to include information on unsupported/excluded capacity.</w:t>
      </w:r>
      <w:r w:rsidR="008076A9" w:rsidRPr="00E85623">
        <w:rPr>
          <w:rFonts w:eastAsia="Calibri" w:cs="Times New Roman"/>
        </w:rPr>
        <w:br/>
      </w:r>
      <w:r w:rsidR="008076A9" w:rsidRPr="00E85623">
        <w:rPr>
          <w:rFonts w:eastAsia="Calibri" w:cs="Times New Roman"/>
          <w:sz w:val="16"/>
          <w:szCs w:val="16"/>
        </w:rPr>
        <w:t>&lt;https://www.ofgem.gov.uk/publications-and-updates/renewables-and-chp-register-user-guide&gt;</w:t>
      </w:r>
    </w:p>
    <w:p w14:paraId="748DF1FE" w14:textId="77777777" w:rsidR="008076A9" w:rsidRPr="00D7156F" w:rsidRDefault="00482956" w:rsidP="008076A9">
      <w:pPr>
        <w:pStyle w:val="ListParagraph"/>
        <w:numPr>
          <w:ilvl w:val="0"/>
          <w:numId w:val="80"/>
        </w:numPr>
        <w:spacing w:after="360"/>
        <w:rPr>
          <w:rFonts w:eastAsia="Calibri" w:cs="Times New Roman"/>
        </w:rPr>
      </w:pPr>
      <w:hyperlink r:id="rId86" w:history="1">
        <w:r w:rsidR="008076A9" w:rsidRPr="00E85623">
          <w:rPr>
            <w:rStyle w:val="Hyperlink"/>
          </w:rPr>
          <w:t>Link to ‘Renewables Obligation: fuel measurement and sampling guidance</w:t>
        </w:r>
      </w:hyperlink>
      <w:r w:rsidR="008076A9" w:rsidRPr="00E85623">
        <w:rPr>
          <w:rStyle w:val="Hyperlink"/>
        </w:rPr>
        <w:t>’</w:t>
      </w:r>
      <w:r w:rsidR="008076A9" w:rsidRPr="00D7156F">
        <w:rPr>
          <w:rFonts w:eastAsia="Calibri" w:cs="Times New Roman"/>
        </w:rPr>
        <w:t xml:space="preserve"> </w:t>
      </w:r>
      <w:r w:rsidR="008076A9" w:rsidRPr="00D7156F">
        <w:rPr>
          <w:rFonts w:eastAsia="Calibri" w:cs="Times New Roman"/>
          <w:b/>
          <w:bCs/>
        </w:rPr>
        <w:t>(Published April 2020)</w:t>
      </w:r>
      <w:r w:rsidR="008076A9" w:rsidRPr="00D7156F">
        <w:rPr>
          <w:rFonts w:eastAsia="Calibri" w:cs="Times New Roman"/>
          <w:b/>
          <w:bCs/>
        </w:rPr>
        <w:br/>
      </w:r>
      <w:r w:rsidR="008076A9" w:rsidRPr="00D7156F">
        <w:rPr>
          <w:rFonts w:eastAsia="Calibri" w:cs="Times New Roman"/>
        </w:rPr>
        <w:t>This document has been updated to include additional information on unsupported/excluded capacity.</w:t>
      </w:r>
      <w:r w:rsidR="008076A9" w:rsidRPr="00D7156F">
        <w:rPr>
          <w:rFonts w:eastAsia="Calibri" w:cs="Times New Roman"/>
        </w:rPr>
        <w:br/>
      </w:r>
      <w:r w:rsidR="008076A9" w:rsidRPr="00D7156F">
        <w:rPr>
          <w:rFonts w:eastAsia="Calibri" w:cs="Times New Roman"/>
          <w:sz w:val="16"/>
          <w:szCs w:val="16"/>
        </w:rPr>
        <w:t>&lt;https://www.ofgem.gov.uk/publications-and-updates/renewables-obligation-fuel-measurement-and-sampling-guidance-0&gt;</w:t>
      </w:r>
    </w:p>
    <w:p w14:paraId="048985A7" w14:textId="77777777" w:rsidR="008076A9" w:rsidRPr="00D7156F" w:rsidRDefault="00482956" w:rsidP="008076A9">
      <w:pPr>
        <w:pStyle w:val="ListParagraph"/>
        <w:numPr>
          <w:ilvl w:val="0"/>
          <w:numId w:val="80"/>
        </w:numPr>
        <w:spacing w:after="360"/>
        <w:rPr>
          <w:rFonts w:eastAsia="Calibri" w:cs="Times New Roman"/>
        </w:rPr>
      </w:pPr>
      <w:hyperlink r:id="rId87" w:history="1">
        <w:r w:rsidR="008076A9" w:rsidRPr="00E85623">
          <w:rPr>
            <w:rStyle w:val="Hyperlink"/>
          </w:rPr>
          <w:t>Link to ‘Audits of Renewables Obligation (RO) Generating Stations</w:t>
        </w:r>
      </w:hyperlink>
      <w:r w:rsidR="008076A9" w:rsidRPr="00E85623">
        <w:rPr>
          <w:rStyle w:val="Hyperlink"/>
        </w:rPr>
        <w:t xml:space="preserve">’ </w:t>
      </w:r>
      <w:r w:rsidR="008076A9" w:rsidRPr="00D7156F">
        <w:rPr>
          <w:rFonts w:eastAsia="Calibri" w:cs="Times New Roman"/>
          <w:b/>
          <w:bCs/>
        </w:rPr>
        <w:t>(Published May 2020)</w:t>
      </w:r>
      <w:r w:rsidR="008076A9" w:rsidRPr="00D7156F">
        <w:rPr>
          <w:rFonts w:eastAsia="Calibri" w:cs="Times New Roman"/>
          <w:b/>
          <w:bCs/>
        </w:rPr>
        <w:br/>
      </w:r>
      <w:r w:rsidR="008076A9" w:rsidRPr="00D7156F">
        <w:rPr>
          <w:rFonts w:eastAsia="Calibri" w:cs="Times New Roman"/>
        </w:rPr>
        <w:t>This announced that from 2020-21, we will commence a new annual audit programme, which will be carried out alongside the existing targeted audit programme.</w:t>
      </w:r>
      <w:r w:rsidR="008076A9" w:rsidRPr="00D7156F">
        <w:rPr>
          <w:rFonts w:eastAsia="Calibri" w:cs="Times New Roman"/>
        </w:rPr>
        <w:br/>
      </w:r>
      <w:r w:rsidR="008076A9" w:rsidRPr="00D7156F">
        <w:rPr>
          <w:rFonts w:eastAsia="Calibri" w:cs="Times New Roman"/>
          <w:sz w:val="16"/>
          <w:szCs w:val="16"/>
        </w:rPr>
        <w:t>&lt;https://www.ofgem.gov.uk/publications-and-updates/audits-renewables-obligation-ro-generating-stations&gt;</w:t>
      </w:r>
    </w:p>
    <w:p w14:paraId="2AD90C32" w14:textId="77777777" w:rsidR="008076A9" w:rsidRPr="00D7156F" w:rsidRDefault="00482956" w:rsidP="008076A9">
      <w:pPr>
        <w:pStyle w:val="ListParagraph"/>
        <w:numPr>
          <w:ilvl w:val="0"/>
          <w:numId w:val="80"/>
        </w:numPr>
        <w:spacing w:after="360"/>
        <w:rPr>
          <w:rFonts w:eastAsia="Calibri" w:cs="Times New Roman"/>
        </w:rPr>
      </w:pPr>
      <w:hyperlink r:id="rId88" w:history="1">
        <w:r w:rsidR="008076A9" w:rsidRPr="00E85623">
          <w:rPr>
            <w:rStyle w:val="Hyperlink"/>
          </w:rPr>
          <w:t>Link to ‘Renewables Obligation: Guidance for suppliers</w:t>
        </w:r>
      </w:hyperlink>
      <w:r w:rsidR="008076A9" w:rsidRPr="00E85623">
        <w:rPr>
          <w:rStyle w:val="Hyperlink"/>
        </w:rPr>
        <w:t>’</w:t>
      </w:r>
      <w:r w:rsidR="008076A9" w:rsidRPr="00D7156F">
        <w:rPr>
          <w:rFonts w:eastAsia="Calibri" w:cs="Times New Roman"/>
        </w:rPr>
        <w:t xml:space="preserve"> </w:t>
      </w:r>
      <w:r w:rsidR="008076A9" w:rsidRPr="00D7156F">
        <w:rPr>
          <w:rFonts w:eastAsia="Calibri" w:cs="Times New Roman"/>
          <w:b/>
          <w:bCs/>
        </w:rPr>
        <w:t>(Published July 2020 and April 2021)</w:t>
      </w:r>
      <w:r w:rsidR="008076A9" w:rsidRPr="00D7156F">
        <w:rPr>
          <w:rFonts w:eastAsia="Calibri" w:cs="Times New Roman"/>
          <w:b/>
          <w:bCs/>
        </w:rPr>
        <w:br/>
      </w:r>
      <w:r w:rsidR="008076A9" w:rsidRPr="00D7156F">
        <w:rPr>
          <w:rFonts w:eastAsia="Calibri" w:cs="Times New Roman"/>
        </w:rPr>
        <w:t xml:space="preserve">This document provides guidance for all GB and NI licensed electricity suppliers under the Renewables Obligation. This document was updated in July 2020 to provide additional information and clarity surrounding the redistribution of the late payment and mutualisation funds and which suppliers are entitled to receive money from these. </w:t>
      </w:r>
      <w:r w:rsidR="008076A9" w:rsidRPr="00D7156F">
        <w:rPr>
          <w:rFonts w:eastAsia="Calibri" w:cs="Times New Roman"/>
        </w:rPr>
        <w:lastRenderedPageBreak/>
        <w:t>Guidance was also added on how we treat payments received from suppliers after the RO late payment deadline.</w:t>
      </w:r>
      <w:r w:rsidR="008076A9" w:rsidRPr="00D7156F">
        <w:rPr>
          <w:rFonts w:eastAsia="Calibri" w:cs="Times New Roman"/>
        </w:rPr>
        <w:br/>
        <w:t>This document was updated again in April 2021 to reflect changes to the calculation methodology for the mutualisation threshold. This is in line with the Renewables Obligation (Amendment) Order 2021, which came into force on 31 March 2021</w:t>
      </w:r>
      <w:r w:rsidR="008076A9" w:rsidRPr="00D7156F">
        <w:rPr>
          <w:rFonts w:eastAsia="Calibri" w:cs="Times New Roman"/>
        </w:rPr>
        <w:br/>
      </w:r>
      <w:r w:rsidR="008076A9" w:rsidRPr="00D7156F">
        <w:rPr>
          <w:rFonts w:eastAsia="Calibri" w:cs="Times New Roman"/>
          <w:sz w:val="16"/>
          <w:szCs w:val="16"/>
        </w:rPr>
        <w:t>&lt;https://www.ofgem.gov.uk/publications/renewables-obligation-guidance-suppliers&gt;</w:t>
      </w:r>
    </w:p>
    <w:p w14:paraId="63B59A4D" w14:textId="77777777" w:rsidR="008076A9" w:rsidRPr="00D7156F" w:rsidRDefault="00482956" w:rsidP="008076A9">
      <w:pPr>
        <w:pStyle w:val="ListParagraph"/>
        <w:numPr>
          <w:ilvl w:val="0"/>
          <w:numId w:val="80"/>
        </w:numPr>
        <w:spacing w:after="360"/>
        <w:rPr>
          <w:rFonts w:eastAsia="Calibri" w:cs="Times New Roman"/>
        </w:rPr>
      </w:pPr>
      <w:hyperlink r:id="rId89" w:history="1">
        <w:r w:rsidR="008076A9" w:rsidRPr="00E85623">
          <w:rPr>
            <w:rStyle w:val="Hyperlink"/>
          </w:rPr>
          <w:t>Link to ‘Guidance for generators: Co-location of electricity storage facilities with renewable generation supported under the Renewables Obligation or Feed-in Tariff schemes V3</w:t>
        </w:r>
      </w:hyperlink>
      <w:r w:rsidR="008076A9" w:rsidRPr="00E85623">
        <w:rPr>
          <w:rStyle w:val="Hyperlink"/>
        </w:rPr>
        <w:t>’</w:t>
      </w:r>
      <w:r w:rsidR="008076A9" w:rsidRPr="00D7156F">
        <w:rPr>
          <w:rStyle w:val="Hyperlink"/>
          <w:b/>
          <w:bCs/>
        </w:rPr>
        <w:t xml:space="preserve"> </w:t>
      </w:r>
      <w:r w:rsidR="008076A9" w:rsidRPr="00D7156F">
        <w:rPr>
          <w:rFonts w:eastAsia="Calibri" w:cs="Times New Roman"/>
          <w:b/>
          <w:bCs/>
        </w:rPr>
        <w:t>(Published July 2020)</w:t>
      </w:r>
      <w:r w:rsidR="008076A9" w:rsidRPr="00D7156F">
        <w:rPr>
          <w:rFonts w:eastAsia="Calibri" w:cs="Times New Roman"/>
          <w:b/>
          <w:bCs/>
        </w:rPr>
        <w:br/>
      </w:r>
      <w:r w:rsidR="008076A9" w:rsidRPr="00D7156F">
        <w:rPr>
          <w:rFonts w:eastAsia="Calibri" w:cs="Times New Roman"/>
        </w:rPr>
        <w:t>This guidance is for participants of the RO and FIT schemes on co-locating storage with their accredited RO generating station or FIT installation.</w:t>
      </w:r>
      <w:r w:rsidR="008076A9" w:rsidRPr="00D7156F">
        <w:rPr>
          <w:rFonts w:eastAsia="Calibri" w:cs="Times New Roman"/>
        </w:rPr>
        <w:br/>
      </w:r>
      <w:r w:rsidR="008076A9" w:rsidRPr="00D7156F">
        <w:rPr>
          <w:rFonts w:eastAsia="Calibri" w:cs="Times New Roman"/>
          <w:sz w:val="16"/>
          <w:szCs w:val="16"/>
        </w:rPr>
        <w:t>&lt;https://www.ofgem.gov.uk/publications-and-updates/guidance-generators-co-location-electricity-storage-facilities-renewable-generation-supported-under-renewables-obligation-or-feed-tariff-schemes-0&gt;</w:t>
      </w:r>
    </w:p>
    <w:p w14:paraId="48ED6865" w14:textId="77777777" w:rsidR="008076A9" w:rsidRPr="00D7156F" w:rsidRDefault="00482956" w:rsidP="008076A9">
      <w:pPr>
        <w:pStyle w:val="ListParagraph"/>
        <w:numPr>
          <w:ilvl w:val="0"/>
          <w:numId w:val="80"/>
        </w:numPr>
        <w:spacing w:after="360" w:line="276" w:lineRule="auto"/>
        <w:rPr>
          <w:rFonts w:eastAsia="Calibri" w:cs="Times New Roman"/>
        </w:rPr>
      </w:pPr>
      <w:hyperlink r:id="rId90" w:history="1">
        <w:r w:rsidR="008076A9" w:rsidRPr="00E85623">
          <w:rPr>
            <w:rStyle w:val="Hyperlink"/>
          </w:rPr>
          <w:t>Link to ‘Renewables Obligation: Guidance for adding capacity following scheme closure</w:t>
        </w:r>
      </w:hyperlink>
      <w:r w:rsidR="008076A9" w:rsidRPr="00E85623">
        <w:rPr>
          <w:rStyle w:val="Hyperlink"/>
        </w:rPr>
        <w:t>’</w:t>
      </w:r>
      <w:r w:rsidR="008076A9" w:rsidRPr="00D7156F">
        <w:rPr>
          <w:rStyle w:val="Hyperlink"/>
          <w:b/>
          <w:bCs/>
        </w:rPr>
        <w:t xml:space="preserve"> </w:t>
      </w:r>
      <w:r w:rsidR="008076A9" w:rsidRPr="00D7156F">
        <w:rPr>
          <w:rFonts w:eastAsia="Calibri" w:cs="Times New Roman"/>
          <w:b/>
          <w:bCs/>
        </w:rPr>
        <w:t>(Published September 2020)</w:t>
      </w:r>
      <w:r w:rsidR="008076A9" w:rsidRPr="00D7156F">
        <w:rPr>
          <w:rFonts w:eastAsia="Calibri" w:cs="Times New Roman"/>
          <w:b/>
          <w:bCs/>
        </w:rPr>
        <w:br/>
      </w:r>
      <w:r w:rsidR="008076A9" w:rsidRPr="00D7156F">
        <w:rPr>
          <w:rFonts w:eastAsia="Calibri" w:cs="Times New Roman"/>
        </w:rPr>
        <w:t>This document has been updated to provide further guidance around adding capacity after the closure of the scheme.</w:t>
      </w:r>
      <w:r w:rsidR="008076A9" w:rsidRPr="00D7156F">
        <w:rPr>
          <w:rFonts w:eastAsia="Calibri" w:cs="Times New Roman"/>
        </w:rPr>
        <w:br/>
      </w:r>
      <w:r w:rsidR="008076A9" w:rsidRPr="00D7156F">
        <w:rPr>
          <w:rFonts w:eastAsia="Calibri" w:cs="Times New Roman"/>
          <w:sz w:val="16"/>
          <w:szCs w:val="16"/>
        </w:rPr>
        <w:t>&lt;https://www.ofgem.gov.uk/system/files/docs/2020/09/ro_generator_guidance_subsidiary_doc_0.pdf&gt;</w:t>
      </w:r>
    </w:p>
    <w:p w14:paraId="56CABE29" w14:textId="77777777" w:rsidR="008076A9" w:rsidRPr="00D7156F" w:rsidRDefault="00482956" w:rsidP="008076A9">
      <w:pPr>
        <w:pStyle w:val="ListParagraph"/>
        <w:numPr>
          <w:ilvl w:val="0"/>
          <w:numId w:val="80"/>
        </w:numPr>
        <w:spacing w:after="360"/>
        <w:rPr>
          <w:rFonts w:eastAsia="Calibri" w:cs="Times New Roman"/>
        </w:rPr>
      </w:pPr>
      <w:hyperlink r:id="rId91" w:history="1">
        <w:r w:rsidR="008076A9" w:rsidRPr="00E85623">
          <w:rPr>
            <w:rStyle w:val="Hyperlink"/>
          </w:rPr>
          <w:t>Link to ‘Banked ROCs FAQ</w:t>
        </w:r>
      </w:hyperlink>
      <w:r w:rsidR="008076A9" w:rsidRPr="00E85623">
        <w:rPr>
          <w:rStyle w:val="Hyperlink"/>
        </w:rPr>
        <w:t>’</w:t>
      </w:r>
      <w:r w:rsidR="008076A9" w:rsidRPr="00D7156F">
        <w:rPr>
          <w:rFonts w:eastAsia="Calibri" w:cs="Times New Roman"/>
        </w:rPr>
        <w:t xml:space="preserve"> </w:t>
      </w:r>
      <w:r w:rsidR="008076A9" w:rsidRPr="00D7156F">
        <w:rPr>
          <w:rFonts w:eastAsia="Calibri" w:cs="Times New Roman"/>
          <w:b/>
          <w:bCs/>
        </w:rPr>
        <w:t>(Published November 2020)</w:t>
      </w:r>
      <w:r w:rsidR="008076A9" w:rsidRPr="00D7156F">
        <w:rPr>
          <w:rFonts w:eastAsia="Calibri" w:cs="Times New Roman"/>
          <w:b/>
          <w:bCs/>
        </w:rPr>
        <w:br/>
      </w:r>
      <w:r w:rsidR="008076A9" w:rsidRPr="00D7156F">
        <w:rPr>
          <w:rFonts w:eastAsia="Calibri" w:cs="Times New Roman"/>
        </w:rPr>
        <w:t>This document provides a brief overview of 2019-20 banked ROCs and the impact on applications, output data submissions and certificates transfer.</w:t>
      </w:r>
      <w:r w:rsidR="008076A9" w:rsidRPr="00D7156F">
        <w:rPr>
          <w:rFonts w:eastAsia="Calibri" w:cs="Times New Roman"/>
        </w:rPr>
        <w:br/>
      </w:r>
      <w:r w:rsidR="008076A9" w:rsidRPr="00D7156F">
        <w:rPr>
          <w:rFonts w:eastAsia="Calibri" w:cs="Times New Roman"/>
          <w:sz w:val="16"/>
          <w:szCs w:val="16"/>
        </w:rPr>
        <w:t>&lt;https://www.ofgem.gov.uk/publications-and-updates/banked-rocs-faq&gt;</w:t>
      </w:r>
    </w:p>
    <w:p w14:paraId="3AEE1212" w14:textId="77777777" w:rsidR="008076A9" w:rsidRPr="00D7156F" w:rsidRDefault="00482956" w:rsidP="008076A9">
      <w:pPr>
        <w:pStyle w:val="ListParagraph"/>
        <w:numPr>
          <w:ilvl w:val="0"/>
          <w:numId w:val="80"/>
        </w:numPr>
        <w:spacing w:after="360"/>
        <w:rPr>
          <w:rFonts w:eastAsia="Calibri" w:cs="Times New Roman"/>
          <w:b/>
          <w:bCs/>
        </w:rPr>
      </w:pPr>
      <w:hyperlink r:id="rId92" w:history="1">
        <w:r w:rsidR="008076A9" w:rsidRPr="00D7156F">
          <w:rPr>
            <w:rStyle w:val="Hyperlink"/>
            <w:rFonts w:eastAsia="Calibri" w:cs="Times New Roman"/>
          </w:rPr>
          <w:t>Link to ‘Renewable Obligation Certificate (ROC) Issue Schedule 2021/2022</w:t>
        </w:r>
      </w:hyperlink>
      <w:r w:rsidR="008076A9" w:rsidRPr="00D7156F">
        <w:rPr>
          <w:rStyle w:val="Hyperlink"/>
          <w:rFonts w:eastAsia="Calibri" w:cs="Times New Roman"/>
        </w:rPr>
        <w:t>’</w:t>
      </w:r>
      <w:r w:rsidR="008076A9" w:rsidRPr="00D7156F">
        <w:rPr>
          <w:rFonts w:eastAsia="Calibri" w:cs="Times New Roman"/>
          <w:b/>
          <w:bCs/>
        </w:rPr>
        <w:t xml:space="preserve"> (Published March 2021)</w:t>
      </w:r>
      <w:r w:rsidR="008076A9" w:rsidRPr="00D7156F">
        <w:rPr>
          <w:rFonts w:eastAsia="Calibri" w:cs="Times New Roman"/>
          <w:b/>
          <w:bCs/>
        </w:rPr>
        <w:br/>
      </w:r>
      <w:r w:rsidR="008076A9" w:rsidRPr="00D7156F">
        <w:rPr>
          <w:rFonts w:eastAsia="Calibri" w:cs="Times New Roman"/>
        </w:rPr>
        <w:t>This document lists the deadlines for data submission for the purpose of issuing ROCs, and the dates by which Ofgem intends to issue ROCs for the period April 2021 – March 2022</w:t>
      </w:r>
      <w:r w:rsidR="008076A9" w:rsidRPr="00D7156F">
        <w:rPr>
          <w:rFonts w:eastAsia="Calibri" w:cs="Times New Roman"/>
          <w:b/>
          <w:bCs/>
        </w:rPr>
        <w:t>.</w:t>
      </w:r>
      <w:r w:rsidR="008076A9" w:rsidRPr="00D7156F">
        <w:rPr>
          <w:rFonts w:eastAsia="Calibri" w:cs="Times New Roman"/>
          <w:b/>
          <w:bCs/>
        </w:rPr>
        <w:br/>
      </w:r>
      <w:r w:rsidR="008076A9" w:rsidRPr="00D7156F">
        <w:rPr>
          <w:rFonts w:eastAsia="Calibri" w:cs="Times New Roman"/>
          <w:sz w:val="16"/>
          <w:szCs w:val="16"/>
        </w:rPr>
        <w:t>&lt;https://www.ofgem.gov.uk/publications/renewable-obligation-certificate-roc-issue-schedule-20212022&gt;</w:t>
      </w:r>
    </w:p>
    <w:p w14:paraId="5A381AF3" w14:textId="728A1623" w:rsidR="008076A9" w:rsidRPr="00D7156F" w:rsidRDefault="00482956" w:rsidP="008076A9">
      <w:pPr>
        <w:pStyle w:val="ListParagraph"/>
        <w:numPr>
          <w:ilvl w:val="0"/>
          <w:numId w:val="80"/>
        </w:numPr>
        <w:spacing w:after="360"/>
        <w:rPr>
          <w:rFonts w:eastAsia="Calibri" w:cs="Times New Roman"/>
        </w:rPr>
      </w:pPr>
      <w:hyperlink r:id="rId93" w:history="1">
        <w:r w:rsidR="008076A9" w:rsidRPr="00D7156F">
          <w:rPr>
            <w:rStyle w:val="Hyperlink"/>
            <w:rFonts w:eastAsia="Calibri" w:cs="Times New Roman"/>
          </w:rPr>
          <w:t>Link to ‘Guidance for organisations on presenting Guarantees of Origin (GoOs) for use in GB Fuel Mix Disclosure (FMD) and Feed-in Tariffs (FIT) annual levelisation’</w:t>
        </w:r>
      </w:hyperlink>
      <w:r w:rsidR="008076A9" w:rsidRPr="00D7156F">
        <w:rPr>
          <w:rFonts w:eastAsia="Calibri" w:cs="Times New Roman"/>
          <w:b/>
          <w:bCs/>
        </w:rPr>
        <w:t xml:space="preserve"> (Published May 2021 and </w:t>
      </w:r>
      <w:r w:rsidR="006D467B">
        <w:rPr>
          <w:rFonts w:eastAsia="Calibri" w:cs="Times New Roman"/>
          <w:b/>
          <w:bCs/>
        </w:rPr>
        <w:t>February</w:t>
      </w:r>
      <w:r w:rsidR="008076A9" w:rsidRPr="00D7156F">
        <w:rPr>
          <w:rFonts w:eastAsia="Calibri" w:cs="Times New Roman"/>
          <w:b/>
          <w:bCs/>
        </w:rPr>
        <w:t xml:space="preserve"> 202</w:t>
      </w:r>
      <w:r w:rsidR="006D467B">
        <w:rPr>
          <w:rFonts w:eastAsia="Calibri" w:cs="Times New Roman"/>
          <w:b/>
          <w:bCs/>
        </w:rPr>
        <w:t>2)</w:t>
      </w:r>
      <w:r w:rsidR="008076A9" w:rsidRPr="00D7156F">
        <w:rPr>
          <w:rFonts w:eastAsia="Calibri" w:cs="Times New Roman"/>
          <w:b/>
          <w:bCs/>
        </w:rPr>
        <w:br/>
      </w:r>
      <w:r w:rsidR="008076A9" w:rsidRPr="00D7156F">
        <w:rPr>
          <w:rFonts w:eastAsia="Calibri" w:cs="Times New Roman"/>
        </w:rPr>
        <w:t>This is the latest version of this guidance document which has been updated reflect changes to implicit trading following the end of the transition period for exit from the EU.</w:t>
      </w:r>
      <w:r w:rsidR="008076A9" w:rsidRPr="00D7156F">
        <w:rPr>
          <w:rFonts w:eastAsia="Calibri" w:cs="Times New Roman"/>
        </w:rPr>
        <w:br/>
      </w:r>
      <w:r w:rsidR="008076A9" w:rsidRPr="00D7156F">
        <w:rPr>
          <w:rFonts w:eastAsia="Calibri" w:cs="Times New Roman"/>
          <w:sz w:val="16"/>
          <w:szCs w:val="16"/>
        </w:rPr>
        <w:t>&lt;https://www.ofgem.gov.uk/publications/guidance-organisations-presenting-guarantees-origin-goos-use-gb-fuel-mix-disclosure-fmd-and-feed-tariffs-fit-annual-levelisation&gt;</w:t>
      </w:r>
    </w:p>
    <w:p w14:paraId="356EB106" w14:textId="77777777" w:rsidR="008076A9" w:rsidRPr="00D7156F" w:rsidRDefault="00482956" w:rsidP="008076A9">
      <w:pPr>
        <w:pStyle w:val="ListParagraph"/>
        <w:numPr>
          <w:ilvl w:val="0"/>
          <w:numId w:val="80"/>
        </w:numPr>
        <w:spacing w:after="360"/>
        <w:rPr>
          <w:rFonts w:eastAsia="Calibri" w:cs="Times New Roman"/>
        </w:rPr>
      </w:pPr>
      <w:hyperlink r:id="rId94" w:history="1">
        <w:r w:rsidR="008076A9" w:rsidRPr="00D7156F">
          <w:rPr>
            <w:rStyle w:val="Hyperlink"/>
            <w:rFonts w:eastAsia="Calibri" w:cs="Times New Roman"/>
          </w:rPr>
          <w:t>Link to ‘Northern Ireland Renewables Obligation FAQ – Microgenerators</w:t>
        </w:r>
      </w:hyperlink>
      <w:r w:rsidR="008076A9" w:rsidRPr="00D7156F">
        <w:rPr>
          <w:rStyle w:val="Hyperlink"/>
          <w:rFonts w:eastAsia="Calibri" w:cs="Times New Roman"/>
        </w:rPr>
        <w:t>’</w:t>
      </w:r>
      <w:r w:rsidR="008076A9" w:rsidRPr="00D7156F">
        <w:rPr>
          <w:rFonts w:eastAsia="Calibri" w:cs="Times New Roman"/>
          <w:b/>
          <w:bCs/>
        </w:rPr>
        <w:t xml:space="preserve"> (Published October 2021)</w:t>
      </w:r>
      <w:r w:rsidR="008076A9" w:rsidRPr="00D7156F">
        <w:rPr>
          <w:rFonts w:eastAsia="Calibri" w:cs="Times New Roman"/>
          <w:b/>
          <w:bCs/>
        </w:rPr>
        <w:br/>
      </w:r>
      <w:r w:rsidR="008076A9" w:rsidRPr="00D7156F">
        <w:rPr>
          <w:rFonts w:eastAsia="Calibri" w:cs="Times New Roman"/>
        </w:rPr>
        <w:t>This document is for operators of generating stations with a capacity of 50kW or less accredited under the Northern Ireland Renewables Obligation (NIRO). It provides a brief overview of the process of claiming support under the scheme and your responsibilities as an operator. This guidance is intended for micro-generators using an agent.</w:t>
      </w:r>
      <w:r w:rsidR="008076A9" w:rsidRPr="00D7156F">
        <w:rPr>
          <w:rFonts w:eastAsia="Calibri" w:cs="Times New Roman"/>
        </w:rPr>
        <w:br/>
      </w:r>
      <w:r w:rsidR="008076A9" w:rsidRPr="00D7156F">
        <w:rPr>
          <w:rFonts w:eastAsia="Calibri" w:cs="Times New Roman"/>
          <w:sz w:val="16"/>
          <w:szCs w:val="16"/>
        </w:rPr>
        <w:t>&lt;https://www.ofgem.gov.uk/publications/northern-ireland-renewables-obligation-faq-microgenerators&gt;</w:t>
      </w:r>
    </w:p>
    <w:p w14:paraId="7289F75D" w14:textId="77777777" w:rsidR="008076A9" w:rsidRPr="00D7156F" w:rsidRDefault="00482956" w:rsidP="008076A9">
      <w:pPr>
        <w:pStyle w:val="ListParagraph"/>
        <w:numPr>
          <w:ilvl w:val="0"/>
          <w:numId w:val="80"/>
        </w:numPr>
        <w:spacing w:after="360"/>
        <w:rPr>
          <w:rFonts w:eastAsia="Calibri" w:cs="Times New Roman"/>
        </w:rPr>
      </w:pPr>
      <w:hyperlink r:id="rId95" w:history="1">
        <w:r w:rsidR="008076A9" w:rsidRPr="00D7156F">
          <w:rPr>
            <w:rStyle w:val="Hyperlink"/>
            <w:rFonts w:cs="Open Sans"/>
            <w:shd w:val="clear" w:color="auto" w:fill="FFFFFF"/>
          </w:rPr>
          <w:t>Link to ‘Ofgem costs for administering the Renewables Obligation (RO)</w:t>
        </w:r>
      </w:hyperlink>
      <w:r w:rsidR="008076A9" w:rsidRPr="00D7156F">
        <w:rPr>
          <w:rStyle w:val="Hyperlink"/>
          <w:rFonts w:cs="Open Sans"/>
          <w:shd w:val="clear" w:color="auto" w:fill="FFFFFF"/>
        </w:rPr>
        <w:t>’</w:t>
      </w:r>
      <w:r w:rsidR="008076A9" w:rsidRPr="00D7156F">
        <w:rPr>
          <w:rFonts w:cs="Open Sans"/>
          <w:b/>
          <w:bCs/>
          <w:color w:val="222222"/>
          <w:shd w:val="clear" w:color="auto" w:fill="FFFFFF"/>
        </w:rPr>
        <w:t xml:space="preserve"> (Published October 2021)</w:t>
      </w:r>
      <w:r w:rsidR="008076A9" w:rsidRPr="00D7156F">
        <w:rPr>
          <w:rFonts w:cs="Open Sans"/>
          <w:b/>
          <w:bCs/>
          <w:color w:val="222222"/>
          <w:shd w:val="clear" w:color="auto" w:fill="FFFFFF"/>
        </w:rPr>
        <w:br/>
      </w:r>
      <w:r w:rsidR="008076A9" w:rsidRPr="00D7156F">
        <w:rPr>
          <w:rFonts w:eastAsia="Calibri" w:cs="Times New Roman"/>
        </w:rPr>
        <w:t>This letter sets out our proposed administration costs for the Renewables Obligation for 2021-22.</w:t>
      </w:r>
      <w:r w:rsidR="008076A9" w:rsidRPr="00D7156F">
        <w:rPr>
          <w:rFonts w:eastAsia="Calibri" w:cs="Times New Roman"/>
        </w:rPr>
        <w:br/>
      </w:r>
      <w:r w:rsidR="008076A9" w:rsidRPr="00D7156F">
        <w:rPr>
          <w:rFonts w:eastAsia="Calibri" w:cs="Times New Roman"/>
          <w:sz w:val="16"/>
          <w:szCs w:val="16"/>
        </w:rPr>
        <w:t xml:space="preserve">&lt;https://www.ofgem.gov.uk/publications/ofgem-costs-administering-renewables-obligation&gt; </w:t>
      </w:r>
    </w:p>
    <w:p w14:paraId="31E38FDD" w14:textId="77777777" w:rsidR="008076A9" w:rsidRPr="00D7156F" w:rsidRDefault="00482956" w:rsidP="008076A9">
      <w:pPr>
        <w:pStyle w:val="ListParagraph"/>
        <w:numPr>
          <w:ilvl w:val="0"/>
          <w:numId w:val="80"/>
        </w:numPr>
        <w:spacing w:after="360"/>
        <w:rPr>
          <w:rFonts w:eastAsia="Calibri" w:cs="Times New Roman"/>
          <w:sz w:val="16"/>
          <w:szCs w:val="16"/>
        </w:rPr>
      </w:pPr>
      <w:hyperlink r:id="rId96" w:history="1">
        <w:r w:rsidR="008076A9" w:rsidRPr="00D7156F">
          <w:rPr>
            <w:rStyle w:val="Hyperlink"/>
            <w:rFonts w:eastAsia="Calibri" w:cs="Times New Roman"/>
          </w:rPr>
          <w:t>Link to ‘2020/21 Banked ROCs FAQ’</w:t>
        </w:r>
      </w:hyperlink>
      <w:r w:rsidR="008076A9" w:rsidRPr="00D7156F">
        <w:rPr>
          <w:rFonts w:eastAsia="Calibri" w:cs="Times New Roman"/>
          <w:b/>
          <w:bCs/>
        </w:rPr>
        <w:t xml:space="preserve"> (Published November 2021)</w:t>
      </w:r>
      <w:r w:rsidR="008076A9" w:rsidRPr="00D7156F">
        <w:rPr>
          <w:rFonts w:eastAsia="Calibri" w:cs="Times New Roman"/>
          <w:b/>
          <w:bCs/>
        </w:rPr>
        <w:br/>
      </w:r>
      <w:r w:rsidR="008076A9" w:rsidRPr="00D7156F">
        <w:rPr>
          <w:rFonts w:eastAsia="Calibri" w:cs="Times New Roman"/>
        </w:rPr>
        <w:t>This document provides a brief overview of 2020-21 banked ROCs and the impact on applications, output data submissions and certificates transfer.</w:t>
      </w:r>
      <w:r w:rsidR="008076A9" w:rsidRPr="00D7156F">
        <w:rPr>
          <w:rFonts w:eastAsia="Calibri" w:cs="Times New Roman"/>
        </w:rPr>
        <w:br/>
      </w:r>
      <w:r w:rsidR="008076A9" w:rsidRPr="00D7156F">
        <w:rPr>
          <w:rFonts w:eastAsia="Calibri" w:cs="Times New Roman"/>
          <w:sz w:val="16"/>
          <w:szCs w:val="16"/>
        </w:rPr>
        <w:t xml:space="preserve">&lt;https://www.ofgem.gov.uk/publications/202021-banked-rocs-faq&gt; </w:t>
      </w:r>
    </w:p>
    <w:p w14:paraId="32F9DBE9" w14:textId="77777777" w:rsidR="008076A9" w:rsidRPr="00FA32C4" w:rsidRDefault="008076A9" w:rsidP="003B35B0">
      <w:pPr>
        <w:pStyle w:val="CH7normal"/>
        <w:numPr>
          <w:ilvl w:val="0"/>
          <w:numId w:val="0"/>
        </w:numPr>
        <w:rPr>
          <w:rFonts w:cs="Arial"/>
        </w:rPr>
      </w:pPr>
    </w:p>
    <w:p w14:paraId="53876B10" w14:textId="2FD4C6A3" w:rsidR="005123B1" w:rsidRPr="008076A9" w:rsidRDefault="00B12B1A" w:rsidP="003B35B0">
      <w:pPr>
        <w:pStyle w:val="CH7normal"/>
        <w:ind w:left="567" w:hanging="567"/>
        <w:rPr>
          <w:rFonts w:eastAsia="Calibri" w:cs="Times New Roman"/>
        </w:rPr>
      </w:pPr>
      <w:r>
        <w:t>Additionally,</w:t>
      </w:r>
      <w:r w:rsidR="00BC3CF4">
        <w:t xml:space="preserve"> </w:t>
      </w:r>
      <w:r w:rsidR="00EC481A">
        <w:t>d</w:t>
      </w:r>
      <w:r w:rsidR="00EC481A" w:rsidRPr="00C3677C">
        <w:t>uring</w:t>
      </w:r>
      <w:r w:rsidR="005123B1" w:rsidRPr="00C3677C">
        <w:t xml:space="preserve"> 2021-22, w</w:t>
      </w:r>
      <w:r w:rsidR="005123B1" w:rsidRPr="00FA32C4">
        <w:t xml:space="preserve">e reviewed </w:t>
      </w:r>
      <w:r w:rsidR="00BC3CF4">
        <w:t>the</w:t>
      </w:r>
      <w:r w:rsidR="005123B1" w:rsidRPr="00FA32C4">
        <w:t xml:space="preserve"> </w:t>
      </w:r>
      <w:r w:rsidR="005123B1" w:rsidRPr="00C3677C">
        <w:t>RO guidance documents to ensure that the</w:t>
      </w:r>
      <w:r w:rsidR="00BC3CF4">
        <w:t>y</w:t>
      </w:r>
      <w:r w:rsidR="005123B1" w:rsidRPr="00C3677C">
        <w:t xml:space="preserve"> reflect the scheme closure and will signpost correctly to the new register. </w:t>
      </w:r>
    </w:p>
    <w:p w14:paraId="6C494C41" w14:textId="77777777" w:rsidR="005123B1" w:rsidRPr="003B35B0" w:rsidRDefault="005123B1" w:rsidP="003B35B0">
      <w:pPr>
        <w:pStyle w:val="ListParagraph"/>
        <w:ind w:left="0"/>
        <w:rPr>
          <w:rFonts w:eastAsia="Calibri" w:cs="Times New Roman"/>
        </w:rPr>
      </w:pPr>
    </w:p>
    <w:p w14:paraId="7E70C358" w14:textId="77777777" w:rsidR="005123B1" w:rsidRPr="00EA260C" w:rsidRDefault="005123B1" w:rsidP="003B35B0">
      <w:pPr>
        <w:pStyle w:val="ListParagraph"/>
        <w:ind w:left="709"/>
        <w:rPr>
          <w:rFonts w:eastAsia="Calibri" w:cs="Times New Roman"/>
        </w:rPr>
      </w:pPr>
    </w:p>
    <w:p w14:paraId="7BD2CDAF" w14:textId="77777777" w:rsidR="004537F3" w:rsidRDefault="004537F3" w:rsidP="00B84318">
      <w:pPr>
        <w:rPr>
          <w:rStyle w:val="Heading2Char"/>
        </w:rPr>
      </w:pPr>
    </w:p>
    <w:p w14:paraId="173BE597" w14:textId="6FE3900B" w:rsidR="00B84318" w:rsidRDefault="00B84318">
      <w:pPr>
        <w:spacing w:line="276" w:lineRule="auto"/>
        <w:rPr>
          <w:rStyle w:val="Heading2Char"/>
        </w:rPr>
      </w:pPr>
      <w:r>
        <w:rPr>
          <w:rStyle w:val="Heading2Char"/>
        </w:rPr>
        <w:br w:type="page"/>
      </w:r>
    </w:p>
    <w:p w14:paraId="65A8240D" w14:textId="737BE3B8" w:rsidR="00B84318" w:rsidRPr="00482E14" w:rsidRDefault="00B84318" w:rsidP="003B35B0">
      <w:pPr>
        <w:pStyle w:val="Heading1"/>
        <w:rPr>
          <w:rStyle w:val="Heading2Char"/>
          <w:sz w:val="36"/>
          <w:szCs w:val="32"/>
        </w:rPr>
      </w:pPr>
      <w:bookmarkStart w:id="425" w:name="_Toc98852187"/>
      <w:r w:rsidRPr="00AB2C04">
        <w:rPr>
          <w:rStyle w:val="Heading2Char"/>
          <w:b/>
          <w:sz w:val="36"/>
          <w:szCs w:val="32"/>
        </w:rPr>
        <w:lastRenderedPageBreak/>
        <w:t>8. Changes to the scheme</w:t>
      </w:r>
      <w:bookmarkEnd w:id="425"/>
    </w:p>
    <w:p w14:paraId="1D1285BB" w14:textId="025E1A42" w:rsidR="004537F3" w:rsidRPr="00A511E2" w:rsidRDefault="004537F3" w:rsidP="004537F3">
      <w:pPr>
        <w:autoSpaceDE w:val="0"/>
        <w:autoSpaceDN w:val="0"/>
        <w:adjustRightInd w:val="0"/>
        <w:spacing w:after="0"/>
        <w:rPr>
          <w:rFonts w:cs="Verdana"/>
          <w:b/>
          <w:bCs/>
          <w:color w:val="000000"/>
        </w:rPr>
      </w:pPr>
      <w:r w:rsidRPr="00A511E2">
        <w:rPr>
          <w:rFonts w:cs="Verdana"/>
          <w:b/>
          <w:bCs/>
          <w:color w:val="000000"/>
        </w:rPr>
        <w:t xml:space="preserve">Amendments came into force in December 2020, relating to the end of the transition period following the UK’s exit from the EU. </w:t>
      </w:r>
      <w:r w:rsidRPr="00C10DDA">
        <w:rPr>
          <w:rFonts w:cs="Verdana"/>
          <w:b/>
          <w:bCs/>
          <w:color w:val="000000"/>
        </w:rPr>
        <w:t xml:space="preserve">BEIS introduced changes to the mutualisation threshold in March 2021 and </w:t>
      </w:r>
      <w:r w:rsidR="00A75430">
        <w:rPr>
          <w:rFonts w:cs="Verdana"/>
          <w:b/>
          <w:bCs/>
          <w:color w:val="000000"/>
        </w:rPr>
        <w:t xml:space="preserve">BEIS and Ofgem </w:t>
      </w:r>
      <w:r w:rsidRPr="00C10DDA">
        <w:rPr>
          <w:rFonts w:cs="Verdana"/>
          <w:b/>
          <w:bCs/>
          <w:color w:val="000000"/>
        </w:rPr>
        <w:t xml:space="preserve">have also consulted on options to address supplier payment default under the RO. The Scottish Government has also consulted on changes to mutualisation arrangements </w:t>
      </w:r>
      <w:r w:rsidRPr="00C10DDA">
        <w:rPr>
          <w:rFonts w:cs="Verdana"/>
          <w:b/>
          <w:bCs/>
          <w:color w:val="000000" w:themeColor="text1"/>
        </w:rPr>
        <w:t>to align the RO Scotland legislation with England and Wales</w:t>
      </w:r>
      <w:r>
        <w:rPr>
          <w:rFonts w:cs="Verdana"/>
          <w:b/>
          <w:bCs/>
          <w:color w:val="000000" w:themeColor="text1"/>
        </w:rPr>
        <w:t>.</w:t>
      </w:r>
    </w:p>
    <w:p w14:paraId="6AA11832" w14:textId="77777777" w:rsidR="004537F3" w:rsidRDefault="004537F3" w:rsidP="004537F3">
      <w:pPr>
        <w:autoSpaceDE w:val="0"/>
        <w:autoSpaceDN w:val="0"/>
        <w:adjustRightInd w:val="0"/>
        <w:spacing w:after="0"/>
      </w:pPr>
    </w:p>
    <w:p w14:paraId="412A1805" w14:textId="77777777" w:rsidR="004537F3" w:rsidRPr="0009751E" w:rsidRDefault="004537F3" w:rsidP="003B35B0">
      <w:pPr>
        <w:pStyle w:val="Heading2"/>
      </w:pPr>
      <w:bookmarkStart w:id="426" w:name="_Toc98852188"/>
      <w:r w:rsidRPr="0009751E">
        <w:t>End of Transition Period Regulations</w:t>
      </w:r>
      <w:bookmarkEnd w:id="426"/>
    </w:p>
    <w:p w14:paraId="1878518A" w14:textId="4B02F2DC" w:rsidR="004537F3" w:rsidRPr="007D43FF" w:rsidRDefault="004537F3" w:rsidP="003B35B0">
      <w:pPr>
        <w:pStyle w:val="CH8normal"/>
      </w:pPr>
      <w:r w:rsidRPr="00BE1C55">
        <w:t xml:space="preserve">The ‘Guarantees of Origin of Electricity Produced from High-efficiency cogeneration and Renewables </w:t>
      </w:r>
      <w:r w:rsidRPr="007D43FF">
        <w:t>Obligation (Amendment) (EU Exit) Regulations 2020’</w:t>
      </w:r>
      <w:r w:rsidRPr="00475FF6">
        <w:rPr>
          <w:vertAlign w:val="superscript"/>
        </w:rPr>
        <w:footnoteReference w:id="96"/>
      </w:r>
      <w:r w:rsidRPr="00BE1C55">
        <w:t xml:space="preserve">, amend the UK-wide RO Orders to ensure that the scheme continues to operate in line with EU Regulations retained in UK law. The changes came into force at the end of the transition period on 31 December </w:t>
      </w:r>
      <w:r w:rsidRPr="007D43FF">
        <w:t>2020, following the UK’s exit from the EU on 31 January 2020.</w:t>
      </w:r>
    </w:p>
    <w:p w14:paraId="1638D952" w14:textId="77777777" w:rsidR="004537F3" w:rsidRDefault="004537F3" w:rsidP="004537F3">
      <w:pPr>
        <w:autoSpaceDE w:val="0"/>
        <w:autoSpaceDN w:val="0"/>
        <w:adjustRightInd w:val="0"/>
        <w:spacing w:after="0" w:line="240" w:lineRule="auto"/>
        <w:rPr>
          <w:rFonts w:cs="Verdana"/>
          <w:b/>
          <w:bCs/>
          <w:color w:val="000000"/>
        </w:rPr>
      </w:pPr>
    </w:p>
    <w:p w14:paraId="1DF5CB00" w14:textId="77777777" w:rsidR="004537F3" w:rsidRDefault="004537F3" w:rsidP="004537F3">
      <w:pPr>
        <w:autoSpaceDE w:val="0"/>
        <w:autoSpaceDN w:val="0"/>
        <w:adjustRightInd w:val="0"/>
        <w:spacing w:after="0" w:line="240" w:lineRule="auto"/>
        <w:rPr>
          <w:rFonts w:cs="Verdana"/>
          <w:b/>
          <w:bCs/>
          <w:color w:val="000000"/>
        </w:rPr>
      </w:pPr>
    </w:p>
    <w:p w14:paraId="797978EB" w14:textId="77777777" w:rsidR="004537F3" w:rsidRPr="0009751E" w:rsidRDefault="004537F3" w:rsidP="003B35B0">
      <w:pPr>
        <w:pStyle w:val="Heading2"/>
      </w:pPr>
      <w:bookmarkStart w:id="427" w:name="_Toc98852189"/>
      <w:r w:rsidRPr="0009751E">
        <w:t>Changes to mutualisation arrangements</w:t>
      </w:r>
      <w:bookmarkEnd w:id="427"/>
    </w:p>
    <w:p w14:paraId="65F750EF" w14:textId="7D57CF79" w:rsidR="004537F3" w:rsidRDefault="004537F3" w:rsidP="003B35B0">
      <w:pPr>
        <w:pStyle w:val="CH8normal"/>
        <w:spacing w:after="200"/>
        <w:rPr>
          <w:rFonts w:cs="Arial"/>
        </w:rPr>
      </w:pPr>
      <w:r w:rsidRPr="00630909">
        <w:t xml:space="preserve">BEIS </w:t>
      </w:r>
      <w:r>
        <w:t>consulted</w:t>
      </w:r>
      <w:r w:rsidRPr="00630909">
        <w:rPr>
          <w:rStyle w:val="FootnoteReference"/>
        </w:rPr>
        <w:footnoteReference w:id="97"/>
      </w:r>
      <w:r>
        <w:t xml:space="preserve"> in December 2020 and </w:t>
      </w:r>
      <w:r w:rsidRPr="00630909">
        <w:t>introduced changes to the mutualisation threshold</w:t>
      </w:r>
      <w:r w:rsidRPr="00C3728E">
        <w:t xml:space="preserve"> </w:t>
      </w:r>
      <w:r w:rsidRPr="00915014">
        <w:t>under the RO in England and Wales</w:t>
      </w:r>
      <w:r>
        <w:t>,</w:t>
      </w:r>
      <w:r w:rsidRPr="00630909">
        <w:t xml:space="preserve"> which took effect from the 2021</w:t>
      </w:r>
      <w:r w:rsidR="00426278">
        <w:t>-</w:t>
      </w:r>
      <w:r w:rsidRPr="00630909">
        <w:t>22 obligation period. The changes moved the mutualisation threshold from its fixed position of £15.4m to a variable sum</w:t>
      </w:r>
      <w:r w:rsidR="00D17B07">
        <w:t xml:space="preserve"> of 1% of</w:t>
      </w:r>
      <w:r w:rsidRPr="00630909">
        <w:t xml:space="preserve"> the annual cost of the scheme to suppliers </w:t>
      </w:r>
      <w:r>
        <w:t>which will</w:t>
      </w:r>
      <w:r w:rsidRPr="00630909">
        <w:t xml:space="preserve"> be re-calculated each year. </w:t>
      </w:r>
      <w:r w:rsidRPr="00630909">
        <w:rPr>
          <w:rFonts w:cs="Arial"/>
        </w:rPr>
        <w:t>The Renewables Obligation (Amendment) Order 2021</w:t>
      </w:r>
      <w:r w:rsidRPr="00630909">
        <w:rPr>
          <w:rStyle w:val="FootnoteReference"/>
          <w:rFonts w:cs="Arial"/>
        </w:rPr>
        <w:footnoteReference w:id="98"/>
      </w:r>
      <w:r w:rsidRPr="00630909">
        <w:rPr>
          <w:rFonts w:cs="Arial"/>
        </w:rPr>
        <w:t xml:space="preserve">, which implemented the changes to the mutualisation </w:t>
      </w:r>
      <w:r>
        <w:rPr>
          <w:rFonts w:cs="Arial"/>
        </w:rPr>
        <w:t>threshold</w:t>
      </w:r>
      <w:r w:rsidRPr="00630909">
        <w:rPr>
          <w:rFonts w:cs="Arial"/>
        </w:rPr>
        <w:t xml:space="preserve">, came into force on 31 March 2021. </w:t>
      </w:r>
    </w:p>
    <w:p w14:paraId="129A545A" w14:textId="2C4B5199" w:rsidR="007475E1" w:rsidRPr="00C53C64" w:rsidRDefault="007475E1" w:rsidP="007475E1">
      <w:pPr>
        <w:pStyle w:val="CH8normal"/>
      </w:pPr>
      <w:r>
        <w:t xml:space="preserve">Alongside the December 2020 mutualisation </w:t>
      </w:r>
      <w:r w:rsidRPr="00C53C64">
        <w:t>consultation, BEIS issued a c</w:t>
      </w:r>
      <w:r w:rsidRPr="003B35B0">
        <w:rPr>
          <w:rStyle w:val="findhit"/>
          <w:rFonts w:cs="Arial"/>
        </w:rPr>
        <w:t>all for evidence</w:t>
      </w:r>
      <w:r w:rsidRPr="003B35B0">
        <w:rPr>
          <w:rStyle w:val="normaltextrun"/>
          <w:rFonts w:cs="Arial"/>
        </w:rPr>
        <w:t xml:space="preserve"> on a revised approach to the way in which the mutualisation amount is calculated once mutualisation has been triggered. The response to this will be published in due course.</w:t>
      </w:r>
    </w:p>
    <w:p w14:paraId="5326CDF1" w14:textId="1F093F65" w:rsidR="004537F3" w:rsidRPr="003B35B0" w:rsidRDefault="004537F3" w:rsidP="003B35B0">
      <w:pPr>
        <w:pStyle w:val="CH8normal"/>
        <w:spacing w:after="200"/>
      </w:pPr>
      <w:r w:rsidRPr="003C2DE0">
        <w:lastRenderedPageBreak/>
        <w:t>BEIS and Ofgem published a joint consultation</w:t>
      </w:r>
      <w:r w:rsidRPr="003C2DE0">
        <w:rPr>
          <w:rStyle w:val="FootnoteReference"/>
        </w:rPr>
        <w:footnoteReference w:id="99"/>
      </w:r>
      <w:r w:rsidRPr="003C2DE0">
        <w:t xml:space="preserve"> in August 2021 on the options for addressing electricity supplier payment default under the RO in England and Wales. The consultation sought views on measures through both legislation and the electricity supply licence. The consultation also sought views on the introduction of a fixed price certificate based scheme as a way of addressing supplier payment default. </w:t>
      </w:r>
      <w:r w:rsidR="00733C1A" w:rsidRPr="003B35B0">
        <w:t xml:space="preserve">The summary of responses to this consultation and proposed next steps </w:t>
      </w:r>
      <w:r w:rsidR="0031740C">
        <w:t>is expected to</w:t>
      </w:r>
      <w:r w:rsidR="00733C1A" w:rsidRPr="003B35B0">
        <w:t xml:space="preserve"> be published </w:t>
      </w:r>
      <w:r w:rsidR="000472FF">
        <w:t xml:space="preserve">in </w:t>
      </w:r>
      <w:r w:rsidR="0031740C">
        <w:t>Spring 2022</w:t>
      </w:r>
      <w:r w:rsidR="00733C1A" w:rsidRPr="003B35B0">
        <w:t xml:space="preserve">. </w:t>
      </w:r>
    </w:p>
    <w:p w14:paraId="5FD23408" w14:textId="37EA9139" w:rsidR="004537F3" w:rsidRPr="00A925D6" w:rsidRDefault="004537F3" w:rsidP="003B35B0">
      <w:pPr>
        <w:pStyle w:val="CH8normal"/>
      </w:pPr>
      <w:r w:rsidRPr="003C2DE0">
        <w:t>In November 2021, the Scottish Government published a consultation</w:t>
      </w:r>
      <w:r w:rsidRPr="003C2DE0">
        <w:rPr>
          <w:rStyle w:val="FootnoteReference"/>
        </w:rPr>
        <w:footnoteReference w:id="100"/>
      </w:r>
      <w:r w:rsidRPr="003C2DE0">
        <w:t xml:space="preserve"> on introducing </w:t>
      </w:r>
      <w:r w:rsidRPr="00A925D6">
        <w:t>changes to mutualisation arrangements</w:t>
      </w:r>
      <w:r w:rsidR="00A23FED">
        <w:t xml:space="preserve"> under the ROS scheme</w:t>
      </w:r>
      <w:r w:rsidRPr="00A925D6">
        <w:t>. The consultation proposed to align the RO Scotland legislation with England and Wales. The changes would move the mutualisation threshold from its current fixed position of £1.54m to a variable sum, linked to the annual cost of the scheme to suppliers</w:t>
      </w:r>
      <w:r w:rsidR="00143AD4">
        <w:t>.</w:t>
      </w:r>
      <w:r>
        <w:t xml:space="preserve"> </w:t>
      </w:r>
      <w:r w:rsidR="001610C7">
        <w:t>The consultation also consider</w:t>
      </w:r>
      <w:r w:rsidR="00733C1A">
        <w:t>ed</w:t>
      </w:r>
      <w:r w:rsidR="001610C7">
        <w:t xml:space="preserve"> a range of options for </w:t>
      </w:r>
      <w:r w:rsidR="001610C7" w:rsidRPr="003B35B0">
        <w:rPr>
          <w:color w:val="auto"/>
        </w:rPr>
        <w:t xml:space="preserve">tackling the supplier payment default and </w:t>
      </w:r>
      <w:r w:rsidR="00733C1A" w:rsidRPr="003B35B0">
        <w:rPr>
          <w:color w:val="auto"/>
        </w:rPr>
        <w:t>sought</w:t>
      </w:r>
      <w:r w:rsidR="001610C7" w:rsidRPr="003B35B0">
        <w:rPr>
          <w:color w:val="auto"/>
        </w:rPr>
        <w:t xml:space="preserve"> stakeholders’ views on these options. </w:t>
      </w:r>
      <w:r w:rsidR="00733C1A" w:rsidRPr="003B35B0">
        <w:rPr>
          <w:color w:val="auto"/>
        </w:rPr>
        <w:t xml:space="preserve">The Scottish Government have analysed the responses to the consultation and </w:t>
      </w:r>
      <w:r w:rsidR="0031740C">
        <w:t>is expected to</w:t>
      </w:r>
      <w:r w:rsidR="0031740C" w:rsidRPr="00CE4A96">
        <w:t xml:space="preserve"> be published </w:t>
      </w:r>
      <w:r w:rsidR="0031740C">
        <w:t>in Spring 2022</w:t>
      </w:r>
      <w:r w:rsidR="00733C1A" w:rsidRPr="003B35B0">
        <w:rPr>
          <w:color w:val="auto"/>
        </w:rPr>
        <w:t>.</w:t>
      </w:r>
      <w:r w:rsidR="001610C7" w:rsidRPr="003B35B0">
        <w:rPr>
          <w:color w:val="auto"/>
          <w:highlight w:val="yellow"/>
        </w:rPr>
        <w:t xml:space="preserve"> </w:t>
      </w:r>
    </w:p>
    <w:p w14:paraId="1E2301E8" w14:textId="77777777" w:rsidR="004537F3" w:rsidRPr="00D77B86" w:rsidRDefault="004537F3" w:rsidP="004537F3">
      <w:pPr>
        <w:rPr>
          <w:rFonts w:ascii="Arial" w:hAnsi="Arial" w:cs="Arial"/>
        </w:rPr>
      </w:pPr>
    </w:p>
    <w:p w14:paraId="72DC1056" w14:textId="7F6BB53D" w:rsidR="00B84318" w:rsidRDefault="00B84318" w:rsidP="00B84318">
      <w:pPr>
        <w:rPr>
          <w:rStyle w:val="Heading2Char"/>
        </w:rPr>
      </w:pPr>
    </w:p>
    <w:p w14:paraId="6214EB0E" w14:textId="578A68B4" w:rsidR="00B84318" w:rsidRDefault="00B84318">
      <w:pPr>
        <w:spacing w:line="276" w:lineRule="auto"/>
        <w:rPr>
          <w:rStyle w:val="Heading2Char"/>
        </w:rPr>
      </w:pPr>
      <w:r>
        <w:rPr>
          <w:rStyle w:val="Heading2Char"/>
        </w:rPr>
        <w:br w:type="page"/>
      </w:r>
    </w:p>
    <w:p w14:paraId="5111C5EA" w14:textId="1DFC03FA" w:rsidR="00B84318" w:rsidRPr="00482E14" w:rsidRDefault="00B84318" w:rsidP="00780608">
      <w:pPr>
        <w:pStyle w:val="Heading1"/>
        <w:rPr>
          <w:rStyle w:val="Heading2Char"/>
          <w:sz w:val="36"/>
          <w:szCs w:val="32"/>
        </w:rPr>
      </w:pPr>
      <w:bookmarkStart w:id="428" w:name="_Toc98852190"/>
      <w:r w:rsidRPr="00AB2C04">
        <w:rPr>
          <w:rStyle w:val="Heading2Char"/>
          <w:b/>
          <w:sz w:val="36"/>
          <w:szCs w:val="32"/>
        </w:rPr>
        <w:lastRenderedPageBreak/>
        <w:t xml:space="preserve">Appendix </w:t>
      </w:r>
      <w:r w:rsidR="00FE4092" w:rsidRPr="00A03052">
        <w:rPr>
          <w:rStyle w:val="Heading2Char"/>
          <w:b/>
          <w:sz w:val="36"/>
          <w:szCs w:val="32"/>
        </w:rPr>
        <w:t>1</w:t>
      </w:r>
      <w:r w:rsidRPr="00A03052">
        <w:rPr>
          <w:rStyle w:val="Heading2Char"/>
          <w:b/>
          <w:sz w:val="36"/>
          <w:szCs w:val="32"/>
        </w:rPr>
        <w:t xml:space="preserve"> – Compliance by licensed suppliers</w:t>
      </w:r>
      <w:bookmarkEnd w:id="428"/>
    </w:p>
    <w:p w14:paraId="02A44A01" w14:textId="4B9E9A66" w:rsidR="00E54E83" w:rsidRPr="006B3AC6" w:rsidRDefault="00E54E83" w:rsidP="00780608">
      <w:pPr>
        <w:spacing w:after="120"/>
        <w:rPr>
          <w:rFonts w:cstheme="minorHAnsi"/>
          <w:b/>
          <w:color w:val="000000" w:themeColor="text1"/>
        </w:rPr>
      </w:pPr>
      <w:r w:rsidRPr="006B3AC6">
        <w:rPr>
          <w:rFonts w:cstheme="minorHAnsi"/>
          <w:b/>
          <w:color w:val="000000" w:themeColor="text1"/>
        </w:rPr>
        <w:t>Table A</w:t>
      </w:r>
      <w:r>
        <w:rPr>
          <w:rFonts w:cstheme="minorHAnsi"/>
          <w:b/>
          <w:color w:val="000000" w:themeColor="text1"/>
        </w:rPr>
        <w:t>1</w:t>
      </w:r>
      <w:r w:rsidRPr="006B3AC6">
        <w:rPr>
          <w:rFonts w:cstheme="minorHAnsi"/>
          <w:b/>
          <w:color w:val="000000" w:themeColor="text1"/>
        </w:rPr>
        <w:t xml:space="preserve">.1: Summary of compliance by </w:t>
      </w:r>
      <w:r w:rsidRPr="00630FDD">
        <w:rPr>
          <w:rFonts w:cstheme="minorHAnsi"/>
          <w:b/>
          <w:color w:val="000000" w:themeColor="text1"/>
        </w:rPr>
        <w:t xml:space="preserve">supplier group </w:t>
      </w:r>
      <w:r w:rsidRPr="006B3AC6">
        <w:rPr>
          <w:rFonts w:cstheme="minorHAnsi"/>
          <w:b/>
          <w:color w:val="000000" w:themeColor="text1"/>
        </w:rPr>
        <w:t>in 2020-21 (all jurisdictions)</w:t>
      </w:r>
    </w:p>
    <w:tbl>
      <w:tblPr>
        <w:tblStyle w:val="TableGrid"/>
        <w:tblW w:w="10542" w:type="dxa"/>
        <w:tblInd w:w="-431" w:type="dxa"/>
        <w:tblLook w:val="04A0" w:firstRow="1" w:lastRow="0" w:firstColumn="1" w:lastColumn="0" w:noHBand="0" w:noVBand="1"/>
      </w:tblPr>
      <w:tblGrid>
        <w:gridCol w:w="2414"/>
        <w:gridCol w:w="1918"/>
        <w:gridCol w:w="1918"/>
        <w:gridCol w:w="2138"/>
        <w:gridCol w:w="2154"/>
      </w:tblGrid>
      <w:tr w:rsidR="005A04AB" w:rsidRPr="006B3AC6" w14:paraId="69E1FCCB" w14:textId="77777777" w:rsidTr="00780608">
        <w:trPr>
          <w:trHeight w:val="506"/>
          <w:tblHeader/>
        </w:trPr>
        <w:tc>
          <w:tcPr>
            <w:tcW w:w="2414" w:type="dxa"/>
            <w:shd w:val="clear" w:color="auto" w:fill="2363AF"/>
            <w:noWrap/>
            <w:vAlign w:val="center"/>
            <w:hideMark/>
          </w:tcPr>
          <w:p w14:paraId="73B7C1C1" w14:textId="77777777" w:rsidR="00E54E83" w:rsidRPr="008650ED" w:rsidRDefault="00E54E83" w:rsidP="00780608">
            <w:pPr>
              <w:spacing w:line="240" w:lineRule="auto"/>
              <w:rPr>
                <w:rFonts w:cstheme="minorHAnsi"/>
                <w:color w:val="FFFFFF" w:themeColor="background1"/>
                <w:sz w:val="16"/>
                <w:szCs w:val="16"/>
              </w:rPr>
            </w:pPr>
            <w:r w:rsidRPr="008650ED">
              <w:rPr>
                <w:rFonts w:cstheme="minorHAnsi"/>
                <w:color w:val="FFFFFF" w:themeColor="background1"/>
                <w:sz w:val="16"/>
                <w:szCs w:val="16"/>
              </w:rPr>
              <w:t>Supplier group</w:t>
            </w:r>
          </w:p>
        </w:tc>
        <w:tc>
          <w:tcPr>
            <w:tcW w:w="1918" w:type="dxa"/>
            <w:shd w:val="clear" w:color="auto" w:fill="2363AF"/>
            <w:noWrap/>
            <w:vAlign w:val="center"/>
            <w:hideMark/>
          </w:tcPr>
          <w:p w14:paraId="6B910E90" w14:textId="1895408B" w:rsidR="00E54E83" w:rsidRPr="008650ED" w:rsidRDefault="00E54E83" w:rsidP="00780608">
            <w:pPr>
              <w:spacing w:line="240" w:lineRule="auto"/>
              <w:jc w:val="right"/>
              <w:rPr>
                <w:rFonts w:cstheme="minorHAnsi"/>
                <w:color w:val="FFFFFF" w:themeColor="background1"/>
                <w:sz w:val="16"/>
                <w:szCs w:val="16"/>
              </w:rPr>
            </w:pPr>
            <w:r w:rsidRPr="008650ED">
              <w:rPr>
                <w:rFonts w:cstheme="minorHAnsi"/>
                <w:color w:val="FFFFFF" w:themeColor="background1"/>
                <w:sz w:val="16"/>
                <w:szCs w:val="16"/>
              </w:rPr>
              <w:t>Obligation</w:t>
            </w:r>
            <w:r w:rsidR="005F046C">
              <w:rPr>
                <w:rFonts w:cstheme="minorHAnsi"/>
                <w:color w:val="FFFFFF" w:themeColor="background1"/>
                <w:sz w:val="16"/>
                <w:szCs w:val="16"/>
              </w:rPr>
              <w:t xml:space="preserve"> (ROCs)</w:t>
            </w:r>
          </w:p>
        </w:tc>
        <w:tc>
          <w:tcPr>
            <w:tcW w:w="1918" w:type="dxa"/>
            <w:shd w:val="clear" w:color="auto" w:fill="2363AF"/>
            <w:noWrap/>
            <w:vAlign w:val="center"/>
            <w:hideMark/>
          </w:tcPr>
          <w:p w14:paraId="36E8880C" w14:textId="2FE1B5B9" w:rsidR="00E54E83" w:rsidRPr="008650ED" w:rsidRDefault="005F046C" w:rsidP="00780608">
            <w:pPr>
              <w:spacing w:line="240" w:lineRule="auto"/>
              <w:jc w:val="right"/>
              <w:rPr>
                <w:rFonts w:cstheme="minorHAnsi"/>
                <w:color w:val="FFFFFF" w:themeColor="background1"/>
                <w:sz w:val="16"/>
                <w:szCs w:val="16"/>
              </w:rPr>
            </w:pPr>
            <w:r>
              <w:rPr>
                <w:rFonts w:cstheme="minorHAnsi"/>
                <w:color w:val="FFFFFF" w:themeColor="background1"/>
                <w:sz w:val="16"/>
                <w:szCs w:val="16"/>
              </w:rPr>
              <w:t>Total</w:t>
            </w:r>
            <w:r w:rsidR="00E54E83" w:rsidRPr="008650ED">
              <w:rPr>
                <w:rFonts w:cstheme="minorHAnsi"/>
                <w:color w:val="FFFFFF" w:themeColor="background1"/>
                <w:sz w:val="16"/>
                <w:szCs w:val="16"/>
              </w:rPr>
              <w:t xml:space="preserve"> ROC</w:t>
            </w:r>
            <w:r w:rsidR="00D17B07">
              <w:rPr>
                <w:rFonts w:cstheme="minorHAnsi"/>
                <w:color w:val="FFFFFF" w:themeColor="background1"/>
                <w:sz w:val="16"/>
                <w:szCs w:val="16"/>
              </w:rPr>
              <w:t>s</w:t>
            </w:r>
            <w:r w:rsidR="00E54E83" w:rsidRPr="008650ED">
              <w:rPr>
                <w:rFonts w:cstheme="minorHAnsi"/>
                <w:color w:val="FFFFFF" w:themeColor="background1"/>
                <w:sz w:val="16"/>
                <w:szCs w:val="16"/>
              </w:rPr>
              <w:t xml:space="preserve"> presented</w:t>
            </w:r>
          </w:p>
        </w:tc>
        <w:tc>
          <w:tcPr>
            <w:tcW w:w="2138" w:type="dxa"/>
            <w:shd w:val="clear" w:color="auto" w:fill="2363AF"/>
            <w:noWrap/>
            <w:vAlign w:val="center"/>
            <w:hideMark/>
          </w:tcPr>
          <w:p w14:paraId="11B81731" w14:textId="77777777" w:rsidR="00E54E83" w:rsidRPr="008650ED" w:rsidRDefault="00E54E83" w:rsidP="00780608">
            <w:pPr>
              <w:spacing w:line="240" w:lineRule="auto"/>
              <w:jc w:val="right"/>
              <w:rPr>
                <w:rFonts w:cstheme="minorHAnsi"/>
                <w:color w:val="FFFFFF" w:themeColor="background1"/>
                <w:sz w:val="16"/>
                <w:szCs w:val="16"/>
              </w:rPr>
            </w:pPr>
            <w:r w:rsidRPr="008650ED">
              <w:rPr>
                <w:rFonts w:cstheme="minorHAnsi"/>
                <w:color w:val="FFFFFF" w:themeColor="background1"/>
                <w:sz w:val="16"/>
                <w:szCs w:val="16"/>
              </w:rPr>
              <w:t>Total payments made</w:t>
            </w:r>
          </w:p>
        </w:tc>
        <w:tc>
          <w:tcPr>
            <w:tcW w:w="2154" w:type="dxa"/>
            <w:shd w:val="clear" w:color="auto" w:fill="2363AF"/>
            <w:noWrap/>
            <w:vAlign w:val="center"/>
            <w:hideMark/>
          </w:tcPr>
          <w:p w14:paraId="5E5E7CAE" w14:textId="77777777" w:rsidR="00E54E83" w:rsidRPr="008650ED" w:rsidRDefault="00E54E83" w:rsidP="00780608">
            <w:pPr>
              <w:spacing w:line="240" w:lineRule="auto"/>
              <w:jc w:val="right"/>
              <w:rPr>
                <w:rFonts w:cstheme="minorHAnsi"/>
                <w:color w:val="FFFFFF" w:themeColor="background1"/>
                <w:sz w:val="16"/>
                <w:szCs w:val="16"/>
              </w:rPr>
            </w:pPr>
            <w:r w:rsidRPr="008650ED">
              <w:rPr>
                <w:rFonts w:cstheme="minorHAnsi"/>
                <w:color w:val="FFFFFF" w:themeColor="background1"/>
                <w:sz w:val="16"/>
                <w:szCs w:val="16"/>
              </w:rPr>
              <w:t>Redistributions</w:t>
            </w:r>
          </w:p>
        </w:tc>
      </w:tr>
      <w:tr w:rsidR="005A04AB" w:rsidRPr="006B3AC6" w14:paraId="6710521B" w14:textId="77777777" w:rsidTr="00780608">
        <w:trPr>
          <w:trHeight w:val="300"/>
        </w:trPr>
        <w:tc>
          <w:tcPr>
            <w:tcW w:w="2414" w:type="dxa"/>
            <w:noWrap/>
            <w:vAlign w:val="center"/>
            <w:hideMark/>
          </w:tcPr>
          <w:p w14:paraId="1DABF2EE"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3T Power Limited </w:t>
            </w:r>
          </w:p>
        </w:tc>
        <w:tc>
          <w:tcPr>
            <w:tcW w:w="1918" w:type="dxa"/>
            <w:noWrap/>
            <w:vAlign w:val="center"/>
            <w:hideMark/>
          </w:tcPr>
          <w:p w14:paraId="68935F9D" w14:textId="0B3C7A9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w:t>
            </w:r>
            <w:r w:rsidR="00FE3F14">
              <w:rPr>
                <w:rFonts w:cstheme="minorHAnsi"/>
                <w:bCs/>
                <w:sz w:val="16"/>
                <w:szCs w:val="16"/>
              </w:rPr>
              <w:t>,</w:t>
            </w:r>
            <w:r w:rsidRPr="002E3196">
              <w:rPr>
                <w:rFonts w:cstheme="minorHAnsi"/>
                <w:bCs/>
                <w:sz w:val="16"/>
                <w:szCs w:val="16"/>
              </w:rPr>
              <w:t>439</w:t>
            </w:r>
          </w:p>
        </w:tc>
        <w:tc>
          <w:tcPr>
            <w:tcW w:w="1918" w:type="dxa"/>
            <w:noWrap/>
            <w:vAlign w:val="center"/>
            <w:hideMark/>
          </w:tcPr>
          <w:p w14:paraId="78C7EAFD" w14:textId="1D7C0E3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w:t>
            </w:r>
            <w:r w:rsidR="00FE3F14">
              <w:rPr>
                <w:rFonts w:cstheme="minorHAnsi"/>
                <w:bCs/>
                <w:sz w:val="16"/>
                <w:szCs w:val="16"/>
              </w:rPr>
              <w:t>,</w:t>
            </w:r>
            <w:r w:rsidRPr="002E3196">
              <w:rPr>
                <w:rFonts w:cstheme="minorHAnsi"/>
                <w:bCs/>
                <w:sz w:val="16"/>
                <w:szCs w:val="16"/>
              </w:rPr>
              <w:t>439</w:t>
            </w:r>
          </w:p>
        </w:tc>
        <w:tc>
          <w:tcPr>
            <w:tcW w:w="2138" w:type="dxa"/>
            <w:noWrap/>
            <w:vAlign w:val="center"/>
            <w:hideMark/>
          </w:tcPr>
          <w:p w14:paraId="288EEDC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E44237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£59,475.00</w:t>
            </w:r>
          </w:p>
        </w:tc>
      </w:tr>
      <w:tr w:rsidR="005A04AB" w:rsidRPr="006B3AC6" w14:paraId="09E4874A" w14:textId="77777777" w:rsidTr="00780608">
        <w:trPr>
          <w:trHeight w:val="300"/>
        </w:trPr>
        <w:tc>
          <w:tcPr>
            <w:tcW w:w="2414" w:type="dxa"/>
            <w:noWrap/>
            <w:vAlign w:val="center"/>
            <w:hideMark/>
          </w:tcPr>
          <w:p w14:paraId="782ACE84" w14:textId="77777777" w:rsidR="00E54E83" w:rsidRPr="002E3196" w:rsidRDefault="00E54E83">
            <w:pPr>
              <w:spacing w:line="240" w:lineRule="auto"/>
              <w:rPr>
                <w:rFonts w:cstheme="minorHAnsi"/>
                <w:bCs/>
                <w:sz w:val="16"/>
                <w:szCs w:val="16"/>
              </w:rPr>
            </w:pPr>
            <w:r w:rsidRPr="002E3196">
              <w:rPr>
                <w:rFonts w:cstheme="minorHAnsi"/>
                <w:bCs/>
                <w:sz w:val="16"/>
                <w:szCs w:val="16"/>
              </w:rPr>
              <w:t>Affect Energy Ltd</w:t>
            </w:r>
          </w:p>
        </w:tc>
        <w:tc>
          <w:tcPr>
            <w:tcW w:w="1918" w:type="dxa"/>
            <w:noWrap/>
            <w:vAlign w:val="center"/>
            <w:hideMark/>
          </w:tcPr>
          <w:p w14:paraId="1D418FB2" w14:textId="203D8FA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w:t>
            </w:r>
            <w:r w:rsidR="00FE3F14">
              <w:rPr>
                <w:rFonts w:cstheme="minorHAnsi"/>
                <w:bCs/>
                <w:sz w:val="16"/>
                <w:szCs w:val="16"/>
              </w:rPr>
              <w:t>,</w:t>
            </w:r>
            <w:r w:rsidRPr="002E3196">
              <w:rPr>
                <w:rFonts w:cstheme="minorHAnsi"/>
                <w:bCs/>
                <w:sz w:val="16"/>
                <w:szCs w:val="16"/>
              </w:rPr>
              <w:t>827</w:t>
            </w:r>
          </w:p>
        </w:tc>
        <w:tc>
          <w:tcPr>
            <w:tcW w:w="1918" w:type="dxa"/>
            <w:noWrap/>
            <w:vAlign w:val="center"/>
            <w:hideMark/>
          </w:tcPr>
          <w:p w14:paraId="77326F4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4E52D1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£491,841.35</w:t>
            </w:r>
          </w:p>
        </w:tc>
        <w:tc>
          <w:tcPr>
            <w:tcW w:w="2154" w:type="dxa"/>
            <w:noWrap/>
            <w:vAlign w:val="center"/>
            <w:hideMark/>
          </w:tcPr>
          <w:p w14:paraId="4700EF2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58DF9DA" w14:textId="77777777" w:rsidTr="00780608">
        <w:trPr>
          <w:trHeight w:val="300"/>
        </w:trPr>
        <w:tc>
          <w:tcPr>
            <w:tcW w:w="2414" w:type="dxa"/>
            <w:noWrap/>
            <w:vAlign w:val="center"/>
            <w:hideMark/>
          </w:tcPr>
          <w:p w14:paraId="1F26D19D"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Ampoweruk</w:t>
            </w:r>
            <w:proofErr w:type="spellEnd"/>
            <w:r w:rsidRPr="002E3196">
              <w:rPr>
                <w:rFonts w:cstheme="minorHAnsi"/>
                <w:bCs/>
                <w:sz w:val="16"/>
                <w:szCs w:val="16"/>
              </w:rPr>
              <w:t xml:space="preserve"> Ltd</w:t>
            </w:r>
          </w:p>
        </w:tc>
        <w:tc>
          <w:tcPr>
            <w:tcW w:w="1918" w:type="dxa"/>
            <w:noWrap/>
            <w:vAlign w:val="center"/>
            <w:hideMark/>
          </w:tcPr>
          <w:p w14:paraId="2F444290" w14:textId="5CDB186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76</w:t>
            </w:r>
            <w:r w:rsidR="00FE3F14">
              <w:rPr>
                <w:rFonts w:cstheme="minorHAnsi"/>
                <w:bCs/>
                <w:sz w:val="16"/>
                <w:szCs w:val="16"/>
              </w:rPr>
              <w:t>,</w:t>
            </w:r>
            <w:r w:rsidRPr="002E3196">
              <w:rPr>
                <w:rFonts w:cstheme="minorHAnsi"/>
                <w:bCs/>
                <w:sz w:val="16"/>
                <w:szCs w:val="16"/>
              </w:rPr>
              <w:t>832</w:t>
            </w:r>
          </w:p>
        </w:tc>
        <w:tc>
          <w:tcPr>
            <w:tcW w:w="1918" w:type="dxa"/>
            <w:noWrap/>
            <w:vAlign w:val="center"/>
            <w:hideMark/>
          </w:tcPr>
          <w:p w14:paraId="68BA4F93" w14:textId="218E0F2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FE3F14">
              <w:rPr>
                <w:rFonts w:cstheme="minorHAnsi"/>
                <w:bCs/>
                <w:sz w:val="16"/>
                <w:szCs w:val="16"/>
              </w:rPr>
              <w:t>,</w:t>
            </w:r>
            <w:r w:rsidRPr="002E3196">
              <w:rPr>
                <w:rFonts w:cstheme="minorHAnsi"/>
                <w:bCs/>
                <w:sz w:val="16"/>
                <w:szCs w:val="16"/>
              </w:rPr>
              <w:t>099</w:t>
            </w:r>
          </w:p>
        </w:tc>
        <w:tc>
          <w:tcPr>
            <w:tcW w:w="2138" w:type="dxa"/>
            <w:noWrap/>
            <w:vAlign w:val="center"/>
            <w:hideMark/>
          </w:tcPr>
          <w:p w14:paraId="4E8B9C4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CF6725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£19,738.00</w:t>
            </w:r>
          </w:p>
        </w:tc>
      </w:tr>
      <w:tr w:rsidR="005A04AB" w:rsidRPr="006B3AC6" w14:paraId="59EA3327" w14:textId="77777777" w:rsidTr="00780608">
        <w:trPr>
          <w:trHeight w:val="300"/>
        </w:trPr>
        <w:tc>
          <w:tcPr>
            <w:tcW w:w="2414" w:type="dxa"/>
            <w:noWrap/>
            <w:vAlign w:val="center"/>
            <w:hideMark/>
          </w:tcPr>
          <w:p w14:paraId="62B71681" w14:textId="77777777" w:rsidR="00E54E83" w:rsidRPr="002E3196" w:rsidRDefault="00E54E83">
            <w:pPr>
              <w:spacing w:line="240" w:lineRule="auto"/>
              <w:rPr>
                <w:rFonts w:cstheme="minorHAnsi"/>
                <w:bCs/>
                <w:sz w:val="16"/>
                <w:szCs w:val="16"/>
              </w:rPr>
            </w:pPr>
            <w:r w:rsidRPr="002E3196">
              <w:rPr>
                <w:rFonts w:cstheme="minorHAnsi"/>
                <w:bCs/>
                <w:sz w:val="16"/>
                <w:szCs w:val="16"/>
              </w:rPr>
              <w:t>Avro Energy Ltd</w:t>
            </w:r>
          </w:p>
        </w:tc>
        <w:tc>
          <w:tcPr>
            <w:tcW w:w="1918" w:type="dxa"/>
            <w:noWrap/>
            <w:vAlign w:val="center"/>
            <w:hideMark/>
          </w:tcPr>
          <w:p w14:paraId="24E74BE0" w14:textId="0E305C6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FE3F14">
              <w:rPr>
                <w:rFonts w:cstheme="minorHAnsi"/>
                <w:bCs/>
                <w:sz w:val="16"/>
                <w:szCs w:val="16"/>
              </w:rPr>
              <w:t>,</w:t>
            </w:r>
            <w:r w:rsidRPr="002E3196">
              <w:rPr>
                <w:rFonts w:cstheme="minorHAnsi"/>
                <w:bCs/>
                <w:sz w:val="16"/>
                <w:szCs w:val="16"/>
              </w:rPr>
              <w:t>120</w:t>
            </w:r>
            <w:r w:rsidR="00FE3F14">
              <w:rPr>
                <w:rFonts w:cstheme="minorHAnsi"/>
                <w:bCs/>
                <w:sz w:val="16"/>
                <w:szCs w:val="16"/>
              </w:rPr>
              <w:t>,</w:t>
            </w:r>
            <w:r w:rsidRPr="002E3196">
              <w:rPr>
                <w:rFonts w:cstheme="minorHAnsi"/>
                <w:bCs/>
                <w:sz w:val="16"/>
                <w:szCs w:val="16"/>
              </w:rPr>
              <w:t>213</w:t>
            </w:r>
          </w:p>
        </w:tc>
        <w:tc>
          <w:tcPr>
            <w:tcW w:w="1918" w:type="dxa"/>
            <w:noWrap/>
            <w:vAlign w:val="center"/>
            <w:hideMark/>
          </w:tcPr>
          <w:p w14:paraId="5856914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C0F9CB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DFC0F7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9341F38" w14:textId="77777777" w:rsidTr="00780608">
        <w:trPr>
          <w:trHeight w:val="300"/>
        </w:trPr>
        <w:tc>
          <w:tcPr>
            <w:tcW w:w="2414" w:type="dxa"/>
            <w:noWrap/>
            <w:vAlign w:val="center"/>
            <w:hideMark/>
          </w:tcPr>
          <w:p w14:paraId="08B940BA" w14:textId="77777777" w:rsidR="00E54E83" w:rsidRPr="002E3196" w:rsidRDefault="00E54E83">
            <w:pPr>
              <w:spacing w:line="240" w:lineRule="auto"/>
              <w:rPr>
                <w:rFonts w:cstheme="minorHAnsi"/>
                <w:bCs/>
                <w:sz w:val="16"/>
                <w:szCs w:val="16"/>
              </w:rPr>
            </w:pPr>
            <w:r w:rsidRPr="002E3196">
              <w:rPr>
                <w:rFonts w:cstheme="minorHAnsi"/>
                <w:bCs/>
                <w:sz w:val="16"/>
                <w:szCs w:val="16"/>
              </w:rPr>
              <w:t>AXPO UK Ltd</w:t>
            </w:r>
          </w:p>
        </w:tc>
        <w:tc>
          <w:tcPr>
            <w:tcW w:w="1918" w:type="dxa"/>
            <w:noWrap/>
            <w:vAlign w:val="center"/>
            <w:hideMark/>
          </w:tcPr>
          <w:p w14:paraId="45F4E614" w14:textId="151A7A3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340</w:t>
            </w:r>
            <w:r w:rsidR="00FE3F14">
              <w:rPr>
                <w:rFonts w:cstheme="minorHAnsi"/>
                <w:bCs/>
                <w:sz w:val="16"/>
                <w:szCs w:val="16"/>
              </w:rPr>
              <w:t>,</w:t>
            </w:r>
            <w:r w:rsidRPr="002E3196">
              <w:rPr>
                <w:rFonts w:cstheme="minorHAnsi"/>
                <w:bCs/>
                <w:sz w:val="16"/>
                <w:szCs w:val="16"/>
              </w:rPr>
              <w:t>799</w:t>
            </w:r>
          </w:p>
        </w:tc>
        <w:tc>
          <w:tcPr>
            <w:tcW w:w="1918" w:type="dxa"/>
            <w:noWrap/>
            <w:vAlign w:val="center"/>
            <w:hideMark/>
          </w:tcPr>
          <w:p w14:paraId="5F2B642E" w14:textId="71F2316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340</w:t>
            </w:r>
            <w:r w:rsidR="00FE3F14">
              <w:rPr>
                <w:rFonts w:cstheme="minorHAnsi"/>
                <w:bCs/>
                <w:sz w:val="16"/>
                <w:szCs w:val="16"/>
              </w:rPr>
              <w:t>,</w:t>
            </w:r>
            <w:r w:rsidRPr="002E3196">
              <w:rPr>
                <w:rFonts w:cstheme="minorHAnsi"/>
                <w:bCs/>
                <w:sz w:val="16"/>
                <w:szCs w:val="16"/>
              </w:rPr>
              <w:t>799</w:t>
            </w:r>
          </w:p>
        </w:tc>
        <w:tc>
          <w:tcPr>
            <w:tcW w:w="2138" w:type="dxa"/>
            <w:noWrap/>
            <w:vAlign w:val="center"/>
            <w:hideMark/>
          </w:tcPr>
          <w:p w14:paraId="1EAF2D8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1724E5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£1,508,310.00</w:t>
            </w:r>
          </w:p>
        </w:tc>
      </w:tr>
      <w:tr w:rsidR="005A04AB" w:rsidRPr="006B3AC6" w14:paraId="3A748E52" w14:textId="77777777" w:rsidTr="00780608">
        <w:trPr>
          <w:trHeight w:val="550"/>
        </w:trPr>
        <w:tc>
          <w:tcPr>
            <w:tcW w:w="2414" w:type="dxa"/>
            <w:noWrap/>
            <w:vAlign w:val="center"/>
            <w:hideMark/>
          </w:tcPr>
          <w:p w14:paraId="3F9E895A" w14:textId="77777777" w:rsidR="00E54E83" w:rsidRPr="002E3196" w:rsidRDefault="00E54E83">
            <w:pPr>
              <w:spacing w:line="240" w:lineRule="auto"/>
              <w:rPr>
                <w:rFonts w:cstheme="minorHAnsi"/>
                <w:bCs/>
                <w:sz w:val="16"/>
                <w:szCs w:val="16"/>
              </w:rPr>
            </w:pPr>
            <w:r w:rsidRPr="002E3196">
              <w:rPr>
                <w:rFonts w:cstheme="minorHAnsi"/>
                <w:bCs/>
                <w:sz w:val="16"/>
                <w:szCs w:val="16"/>
              </w:rPr>
              <w:t>BES Commercial Electricity Ltd</w:t>
            </w:r>
          </w:p>
        </w:tc>
        <w:tc>
          <w:tcPr>
            <w:tcW w:w="1918" w:type="dxa"/>
            <w:noWrap/>
            <w:vAlign w:val="center"/>
            <w:hideMark/>
          </w:tcPr>
          <w:p w14:paraId="40080BA6" w14:textId="6D913A1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139</w:t>
            </w:r>
            <w:r w:rsidR="00FE3F14">
              <w:rPr>
                <w:rFonts w:cstheme="minorHAnsi"/>
                <w:bCs/>
                <w:sz w:val="16"/>
                <w:szCs w:val="16"/>
              </w:rPr>
              <w:t>,</w:t>
            </w:r>
            <w:r w:rsidRPr="002E3196">
              <w:rPr>
                <w:rFonts w:cstheme="minorHAnsi"/>
                <w:bCs/>
                <w:sz w:val="16"/>
                <w:szCs w:val="16"/>
              </w:rPr>
              <w:t>339</w:t>
            </w:r>
          </w:p>
        </w:tc>
        <w:tc>
          <w:tcPr>
            <w:tcW w:w="1918" w:type="dxa"/>
            <w:noWrap/>
            <w:vAlign w:val="center"/>
            <w:hideMark/>
          </w:tcPr>
          <w:p w14:paraId="0FB3C3DD" w14:textId="6FB5754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139</w:t>
            </w:r>
            <w:r w:rsidR="00FE3F14">
              <w:rPr>
                <w:rFonts w:cstheme="minorHAnsi"/>
                <w:bCs/>
                <w:sz w:val="16"/>
                <w:szCs w:val="16"/>
              </w:rPr>
              <w:t>,</w:t>
            </w:r>
            <w:r w:rsidRPr="002E3196">
              <w:rPr>
                <w:rFonts w:cstheme="minorHAnsi"/>
                <w:bCs/>
                <w:sz w:val="16"/>
                <w:szCs w:val="16"/>
              </w:rPr>
              <w:t>339</w:t>
            </w:r>
          </w:p>
        </w:tc>
        <w:tc>
          <w:tcPr>
            <w:tcW w:w="2138" w:type="dxa"/>
            <w:noWrap/>
            <w:vAlign w:val="center"/>
            <w:hideMark/>
          </w:tcPr>
          <w:p w14:paraId="7E6D9F9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E91624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£616,685.00</w:t>
            </w:r>
          </w:p>
        </w:tc>
      </w:tr>
      <w:tr w:rsidR="005A04AB" w:rsidRPr="006B3AC6" w14:paraId="23EBEBBA" w14:textId="77777777" w:rsidTr="00780608">
        <w:trPr>
          <w:trHeight w:val="300"/>
        </w:trPr>
        <w:tc>
          <w:tcPr>
            <w:tcW w:w="2414" w:type="dxa"/>
            <w:noWrap/>
            <w:vAlign w:val="center"/>
            <w:hideMark/>
          </w:tcPr>
          <w:p w14:paraId="2484A6AC" w14:textId="77777777" w:rsidR="00E54E83" w:rsidRPr="002E3196" w:rsidRDefault="00E54E83">
            <w:pPr>
              <w:spacing w:line="240" w:lineRule="auto"/>
              <w:rPr>
                <w:rFonts w:cstheme="minorHAnsi"/>
                <w:bCs/>
                <w:sz w:val="16"/>
                <w:szCs w:val="16"/>
              </w:rPr>
            </w:pPr>
            <w:r w:rsidRPr="002E3196">
              <w:rPr>
                <w:rFonts w:cstheme="minorHAnsi"/>
                <w:bCs/>
                <w:sz w:val="16"/>
                <w:szCs w:val="16"/>
              </w:rPr>
              <w:t>Blue Green Energy</w:t>
            </w:r>
          </w:p>
        </w:tc>
        <w:tc>
          <w:tcPr>
            <w:tcW w:w="1918" w:type="dxa"/>
            <w:noWrap/>
            <w:vAlign w:val="center"/>
            <w:hideMark/>
          </w:tcPr>
          <w:p w14:paraId="0FFAE7E2" w14:textId="01BC399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w:t>
            </w:r>
            <w:r w:rsidR="00FE3F14">
              <w:rPr>
                <w:rFonts w:cstheme="minorHAnsi"/>
                <w:bCs/>
                <w:sz w:val="16"/>
                <w:szCs w:val="16"/>
              </w:rPr>
              <w:t>,</w:t>
            </w:r>
            <w:r w:rsidRPr="002E3196">
              <w:rPr>
                <w:rFonts w:cstheme="minorHAnsi"/>
                <w:bCs/>
                <w:sz w:val="16"/>
                <w:szCs w:val="16"/>
              </w:rPr>
              <w:t>906</w:t>
            </w:r>
          </w:p>
        </w:tc>
        <w:tc>
          <w:tcPr>
            <w:tcW w:w="1918" w:type="dxa"/>
            <w:noWrap/>
            <w:vAlign w:val="center"/>
            <w:hideMark/>
          </w:tcPr>
          <w:p w14:paraId="279E82F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712607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£545,845.30</w:t>
            </w:r>
          </w:p>
        </w:tc>
        <w:tc>
          <w:tcPr>
            <w:tcW w:w="2154" w:type="dxa"/>
            <w:noWrap/>
            <w:vAlign w:val="center"/>
            <w:hideMark/>
          </w:tcPr>
          <w:p w14:paraId="670AC9C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5CFED5A" w14:textId="77777777" w:rsidTr="00780608">
        <w:trPr>
          <w:trHeight w:val="300"/>
        </w:trPr>
        <w:tc>
          <w:tcPr>
            <w:tcW w:w="2414" w:type="dxa"/>
            <w:noWrap/>
            <w:vAlign w:val="center"/>
            <w:hideMark/>
          </w:tcPr>
          <w:p w14:paraId="2CBF11E4"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Bristol Energy </w:t>
            </w:r>
          </w:p>
        </w:tc>
        <w:tc>
          <w:tcPr>
            <w:tcW w:w="1918" w:type="dxa"/>
            <w:noWrap/>
            <w:vAlign w:val="center"/>
            <w:hideMark/>
          </w:tcPr>
          <w:p w14:paraId="391E3112" w14:textId="00E6DD8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62</w:t>
            </w:r>
            <w:r w:rsidR="00FE3F14">
              <w:rPr>
                <w:rFonts w:cstheme="minorHAnsi"/>
                <w:bCs/>
                <w:sz w:val="16"/>
                <w:szCs w:val="16"/>
              </w:rPr>
              <w:t>,</w:t>
            </w:r>
            <w:r w:rsidRPr="002E3196">
              <w:rPr>
                <w:rFonts w:cstheme="minorHAnsi"/>
                <w:bCs/>
                <w:sz w:val="16"/>
                <w:szCs w:val="16"/>
              </w:rPr>
              <w:t>389</w:t>
            </w:r>
          </w:p>
        </w:tc>
        <w:tc>
          <w:tcPr>
            <w:tcW w:w="1918" w:type="dxa"/>
            <w:noWrap/>
            <w:vAlign w:val="center"/>
            <w:hideMark/>
          </w:tcPr>
          <w:p w14:paraId="564D3FD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C967C0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£3,122,569.45</w:t>
            </w:r>
          </w:p>
        </w:tc>
        <w:tc>
          <w:tcPr>
            <w:tcW w:w="2154" w:type="dxa"/>
            <w:noWrap/>
            <w:vAlign w:val="center"/>
            <w:hideMark/>
          </w:tcPr>
          <w:p w14:paraId="64204A5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5CFFF22" w14:textId="77777777" w:rsidTr="00780608">
        <w:trPr>
          <w:trHeight w:val="300"/>
        </w:trPr>
        <w:tc>
          <w:tcPr>
            <w:tcW w:w="2414" w:type="dxa"/>
            <w:noWrap/>
            <w:vAlign w:val="center"/>
            <w:hideMark/>
          </w:tcPr>
          <w:p w14:paraId="54D16D10" w14:textId="77777777" w:rsidR="00E54E83" w:rsidRPr="002E3196" w:rsidRDefault="00E54E83">
            <w:pPr>
              <w:spacing w:line="240" w:lineRule="auto"/>
              <w:rPr>
                <w:rFonts w:cstheme="minorHAnsi"/>
                <w:bCs/>
                <w:sz w:val="16"/>
                <w:szCs w:val="16"/>
              </w:rPr>
            </w:pPr>
            <w:r w:rsidRPr="002E3196">
              <w:rPr>
                <w:rFonts w:cstheme="minorHAnsi"/>
                <w:bCs/>
                <w:sz w:val="16"/>
                <w:szCs w:val="16"/>
              </w:rPr>
              <w:t>British Gas Trading Ltd</w:t>
            </w:r>
          </w:p>
        </w:tc>
        <w:tc>
          <w:tcPr>
            <w:tcW w:w="1918" w:type="dxa"/>
            <w:noWrap/>
            <w:vAlign w:val="center"/>
            <w:hideMark/>
          </w:tcPr>
          <w:p w14:paraId="0151D0B7" w14:textId="46095EF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w:t>
            </w:r>
            <w:r w:rsidR="00FE3F14">
              <w:rPr>
                <w:rFonts w:cstheme="minorHAnsi"/>
                <w:bCs/>
                <w:sz w:val="16"/>
                <w:szCs w:val="16"/>
              </w:rPr>
              <w:t>,</w:t>
            </w:r>
            <w:r w:rsidRPr="002E3196">
              <w:rPr>
                <w:rFonts w:cstheme="minorHAnsi"/>
                <w:bCs/>
                <w:sz w:val="16"/>
                <w:szCs w:val="16"/>
              </w:rPr>
              <w:t>991</w:t>
            </w:r>
            <w:r w:rsidR="00FE3F14">
              <w:rPr>
                <w:rFonts w:cstheme="minorHAnsi"/>
                <w:bCs/>
                <w:sz w:val="16"/>
                <w:szCs w:val="16"/>
              </w:rPr>
              <w:t>,</w:t>
            </w:r>
            <w:r w:rsidRPr="002E3196">
              <w:rPr>
                <w:rFonts w:cstheme="minorHAnsi"/>
                <w:bCs/>
                <w:sz w:val="16"/>
                <w:szCs w:val="16"/>
              </w:rPr>
              <w:t>029</w:t>
            </w:r>
          </w:p>
        </w:tc>
        <w:tc>
          <w:tcPr>
            <w:tcW w:w="1918" w:type="dxa"/>
            <w:noWrap/>
            <w:vAlign w:val="center"/>
            <w:hideMark/>
          </w:tcPr>
          <w:p w14:paraId="3AC09E0D" w14:textId="3F280C9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w:t>
            </w:r>
            <w:r w:rsidR="00FE3F14">
              <w:rPr>
                <w:rFonts w:cstheme="minorHAnsi"/>
                <w:bCs/>
                <w:sz w:val="16"/>
                <w:szCs w:val="16"/>
              </w:rPr>
              <w:t>,</w:t>
            </w:r>
            <w:r w:rsidRPr="002E3196">
              <w:rPr>
                <w:rFonts w:cstheme="minorHAnsi"/>
                <w:bCs/>
                <w:sz w:val="16"/>
                <w:szCs w:val="16"/>
              </w:rPr>
              <w:t>991</w:t>
            </w:r>
            <w:r w:rsidR="00FE3F14">
              <w:rPr>
                <w:rFonts w:cstheme="minorHAnsi"/>
                <w:bCs/>
                <w:sz w:val="16"/>
                <w:szCs w:val="16"/>
              </w:rPr>
              <w:t>,</w:t>
            </w:r>
            <w:r w:rsidRPr="002E3196">
              <w:rPr>
                <w:rFonts w:cstheme="minorHAnsi"/>
                <w:bCs/>
                <w:sz w:val="16"/>
                <w:szCs w:val="16"/>
              </w:rPr>
              <w:t>029</w:t>
            </w:r>
          </w:p>
        </w:tc>
        <w:tc>
          <w:tcPr>
            <w:tcW w:w="2138" w:type="dxa"/>
            <w:noWrap/>
            <w:vAlign w:val="center"/>
            <w:hideMark/>
          </w:tcPr>
          <w:p w14:paraId="0A7C1A9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614C4D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£57,495,877.00</w:t>
            </w:r>
          </w:p>
        </w:tc>
      </w:tr>
      <w:tr w:rsidR="005A04AB" w:rsidRPr="006B3AC6" w14:paraId="43C0026F" w14:textId="77777777" w:rsidTr="00780608">
        <w:trPr>
          <w:trHeight w:val="300"/>
        </w:trPr>
        <w:tc>
          <w:tcPr>
            <w:tcW w:w="2414" w:type="dxa"/>
            <w:noWrap/>
            <w:vAlign w:val="center"/>
            <w:hideMark/>
          </w:tcPr>
          <w:p w14:paraId="477BC0CC" w14:textId="77777777" w:rsidR="00E54E83" w:rsidRPr="002E3196" w:rsidRDefault="00E54E83">
            <w:pPr>
              <w:spacing w:line="240" w:lineRule="auto"/>
              <w:rPr>
                <w:rFonts w:cstheme="minorHAnsi"/>
                <w:bCs/>
                <w:sz w:val="16"/>
                <w:szCs w:val="16"/>
              </w:rPr>
            </w:pPr>
            <w:r w:rsidRPr="002E3196">
              <w:rPr>
                <w:rFonts w:cstheme="minorHAnsi"/>
                <w:bCs/>
                <w:sz w:val="16"/>
                <w:szCs w:val="16"/>
              </w:rPr>
              <w:t>Brook Green Trading Ltd</w:t>
            </w:r>
          </w:p>
        </w:tc>
        <w:tc>
          <w:tcPr>
            <w:tcW w:w="1918" w:type="dxa"/>
            <w:noWrap/>
            <w:vAlign w:val="center"/>
            <w:hideMark/>
          </w:tcPr>
          <w:p w14:paraId="71A03F47" w14:textId="312596B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406</w:t>
            </w:r>
            <w:r w:rsidR="00FE3F14">
              <w:rPr>
                <w:rFonts w:cstheme="minorHAnsi"/>
                <w:bCs/>
                <w:sz w:val="16"/>
                <w:szCs w:val="16"/>
              </w:rPr>
              <w:t>,</w:t>
            </w:r>
            <w:r w:rsidRPr="002E3196">
              <w:rPr>
                <w:rFonts w:cstheme="minorHAnsi"/>
                <w:bCs/>
                <w:sz w:val="16"/>
                <w:szCs w:val="16"/>
              </w:rPr>
              <w:t>841</w:t>
            </w:r>
          </w:p>
        </w:tc>
        <w:tc>
          <w:tcPr>
            <w:tcW w:w="1918" w:type="dxa"/>
            <w:noWrap/>
            <w:vAlign w:val="center"/>
            <w:hideMark/>
          </w:tcPr>
          <w:p w14:paraId="2BA87996" w14:textId="23CABBA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300</w:t>
            </w:r>
            <w:r w:rsidR="00FE3F14">
              <w:rPr>
                <w:rFonts w:cstheme="minorHAnsi"/>
                <w:bCs/>
                <w:sz w:val="16"/>
                <w:szCs w:val="16"/>
              </w:rPr>
              <w:t>,</w:t>
            </w:r>
            <w:r w:rsidRPr="002E3196">
              <w:rPr>
                <w:rFonts w:cstheme="minorHAnsi"/>
                <w:bCs/>
                <w:sz w:val="16"/>
                <w:szCs w:val="16"/>
              </w:rPr>
              <w:t>000</w:t>
            </w:r>
          </w:p>
        </w:tc>
        <w:tc>
          <w:tcPr>
            <w:tcW w:w="2138" w:type="dxa"/>
            <w:noWrap/>
            <w:vAlign w:val="center"/>
            <w:hideMark/>
          </w:tcPr>
          <w:p w14:paraId="794D2D7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£5,347,392.05</w:t>
            </w:r>
          </w:p>
        </w:tc>
        <w:tc>
          <w:tcPr>
            <w:tcW w:w="2154" w:type="dxa"/>
            <w:noWrap/>
            <w:vAlign w:val="center"/>
            <w:hideMark/>
          </w:tcPr>
          <w:p w14:paraId="20D5C3A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£1,327,742.00</w:t>
            </w:r>
          </w:p>
        </w:tc>
      </w:tr>
      <w:tr w:rsidR="005A04AB" w:rsidRPr="006B3AC6" w14:paraId="463E2E66" w14:textId="77777777" w:rsidTr="00780608">
        <w:trPr>
          <w:trHeight w:val="300"/>
        </w:trPr>
        <w:tc>
          <w:tcPr>
            <w:tcW w:w="2414" w:type="dxa"/>
            <w:noWrap/>
            <w:vAlign w:val="center"/>
            <w:hideMark/>
          </w:tcPr>
          <w:p w14:paraId="382A4693"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Bryt</w:t>
            </w:r>
            <w:proofErr w:type="spellEnd"/>
            <w:r w:rsidRPr="002E3196">
              <w:rPr>
                <w:rFonts w:cstheme="minorHAnsi"/>
                <w:bCs/>
                <w:sz w:val="16"/>
                <w:szCs w:val="16"/>
              </w:rPr>
              <w:t xml:space="preserve"> Energy Ltd</w:t>
            </w:r>
          </w:p>
        </w:tc>
        <w:tc>
          <w:tcPr>
            <w:tcW w:w="1918" w:type="dxa"/>
            <w:noWrap/>
            <w:vAlign w:val="center"/>
            <w:hideMark/>
          </w:tcPr>
          <w:p w14:paraId="48E23E9B" w14:textId="6BEC70E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810</w:t>
            </w:r>
            <w:r w:rsidR="00FE3F14">
              <w:rPr>
                <w:rFonts w:cstheme="minorHAnsi"/>
                <w:bCs/>
                <w:sz w:val="16"/>
                <w:szCs w:val="16"/>
              </w:rPr>
              <w:t>,</w:t>
            </w:r>
            <w:r w:rsidRPr="002E3196">
              <w:rPr>
                <w:rFonts w:cstheme="minorHAnsi"/>
                <w:bCs/>
                <w:sz w:val="16"/>
                <w:szCs w:val="16"/>
              </w:rPr>
              <w:t>345</w:t>
            </w:r>
          </w:p>
        </w:tc>
        <w:tc>
          <w:tcPr>
            <w:tcW w:w="1918" w:type="dxa"/>
            <w:noWrap/>
            <w:vAlign w:val="center"/>
            <w:hideMark/>
          </w:tcPr>
          <w:p w14:paraId="2A88ABE8" w14:textId="291F01C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807</w:t>
            </w:r>
            <w:r w:rsidR="00FE3F14">
              <w:rPr>
                <w:rFonts w:cstheme="minorHAnsi"/>
                <w:bCs/>
                <w:sz w:val="16"/>
                <w:szCs w:val="16"/>
              </w:rPr>
              <w:t>,</w:t>
            </w:r>
            <w:r w:rsidRPr="002E3196">
              <w:rPr>
                <w:rFonts w:cstheme="minorHAnsi"/>
                <w:bCs/>
                <w:sz w:val="16"/>
                <w:szCs w:val="16"/>
              </w:rPr>
              <w:t>475</w:t>
            </w:r>
          </w:p>
        </w:tc>
        <w:tc>
          <w:tcPr>
            <w:tcW w:w="2138" w:type="dxa"/>
            <w:noWrap/>
            <w:vAlign w:val="center"/>
            <w:hideMark/>
          </w:tcPr>
          <w:p w14:paraId="5837B6D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£143,643.50</w:t>
            </w:r>
          </w:p>
        </w:tc>
        <w:tc>
          <w:tcPr>
            <w:tcW w:w="2154" w:type="dxa"/>
            <w:noWrap/>
            <w:vAlign w:val="center"/>
            <w:hideMark/>
          </w:tcPr>
          <w:p w14:paraId="6C6DAAC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£3,573,731.00</w:t>
            </w:r>
          </w:p>
        </w:tc>
      </w:tr>
      <w:tr w:rsidR="005A04AB" w:rsidRPr="006B3AC6" w14:paraId="3D15F4F5" w14:textId="77777777" w:rsidTr="00780608">
        <w:trPr>
          <w:trHeight w:val="300"/>
        </w:trPr>
        <w:tc>
          <w:tcPr>
            <w:tcW w:w="2414" w:type="dxa"/>
            <w:noWrap/>
            <w:vAlign w:val="center"/>
            <w:hideMark/>
          </w:tcPr>
          <w:p w14:paraId="5A86D43F" w14:textId="77777777" w:rsidR="00E54E83" w:rsidRPr="002E3196" w:rsidRDefault="00E54E83">
            <w:pPr>
              <w:spacing w:line="240" w:lineRule="auto"/>
              <w:rPr>
                <w:rFonts w:cstheme="minorHAnsi"/>
                <w:bCs/>
                <w:sz w:val="16"/>
                <w:szCs w:val="16"/>
              </w:rPr>
            </w:pPr>
            <w:r w:rsidRPr="002E3196">
              <w:rPr>
                <w:rFonts w:cstheme="minorHAnsi"/>
                <w:bCs/>
                <w:sz w:val="16"/>
                <w:szCs w:val="16"/>
              </w:rPr>
              <w:t>Budget Energy Limited</w:t>
            </w:r>
          </w:p>
        </w:tc>
        <w:tc>
          <w:tcPr>
            <w:tcW w:w="1918" w:type="dxa"/>
            <w:noWrap/>
            <w:vAlign w:val="center"/>
            <w:hideMark/>
          </w:tcPr>
          <w:p w14:paraId="018962E3" w14:textId="7693B58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60</w:t>
            </w:r>
            <w:r w:rsidR="0017573B">
              <w:rPr>
                <w:rFonts w:cstheme="minorHAnsi"/>
                <w:bCs/>
                <w:sz w:val="16"/>
                <w:szCs w:val="16"/>
              </w:rPr>
              <w:t>,</w:t>
            </w:r>
            <w:r w:rsidRPr="002E3196">
              <w:rPr>
                <w:rFonts w:cstheme="minorHAnsi"/>
                <w:bCs/>
                <w:sz w:val="16"/>
                <w:szCs w:val="16"/>
              </w:rPr>
              <w:t>393</w:t>
            </w:r>
          </w:p>
        </w:tc>
        <w:tc>
          <w:tcPr>
            <w:tcW w:w="1918" w:type="dxa"/>
            <w:noWrap/>
            <w:vAlign w:val="center"/>
            <w:hideMark/>
          </w:tcPr>
          <w:p w14:paraId="0EA34475" w14:textId="20255FB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60</w:t>
            </w:r>
            <w:r w:rsidR="0017573B">
              <w:rPr>
                <w:rFonts w:cstheme="minorHAnsi"/>
                <w:bCs/>
                <w:sz w:val="16"/>
                <w:szCs w:val="16"/>
              </w:rPr>
              <w:t>,</w:t>
            </w:r>
            <w:r w:rsidRPr="002E3196">
              <w:rPr>
                <w:rFonts w:cstheme="minorHAnsi"/>
                <w:bCs/>
                <w:sz w:val="16"/>
                <w:szCs w:val="16"/>
              </w:rPr>
              <w:t>393</w:t>
            </w:r>
          </w:p>
        </w:tc>
        <w:tc>
          <w:tcPr>
            <w:tcW w:w="2138" w:type="dxa"/>
            <w:noWrap/>
            <w:vAlign w:val="center"/>
            <w:hideMark/>
          </w:tcPr>
          <w:p w14:paraId="2885F38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5DB674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£267,285.00</w:t>
            </w:r>
          </w:p>
        </w:tc>
      </w:tr>
      <w:tr w:rsidR="005A04AB" w:rsidRPr="006B3AC6" w14:paraId="56C6B805" w14:textId="77777777" w:rsidTr="00780608">
        <w:trPr>
          <w:trHeight w:val="300"/>
        </w:trPr>
        <w:tc>
          <w:tcPr>
            <w:tcW w:w="2414" w:type="dxa"/>
            <w:noWrap/>
            <w:vAlign w:val="center"/>
            <w:hideMark/>
          </w:tcPr>
          <w:p w14:paraId="0E633B37" w14:textId="77777777" w:rsidR="00E54E83" w:rsidRPr="002E3196" w:rsidRDefault="00E54E83">
            <w:pPr>
              <w:spacing w:line="240" w:lineRule="auto"/>
              <w:rPr>
                <w:rFonts w:cstheme="minorHAnsi"/>
                <w:bCs/>
                <w:sz w:val="16"/>
                <w:szCs w:val="16"/>
              </w:rPr>
            </w:pPr>
            <w:r w:rsidRPr="002E3196">
              <w:rPr>
                <w:rFonts w:cstheme="minorHAnsi"/>
                <w:bCs/>
                <w:sz w:val="16"/>
                <w:szCs w:val="16"/>
              </w:rPr>
              <w:t>Bulb Energy Ltd</w:t>
            </w:r>
          </w:p>
        </w:tc>
        <w:tc>
          <w:tcPr>
            <w:tcW w:w="1918" w:type="dxa"/>
            <w:noWrap/>
            <w:vAlign w:val="center"/>
            <w:hideMark/>
          </w:tcPr>
          <w:p w14:paraId="0FE36927" w14:textId="06B7D7A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17573B">
              <w:rPr>
                <w:rFonts w:cstheme="minorHAnsi"/>
                <w:bCs/>
                <w:sz w:val="16"/>
                <w:szCs w:val="16"/>
              </w:rPr>
              <w:t>,</w:t>
            </w:r>
            <w:r w:rsidRPr="002E3196">
              <w:rPr>
                <w:rFonts w:cstheme="minorHAnsi"/>
                <w:bCs/>
                <w:sz w:val="16"/>
                <w:szCs w:val="16"/>
              </w:rPr>
              <w:t>620</w:t>
            </w:r>
            <w:r w:rsidR="0017573B">
              <w:rPr>
                <w:rFonts w:cstheme="minorHAnsi"/>
                <w:bCs/>
                <w:sz w:val="16"/>
                <w:szCs w:val="16"/>
              </w:rPr>
              <w:t>,</w:t>
            </w:r>
            <w:r w:rsidRPr="002E3196">
              <w:rPr>
                <w:rFonts w:cstheme="minorHAnsi"/>
                <w:bCs/>
                <w:sz w:val="16"/>
                <w:szCs w:val="16"/>
              </w:rPr>
              <w:t>719</w:t>
            </w:r>
          </w:p>
        </w:tc>
        <w:tc>
          <w:tcPr>
            <w:tcW w:w="1918" w:type="dxa"/>
            <w:noWrap/>
            <w:vAlign w:val="center"/>
            <w:hideMark/>
          </w:tcPr>
          <w:p w14:paraId="2245AB2D" w14:textId="366C9FF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17573B">
              <w:rPr>
                <w:rFonts w:cstheme="minorHAnsi"/>
                <w:bCs/>
                <w:sz w:val="16"/>
                <w:szCs w:val="16"/>
              </w:rPr>
              <w:t>,</w:t>
            </w:r>
            <w:r w:rsidRPr="002E3196">
              <w:rPr>
                <w:rFonts w:cstheme="minorHAnsi"/>
                <w:bCs/>
                <w:sz w:val="16"/>
                <w:szCs w:val="16"/>
              </w:rPr>
              <w:t>341</w:t>
            </w:r>
            <w:r w:rsidR="0017573B">
              <w:rPr>
                <w:rFonts w:cstheme="minorHAnsi"/>
                <w:bCs/>
                <w:sz w:val="16"/>
                <w:szCs w:val="16"/>
              </w:rPr>
              <w:t>,</w:t>
            </w:r>
            <w:r w:rsidRPr="002E3196">
              <w:rPr>
                <w:rFonts w:cstheme="minorHAnsi"/>
                <w:bCs/>
                <w:sz w:val="16"/>
                <w:szCs w:val="16"/>
              </w:rPr>
              <w:t>132</w:t>
            </w:r>
          </w:p>
        </w:tc>
        <w:tc>
          <w:tcPr>
            <w:tcW w:w="2138" w:type="dxa"/>
            <w:noWrap/>
            <w:vAlign w:val="center"/>
            <w:hideMark/>
          </w:tcPr>
          <w:p w14:paraId="65C4A50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£64,043,329.35</w:t>
            </w:r>
          </w:p>
        </w:tc>
        <w:tc>
          <w:tcPr>
            <w:tcW w:w="2154" w:type="dxa"/>
            <w:noWrap/>
            <w:vAlign w:val="center"/>
            <w:hideMark/>
          </w:tcPr>
          <w:p w14:paraId="43FCDD6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£10,361,413.00</w:t>
            </w:r>
          </w:p>
        </w:tc>
      </w:tr>
      <w:tr w:rsidR="005A04AB" w:rsidRPr="006B3AC6" w14:paraId="61313E8A" w14:textId="77777777" w:rsidTr="00780608">
        <w:trPr>
          <w:trHeight w:val="550"/>
        </w:trPr>
        <w:tc>
          <w:tcPr>
            <w:tcW w:w="2414" w:type="dxa"/>
            <w:noWrap/>
            <w:vAlign w:val="center"/>
            <w:hideMark/>
          </w:tcPr>
          <w:p w14:paraId="208E7E78" w14:textId="77777777" w:rsidR="00E54E83" w:rsidRPr="002E3196" w:rsidRDefault="00E54E83">
            <w:pPr>
              <w:spacing w:line="240" w:lineRule="auto"/>
              <w:rPr>
                <w:rFonts w:cstheme="minorHAnsi"/>
                <w:bCs/>
                <w:sz w:val="16"/>
                <w:szCs w:val="16"/>
              </w:rPr>
            </w:pPr>
            <w:r w:rsidRPr="002E3196">
              <w:rPr>
                <w:rFonts w:cstheme="minorHAnsi"/>
                <w:bCs/>
                <w:sz w:val="16"/>
                <w:szCs w:val="16"/>
              </w:rPr>
              <w:t>Business Power and Gas Ltd</w:t>
            </w:r>
          </w:p>
        </w:tc>
        <w:tc>
          <w:tcPr>
            <w:tcW w:w="1918" w:type="dxa"/>
            <w:noWrap/>
            <w:vAlign w:val="center"/>
            <w:hideMark/>
          </w:tcPr>
          <w:p w14:paraId="15969597" w14:textId="6710742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185</w:t>
            </w:r>
            <w:r w:rsidR="0017573B">
              <w:rPr>
                <w:rFonts w:cstheme="minorHAnsi"/>
                <w:bCs/>
                <w:sz w:val="16"/>
                <w:szCs w:val="16"/>
              </w:rPr>
              <w:t>,</w:t>
            </w:r>
            <w:r w:rsidRPr="002E3196">
              <w:rPr>
                <w:rFonts w:cstheme="minorHAnsi"/>
                <w:bCs/>
                <w:sz w:val="16"/>
                <w:szCs w:val="16"/>
              </w:rPr>
              <w:t>394</w:t>
            </w:r>
          </w:p>
        </w:tc>
        <w:tc>
          <w:tcPr>
            <w:tcW w:w="1918" w:type="dxa"/>
            <w:noWrap/>
            <w:vAlign w:val="center"/>
            <w:hideMark/>
          </w:tcPr>
          <w:p w14:paraId="4CF58D1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332468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£9,278,970.00</w:t>
            </w:r>
          </w:p>
        </w:tc>
        <w:tc>
          <w:tcPr>
            <w:tcW w:w="2154" w:type="dxa"/>
            <w:noWrap/>
            <w:vAlign w:val="center"/>
            <w:hideMark/>
          </w:tcPr>
          <w:p w14:paraId="3AC98CF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0D8862A" w14:textId="77777777" w:rsidTr="00780608">
        <w:trPr>
          <w:trHeight w:val="300"/>
        </w:trPr>
        <w:tc>
          <w:tcPr>
            <w:tcW w:w="2414" w:type="dxa"/>
            <w:noWrap/>
            <w:vAlign w:val="center"/>
            <w:hideMark/>
          </w:tcPr>
          <w:p w14:paraId="39391311" w14:textId="77777777" w:rsidR="00E54E83" w:rsidRPr="002E3196" w:rsidRDefault="00E54E83">
            <w:pPr>
              <w:spacing w:line="240" w:lineRule="auto"/>
              <w:rPr>
                <w:rFonts w:cstheme="minorHAnsi"/>
                <w:bCs/>
                <w:sz w:val="16"/>
                <w:szCs w:val="16"/>
              </w:rPr>
            </w:pPr>
            <w:r w:rsidRPr="002E3196">
              <w:rPr>
                <w:rFonts w:cstheme="minorHAnsi"/>
                <w:bCs/>
                <w:sz w:val="16"/>
                <w:szCs w:val="16"/>
              </w:rPr>
              <w:t>Click Energy</w:t>
            </w:r>
          </w:p>
        </w:tc>
        <w:tc>
          <w:tcPr>
            <w:tcW w:w="1918" w:type="dxa"/>
            <w:noWrap/>
            <w:vAlign w:val="center"/>
            <w:hideMark/>
          </w:tcPr>
          <w:p w14:paraId="5D9D5255" w14:textId="2A1254F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w:t>
            </w:r>
            <w:r w:rsidR="00505DC6">
              <w:rPr>
                <w:rFonts w:cstheme="minorHAnsi"/>
                <w:bCs/>
                <w:sz w:val="16"/>
                <w:szCs w:val="16"/>
              </w:rPr>
              <w:t>,</w:t>
            </w:r>
            <w:r w:rsidRPr="002E3196">
              <w:rPr>
                <w:rFonts w:cstheme="minorHAnsi"/>
                <w:bCs/>
                <w:sz w:val="16"/>
                <w:szCs w:val="16"/>
              </w:rPr>
              <w:t>262</w:t>
            </w:r>
          </w:p>
        </w:tc>
        <w:tc>
          <w:tcPr>
            <w:tcW w:w="1918" w:type="dxa"/>
            <w:noWrap/>
            <w:vAlign w:val="center"/>
            <w:hideMark/>
          </w:tcPr>
          <w:p w14:paraId="776C7AF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7B5574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£1,070,874.93</w:t>
            </w:r>
          </w:p>
        </w:tc>
        <w:tc>
          <w:tcPr>
            <w:tcW w:w="2154" w:type="dxa"/>
            <w:noWrap/>
            <w:vAlign w:val="center"/>
            <w:hideMark/>
          </w:tcPr>
          <w:p w14:paraId="22E11B1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626C6CD" w14:textId="77777777" w:rsidTr="00780608">
        <w:trPr>
          <w:trHeight w:val="300"/>
        </w:trPr>
        <w:tc>
          <w:tcPr>
            <w:tcW w:w="2414" w:type="dxa"/>
            <w:noWrap/>
            <w:vAlign w:val="center"/>
            <w:hideMark/>
          </w:tcPr>
          <w:p w14:paraId="7D9FC010" w14:textId="77777777" w:rsidR="00E54E83" w:rsidRPr="002E3196" w:rsidRDefault="00E54E83">
            <w:pPr>
              <w:spacing w:line="240" w:lineRule="auto"/>
              <w:rPr>
                <w:rFonts w:cstheme="minorHAnsi"/>
                <w:bCs/>
                <w:sz w:val="16"/>
                <w:szCs w:val="16"/>
              </w:rPr>
            </w:pPr>
            <w:r w:rsidRPr="002E3196">
              <w:rPr>
                <w:rFonts w:cstheme="minorHAnsi"/>
                <w:bCs/>
                <w:sz w:val="16"/>
                <w:szCs w:val="16"/>
              </w:rPr>
              <w:t>CNG Electricity Ltd</w:t>
            </w:r>
          </w:p>
        </w:tc>
        <w:tc>
          <w:tcPr>
            <w:tcW w:w="1918" w:type="dxa"/>
            <w:noWrap/>
            <w:vAlign w:val="center"/>
            <w:hideMark/>
          </w:tcPr>
          <w:p w14:paraId="7498189A" w14:textId="01E3AE4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505DC6">
              <w:rPr>
                <w:rFonts w:cstheme="minorHAnsi"/>
                <w:bCs/>
                <w:sz w:val="16"/>
                <w:szCs w:val="16"/>
              </w:rPr>
              <w:t>,</w:t>
            </w:r>
            <w:r w:rsidRPr="002E3196">
              <w:rPr>
                <w:rFonts w:cstheme="minorHAnsi"/>
                <w:bCs/>
                <w:sz w:val="16"/>
                <w:szCs w:val="16"/>
              </w:rPr>
              <w:t>616</w:t>
            </w:r>
          </w:p>
        </w:tc>
        <w:tc>
          <w:tcPr>
            <w:tcW w:w="1918" w:type="dxa"/>
            <w:noWrap/>
            <w:vAlign w:val="center"/>
            <w:hideMark/>
          </w:tcPr>
          <w:p w14:paraId="09F4B04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B1B4FA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£231,030.80</w:t>
            </w:r>
          </w:p>
        </w:tc>
        <w:tc>
          <w:tcPr>
            <w:tcW w:w="2154" w:type="dxa"/>
            <w:noWrap/>
            <w:vAlign w:val="center"/>
            <w:hideMark/>
          </w:tcPr>
          <w:p w14:paraId="31CBE54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8F6582D" w14:textId="77777777" w:rsidTr="00780608">
        <w:trPr>
          <w:trHeight w:val="300"/>
        </w:trPr>
        <w:tc>
          <w:tcPr>
            <w:tcW w:w="2414" w:type="dxa"/>
            <w:noWrap/>
            <w:vAlign w:val="center"/>
            <w:hideMark/>
          </w:tcPr>
          <w:p w14:paraId="48A59EA8" w14:textId="77777777" w:rsidR="00E54E83" w:rsidRPr="002E3196" w:rsidRDefault="00E54E83">
            <w:pPr>
              <w:spacing w:line="240" w:lineRule="auto"/>
              <w:rPr>
                <w:rFonts w:cstheme="minorHAnsi"/>
                <w:bCs/>
                <w:sz w:val="16"/>
                <w:szCs w:val="16"/>
              </w:rPr>
            </w:pPr>
            <w:r w:rsidRPr="002E3196">
              <w:rPr>
                <w:rFonts w:cstheme="minorHAnsi"/>
                <w:bCs/>
                <w:sz w:val="16"/>
                <w:szCs w:val="16"/>
              </w:rPr>
              <w:t>Colorado Energy</w:t>
            </w:r>
          </w:p>
        </w:tc>
        <w:tc>
          <w:tcPr>
            <w:tcW w:w="1918" w:type="dxa"/>
            <w:noWrap/>
            <w:vAlign w:val="center"/>
            <w:hideMark/>
          </w:tcPr>
          <w:p w14:paraId="14C47A5C" w14:textId="09E6ED9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17</w:t>
            </w:r>
            <w:r w:rsidR="00505DC6">
              <w:rPr>
                <w:rFonts w:cstheme="minorHAnsi"/>
                <w:bCs/>
                <w:sz w:val="16"/>
                <w:szCs w:val="16"/>
              </w:rPr>
              <w:t>,</w:t>
            </w:r>
            <w:r w:rsidRPr="002E3196">
              <w:rPr>
                <w:rFonts w:cstheme="minorHAnsi"/>
                <w:bCs/>
                <w:sz w:val="16"/>
                <w:szCs w:val="16"/>
              </w:rPr>
              <w:t>646</w:t>
            </w:r>
          </w:p>
        </w:tc>
        <w:tc>
          <w:tcPr>
            <w:tcW w:w="1918" w:type="dxa"/>
            <w:noWrap/>
            <w:vAlign w:val="center"/>
            <w:hideMark/>
          </w:tcPr>
          <w:p w14:paraId="5096E1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7521F4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486F87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20E3467" w14:textId="77777777" w:rsidTr="00780608">
        <w:trPr>
          <w:trHeight w:val="550"/>
        </w:trPr>
        <w:tc>
          <w:tcPr>
            <w:tcW w:w="2414" w:type="dxa"/>
            <w:noWrap/>
            <w:vAlign w:val="center"/>
            <w:hideMark/>
          </w:tcPr>
          <w:p w14:paraId="5DA18E9D"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Conrad Energy (Holdings) Ltd </w:t>
            </w:r>
          </w:p>
        </w:tc>
        <w:tc>
          <w:tcPr>
            <w:tcW w:w="1918" w:type="dxa"/>
            <w:noWrap/>
            <w:vAlign w:val="center"/>
            <w:hideMark/>
          </w:tcPr>
          <w:p w14:paraId="19E8F5D4" w14:textId="40F43C3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505DC6">
              <w:rPr>
                <w:rFonts w:cstheme="minorHAnsi"/>
                <w:bCs/>
                <w:sz w:val="16"/>
                <w:szCs w:val="16"/>
              </w:rPr>
              <w:t>,</w:t>
            </w:r>
            <w:r w:rsidRPr="002E3196">
              <w:rPr>
                <w:rFonts w:cstheme="minorHAnsi"/>
                <w:bCs/>
                <w:sz w:val="16"/>
                <w:szCs w:val="16"/>
              </w:rPr>
              <w:t>764</w:t>
            </w:r>
          </w:p>
        </w:tc>
        <w:tc>
          <w:tcPr>
            <w:tcW w:w="1918" w:type="dxa"/>
            <w:noWrap/>
            <w:vAlign w:val="center"/>
            <w:hideMark/>
          </w:tcPr>
          <w:p w14:paraId="192B82D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547F84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£88,288.20</w:t>
            </w:r>
          </w:p>
        </w:tc>
        <w:tc>
          <w:tcPr>
            <w:tcW w:w="2154" w:type="dxa"/>
            <w:noWrap/>
            <w:vAlign w:val="center"/>
            <w:hideMark/>
          </w:tcPr>
          <w:p w14:paraId="250CAB2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FB84EA0" w14:textId="77777777" w:rsidTr="00780608">
        <w:trPr>
          <w:trHeight w:val="300"/>
        </w:trPr>
        <w:tc>
          <w:tcPr>
            <w:tcW w:w="2414" w:type="dxa"/>
            <w:noWrap/>
            <w:vAlign w:val="center"/>
            <w:hideMark/>
          </w:tcPr>
          <w:p w14:paraId="25FD59B1" w14:textId="77777777" w:rsidR="00E54E83" w:rsidRPr="002E3196" w:rsidRDefault="00E54E83">
            <w:pPr>
              <w:spacing w:line="240" w:lineRule="auto"/>
              <w:rPr>
                <w:rFonts w:cstheme="minorHAnsi"/>
                <w:bCs/>
                <w:sz w:val="16"/>
                <w:szCs w:val="16"/>
              </w:rPr>
            </w:pPr>
            <w:r w:rsidRPr="002E3196">
              <w:rPr>
                <w:rFonts w:cstheme="minorHAnsi"/>
                <w:bCs/>
                <w:sz w:val="16"/>
                <w:szCs w:val="16"/>
              </w:rPr>
              <w:t>Co-Operative Energy Ltd</w:t>
            </w:r>
          </w:p>
        </w:tc>
        <w:tc>
          <w:tcPr>
            <w:tcW w:w="1918" w:type="dxa"/>
            <w:noWrap/>
            <w:vAlign w:val="center"/>
            <w:hideMark/>
          </w:tcPr>
          <w:p w14:paraId="0366A1F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255</w:t>
            </w:r>
          </w:p>
        </w:tc>
        <w:tc>
          <w:tcPr>
            <w:tcW w:w="1918" w:type="dxa"/>
            <w:noWrap/>
            <w:vAlign w:val="center"/>
            <w:hideMark/>
          </w:tcPr>
          <w:p w14:paraId="136018D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8A6762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£12,762.75</w:t>
            </w:r>
          </w:p>
        </w:tc>
        <w:tc>
          <w:tcPr>
            <w:tcW w:w="2154" w:type="dxa"/>
            <w:noWrap/>
            <w:vAlign w:val="center"/>
            <w:hideMark/>
          </w:tcPr>
          <w:p w14:paraId="550EB16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5BBC107" w14:textId="77777777" w:rsidTr="00780608">
        <w:trPr>
          <w:trHeight w:val="300"/>
        </w:trPr>
        <w:tc>
          <w:tcPr>
            <w:tcW w:w="2414" w:type="dxa"/>
            <w:noWrap/>
            <w:vAlign w:val="center"/>
            <w:hideMark/>
          </w:tcPr>
          <w:p w14:paraId="4CAD2F49" w14:textId="77777777" w:rsidR="00E54E83" w:rsidRPr="002E3196" w:rsidRDefault="00E54E83">
            <w:pPr>
              <w:spacing w:line="240" w:lineRule="auto"/>
              <w:rPr>
                <w:rFonts w:cstheme="minorHAnsi"/>
                <w:bCs/>
                <w:sz w:val="16"/>
                <w:szCs w:val="16"/>
              </w:rPr>
            </w:pPr>
            <w:r w:rsidRPr="002E3196">
              <w:rPr>
                <w:rFonts w:cstheme="minorHAnsi"/>
                <w:bCs/>
                <w:sz w:val="16"/>
                <w:szCs w:val="16"/>
              </w:rPr>
              <w:t>Corona Energy Retail 4 Ltd</w:t>
            </w:r>
          </w:p>
        </w:tc>
        <w:tc>
          <w:tcPr>
            <w:tcW w:w="1918" w:type="dxa"/>
            <w:noWrap/>
            <w:vAlign w:val="center"/>
            <w:hideMark/>
          </w:tcPr>
          <w:p w14:paraId="2AFBD139" w14:textId="686520B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209</w:t>
            </w:r>
            <w:r w:rsidR="00505DC6">
              <w:rPr>
                <w:rFonts w:cstheme="minorHAnsi"/>
                <w:bCs/>
                <w:sz w:val="16"/>
                <w:szCs w:val="16"/>
              </w:rPr>
              <w:t>,</w:t>
            </w:r>
            <w:r w:rsidRPr="002E3196">
              <w:rPr>
                <w:rFonts w:cstheme="minorHAnsi"/>
                <w:bCs/>
                <w:sz w:val="16"/>
                <w:szCs w:val="16"/>
              </w:rPr>
              <w:t>965</w:t>
            </w:r>
          </w:p>
        </w:tc>
        <w:tc>
          <w:tcPr>
            <w:tcW w:w="1918" w:type="dxa"/>
            <w:noWrap/>
            <w:vAlign w:val="center"/>
            <w:hideMark/>
          </w:tcPr>
          <w:p w14:paraId="1996390C" w14:textId="30D654D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209</w:t>
            </w:r>
            <w:r w:rsidR="00505DC6">
              <w:rPr>
                <w:rFonts w:cstheme="minorHAnsi"/>
                <w:bCs/>
                <w:sz w:val="16"/>
                <w:szCs w:val="16"/>
              </w:rPr>
              <w:t>,</w:t>
            </w:r>
            <w:r w:rsidRPr="002E3196">
              <w:rPr>
                <w:rFonts w:cstheme="minorHAnsi"/>
                <w:bCs/>
                <w:sz w:val="16"/>
                <w:szCs w:val="16"/>
              </w:rPr>
              <w:t>965</w:t>
            </w:r>
          </w:p>
        </w:tc>
        <w:tc>
          <w:tcPr>
            <w:tcW w:w="2138" w:type="dxa"/>
            <w:noWrap/>
            <w:vAlign w:val="center"/>
            <w:hideMark/>
          </w:tcPr>
          <w:p w14:paraId="331743D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E91AD8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£929,263.00</w:t>
            </w:r>
          </w:p>
        </w:tc>
      </w:tr>
      <w:tr w:rsidR="005A04AB" w:rsidRPr="006B3AC6" w14:paraId="51BDEA5B" w14:textId="77777777" w:rsidTr="00780608">
        <w:trPr>
          <w:trHeight w:val="550"/>
        </w:trPr>
        <w:tc>
          <w:tcPr>
            <w:tcW w:w="2414" w:type="dxa"/>
            <w:noWrap/>
            <w:vAlign w:val="center"/>
            <w:hideMark/>
          </w:tcPr>
          <w:p w14:paraId="1EE91C56" w14:textId="77777777" w:rsidR="00E54E83" w:rsidRPr="002E3196" w:rsidRDefault="00E54E83">
            <w:pPr>
              <w:spacing w:line="240" w:lineRule="auto"/>
              <w:rPr>
                <w:rFonts w:cstheme="minorHAnsi"/>
                <w:bCs/>
                <w:sz w:val="16"/>
                <w:szCs w:val="16"/>
              </w:rPr>
            </w:pPr>
            <w:r w:rsidRPr="002E3196">
              <w:rPr>
                <w:rFonts w:cstheme="minorHAnsi"/>
                <w:bCs/>
                <w:sz w:val="16"/>
                <w:szCs w:val="16"/>
              </w:rPr>
              <w:t>Coulomb Energy Supply Ltd</w:t>
            </w:r>
          </w:p>
        </w:tc>
        <w:tc>
          <w:tcPr>
            <w:tcW w:w="1918" w:type="dxa"/>
            <w:noWrap/>
            <w:vAlign w:val="center"/>
            <w:hideMark/>
          </w:tcPr>
          <w:p w14:paraId="6FF0CD35" w14:textId="26562FD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40</w:t>
            </w:r>
            <w:r w:rsidR="005406A9">
              <w:rPr>
                <w:rFonts w:cstheme="minorHAnsi"/>
                <w:bCs/>
                <w:sz w:val="16"/>
                <w:szCs w:val="16"/>
              </w:rPr>
              <w:t>,</w:t>
            </w:r>
            <w:r w:rsidRPr="002E3196">
              <w:rPr>
                <w:rFonts w:cstheme="minorHAnsi"/>
                <w:bCs/>
                <w:sz w:val="16"/>
                <w:szCs w:val="16"/>
              </w:rPr>
              <w:t>215</w:t>
            </w:r>
          </w:p>
        </w:tc>
        <w:tc>
          <w:tcPr>
            <w:tcW w:w="1918" w:type="dxa"/>
            <w:noWrap/>
            <w:vAlign w:val="center"/>
            <w:hideMark/>
          </w:tcPr>
          <w:p w14:paraId="03FD4C6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2769303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£2,012,760.75</w:t>
            </w:r>
          </w:p>
        </w:tc>
        <w:tc>
          <w:tcPr>
            <w:tcW w:w="2154" w:type="dxa"/>
            <w:noWrap/>
            <w:vAlign w:val="center"/>
            <w:hideMark/>
          </w:tcPr>
          <w:p w14:paraId="096A655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89298F7" w14:textId="77777777" w:rsidTr="00780608">
        <w:trPr>
          <w:trHeight w:val="550"/>
        </w:trPr>
        <w:tc>
          <w:tcPr>
            <w:tcW w:w="2414" w:type="dxa"/>
            <w:noWrap/>
            <w:vAlign w:val="center"/>
            <w:hideMark/>
          </w:tcPr>
          <w:p w14:paraId="7DD490A7" w14:textId="77777777" w:rsidR="00E54E83" w:rsidRPr="002E3196" w:rsidRDefault="00E54E83">
            <w:pPr>
              <w:spacing w:line="240" w:lineRule="auto"/>
              <w:rPr>
                <w:rFonts w:cstheme="minorHAnsi"/>
                <w:bCs/>
                <w:sz w:val="16"/>
                <w:szCs w:val="16"/>
              </w:rPr>
            </w:pPr>
            <w:r w:rsidRPr="002E3196">
              <w:rPr>
                <w:rFonts w:cstheme="minorHAnsi"/>
                <w:bCs/>
                <w:sz w:val="16"/>
                <w:szCs w:val="16"/>
              </w:rPr>
              <w:t>Daisy Energy Supply Limited</w:t>
            </w:r>
          </w:p>
        </w:tc>
        <w:tc>
          <w:tcPr>
            <w:tcW w:w="1918" w:type="dxa"/>
            <w:noWrap/>
            <w:vAlign w:val="center"/>
            <w:hideMark/>
          </w:tcPr>
          <w:p w14:paraId="5EBE5093" w14:textId="39D261C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104</w:t>
            </w:r>
            <w:r w:rsidR="005406A9">
              <w:rPr>
                <w:rFonts w:cstheme="minorHAnsi"/>
                <w:bCs/>
                <w:sz w:val="16"/>
                <w:szCs w:val="16"/>
              </w:rPr>
              <w:t>,</w:t>
            </w:r>
            <w:r w:rsidRPr="002E3196">
              <w:rPr>
                <w:rFonts w:cstheme="minorHAnsi"/>
                <w:bCs/>
                <w:sz w:val="16"/>
                <w:szCs w:val="16"/>
              </w:rPr>
              <w:t>273</w:t>
            </w:r>
          </w:p>
        </w:tc>
        <w:tc>
          <w:tcPr>
            <w:tcW w:w="1918" w:type="dxa"/>
            <w:noWrap/>
            <w:vAlign w:val="center"/>
            <w:hideMark/>
          </w:tcPr>
          <w:p w14:paraId="4626059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BB2860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ACC3ED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9953143" w14:textId="77777777" w:rsidTr="00780608">
        <w:trPr>
          <w:trHeight w:val="300"/>
        </w:trPr>
        <w:tc>
          <w:tcPr>
            <w:tcW w:w="2414" w:type="dxa"/>
            <w:noWrap/>
            <w:vAlign w:val="center"/>
            <w:hideMark/>
          </w:tcPr>
          <w:p w14:paraId="4B0308AE"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Delta Gas And Electricity </w:t>
            </w:r>
          </w:p>
        </w:tc>
        <w:tc>
          <w:tcPr>
            <w:tcW w:w="1918" w:type="dxa"/>
            <w:noWrap/>
            <w:vAlign w:val="center"/>
            <w:hideMark/>
          </w:tcPr>
          <w:p w14:paraId="4E70E9F4" w14:textId="5AB3337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w:t>
            </w:r>
            <w:r w:rsidR="005406A9">
              <w:rPr>
                <w:rFonts w:cstheme="minorHAnsi"/>
                <w:bCs/>
                <w:sz w:val="16"/>
                <w:szCs w:val="16"/>
              </w:rPr>
              <w:t>,</w:t>
            </w:r>
            <w:r w:rsidRPr="002E3196">
              <w:rPr>
                <w:rFonts w:cstheme="minorHAnsi"/>
                <w:bCs/>
                <w:sz w:val="16"/>
                <w:szCs w:val="16"/>
              </w:rPr>
              <w:t>613</w:t>
            </w:r>
          </w:p>
        </w:tc>
        <w:tc>
          <w:tcPr>
            <w:tcW w:w="1918" w:type="dxa"/>
            <w:noWrap/>
            <w:vAlign w:val="center"/>
            <w:hideMark/>
          </w:tcPr>
          <w:p w14:paraId="5CCC215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E26D49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2B5F56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6D404E2" w14:textId="77777777" w:rsidTr="00780608">
        <w:trPr>
          <w:trHeight w:val="300"/>
        </w:trPr>
        <w:tc>
          <w:tcPr>
            <w:tcW w:w="2414" w:type="dxa"/>
            <w:noWrap/>
            <w:vAlign w:val="center"/>
            <w:hideMark/>
          </w:tcPr>
          <w:p w14:paraId="5B8FA8EF" w14:textId="77777777" w:rsidR="00E54E83" w:rsidRPr="002E3196" w:rsidRDefault="00E54E83">
            <w:pPr>
              <w:spacing w:line="240" w:lineRule="auto"/>
              <w:rPr>
                <w:rFonts w:cstheme="minorHAnsi"/>
                <w:bCs/>
                <w:sz w:val="16"/>
                <w:szCs w:val="16"/>
              </w:rPr>
            </w:pPr>
            <w:r w:rsidRPr="002E3196">
              <w:rPr>
                <w:rFonts w:cstheme="minorHAnsi"/>
                <w:bCs/>
                <w:sz w:val="16"/>
                <w:szCs w:val="16"/>
              </w:rPr>
              <w:t>D-</w:t>
            </w:r>
            <w:proofErr w:type="spellStart"/>
            <w:r w:rsidRPr="002E3196">
              <w:rPr>
                <w:rFonts w:cstheme="minorHAnsi"/>
                <w:bCs/>
                <w:sz w:val="16"/>
                <w:szCs w:val="16"/>
              </w:rPr>
              <w:t>energi</w:t>
            </w:r>
            <w:proofErr w:type="spellEnd"/>
            <w:r w:rsidRPr="002E3196">
              <w:rPr>
                <w:rFonts w:cstheme="minorHAnsi"/>
                <w:bCs/>
                <w:sz w:val="16"/>
                <w:szCs w:val="16"/>
              </w:rPr>
              <w:t xml:space="preserve"> Trading Ltd</w:t>
            </w:r>
          </w:p>
        </w:tc>
        <w:tc>
          <w:tcPr>
            <w:tcW w:w="1918" w:type="dxa"/>
            <w:noWrap/>
            <w:vAlign w:val="center"/>
            <w:hideMark/>
          </w:tcPr>
          <w:p w14:paraId="3150D19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27</w:t>
            </w:r>
          </w:p>
        </w:tc>
        <w:tc>
          <w:tcPr>
            <w:tcW w:w="1918" w:type="dxa"/>
            <w:noWrap/>
            <w:vAlign w:val="center"/>
            <w:hideMark/>
          </w:tcPr>
          <w:p w14:paraId="0486200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28872B3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£1,351.35</w:t>
            </w:r>
          </w:p>
        </w:tc>
        <w:tc>
          <w:tcPr>
            <w:tcW w:w="2154" w:type="dxa"/>
            <w:noWrap/>
            <w:vAlign w:val="center"/>
            <w:hideMark/>
          </w:tcPr>
          <w:p w14:paraId="6490ECA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091A881A" w14:textId="77777777" w:rsidTr="00780608">
        <w:trPr>
          <w:trHeight w:val="300"/>
        </w:trPr>
        <w:tc>
          <w:tcPr>
            <w:tcW w:w="2414" w:type="dxa"/>
            <w:noWrap/>
            <w:vAlign w:val="center"/>
            <w:hideMark/>
          </w:tcPr>
          <w:p w14:paraId="2ECC24C0" w14:textId="77777777" w:rsidR="00E54E83" w:rsidRPr="002E3196" w:rsidRDefault="00E54E83">
            <w:pPr>
              <w:spacing w:line="240" w:lineRule="auto"/>
              <w:rPr>
                <w:rFonts w:cstheme="minorHAnsi"/>
                <w:bCs/>
                <w:sz w:val="16"/>
                <w:szCs w:val="16"/>
              </w:rPr>
            </w:pPr>
            <w:r w:rsidRPr="002E3196">
              <w:rPr>
                <w:rFonts w:cstheme="minorHAnsi"/>
                <w:bCs/>
                <w:sz w:val="16"/>
                <w:szCs w:val="16"/>
              </w:rPr>
              <w:t>E (Gas and Electricity) Ltd</w:t>
            </w:r>
          </w:p>
        </w:tc>
        <w:tc>
          <w:tcPr>
            <w:tcW w:w="1918" w:type="dxa"/>
            <w:noWrap/>
            <w:vAlign w:val="center"/>
            <w:hideMark/>
          </w:tcPr>
          <w:p w14:paraId="68AA9AA3" w14:textId="58D4E1E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265</w:t>
            </w:r>
            <w:r w:rsidR="005406A9">
              <w:rPr>
                <w:rFonts w:cstheme="minorHAnsi"/>
                <w:bCs/>
                <w:sz w:val="16"/>
                <w:szCs w:val="16"/>
              </w:rPr>
              <w:t>,</w:t>
            </w:r>
            <w:r w:rsidRPr="002E3196">
              <w:rPr>
                <w:rFonts w:cstheme="minorHAnsi"/>
                <w:bCs/>
                <w:sz w:val="16"/>
                <w:szCs w:val="16"/>
              </w:rPr>
              <w:t>504</w:t>
            </w:r>
          </w:p>
        </w:tc>
        <w:tc>
          <w:tcPr>
            <w:tcW w:w="1918" w:type="dxa"/>
            <w:noWrap/>
            <w:vAlign w:val="center"/>
            <w:hideMark/>
          </w:tcPr>
          <w:p w14:paraId="73FB4497" w14:textId="12D3114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265</w:t>
            </w:r>
            <w:r w:rsidR="005406A9">
              <w:rPr>
                <w:rFonts w:cstheme="minorHAnsi"/>
                <w:bCs/>
                <w:sz w:val="16"/>
                <w:szCs w:val="16"/>
              </w:rPr>
              <w:t>,</w:t>
            </w:r>
            <w:r w:rsidRPr="002E3196">
              <w:rPr>
                <w:rFonts w:cstheme="minorHAnsi"/>
                <w:bCs/>
                <w:sz w:val="16"/>
                <w:szCs w:val="16"/>
              </w:rPr>
              <w:t>504</w:t>
            </w:r>
          </w:p>
        </w:tc>
        <w:tc>
          <w:tcPr>
            <w:tcW w:w="2138" w:type="dxa"/>
            <w:noWrap/>
            <w:vAlign w:val="center"/>
            <w:hideMark/>
          </w:tcPr>
          <w:p w14:paraId="09834BD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D01620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£1,175,068.00</w:t>
            </w:r>
          </w:p>
        </w:tc>
      </w:tr>
      <w:tr w:rsidR="005A04AB" w:rsidRPr="006B3AC6" w14:paraId="68024177" w14:textId="77777777" w:rsidTr="00780608">
        <w:trPr>
          <w:trHeight w:val="300"/>
        </w:trPr>
        <w:tc>
          <w:tcPr>
            <w:tcW w:w="2414" w:type="dxa"/>
            <w:noWrap/>
            <w:vAlign w:val="center"/>
            <w:hideMark/>
          </w:tcPr>
          <w:p w14:paraId="59E413F4" w14:textId="77777777" w:rsidR="00E54E83" w:rsidRPr="002E3196" w:rsidRDefault="00E54E83">
            <w:pPr>
              <w:spacing w:line="240" w:lineRule="auto"/>
              <w:rPr>
                <w:rFonts w:cstheme="minorHAnsi"/>
                <w:bCs/>
                <w:sz w:val="16"/>
                <w:szCs w:val="16"/>
              </w:rPr>
            </w:pPr>
            <w:r w:rsidRPr="002E3196">
              <w:rPr>
                <w:rFonts w:cstheme="minorHAnsi"/>
                <w:bCs/>
                <w:sz w:val="16"/>
                <w:szCs w:val="16"/>
              </w:rPr>
              <w:t>E.ON Energy Ltd</w:t>
            </w:r>
          </w:p>
        </w:tc>
        <w:tc>
          <w:tcPr>
            <w:tcW w:w="1918" w:type="dxa"/>
            <w:noWrap/>
            <w:vAlign w:val="center"/>
            <w:hideMark/>
          </w:tcPr>
          <w:p w14:paraId="1DDE4E8F" w14:textId="451E399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w:t>
            </w:r>
            <w:r w:rsidR="005406A9">
              <w:rPr>
                <w:rFonts w:cstheme="minorHAnsi"/>
                <w:bCs/>
                <w:sz w:val="16"/>
                <w:szCs w:val="16"/>
              </w:rPr>
              <w:t>,</w:t>
            </w:r>
            <w:r w:rsidRPr="002E3196">
              <w:rPr>
                <w:rFonts w:cstheme="minorHAnsi"/>
                <w:bCs/>
                <w:sz w:val="16"/>
                <w:szCs w:val="16"/>
              </w:rPr>
              <w:t>992</w:t>
            </w:r>
            <w:r w:rsidR="005406A9">
              <w:rPr>
                <w:rFonts w:cstheme="minorHAnsi"/>
                <w:bCs/>
                <w:sz w:val="16"/>
                <w:szCs w:val="16"/>
              </w:rPr>
              <w:t>,</w:t>
            </w:r>
            <w:r w:rsidRPr="002E3196">
              <w:rPr>
                <w:rFonts w:cstheme="minorHAnsi"/>
                <w:bCs/>
                <w:sz w:val="16"/>
                <w:szCs w:val="16"/>
              </w:rPr>
              <w:t>747</w:t>
            </w:r>
          </w:p>
        </w:tc>
        <w:tc>
          <w:tcPr>
            <w:tcW w:w="1918" w:type="dxa"/>
            <w:noWrap/>
            <w:vAlign w:val="center"/>
            <w:hideMark/>
          </w:tcPr>
          <w:p w14:paraId="74789265" w14:textId="5A35AD1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w:t>
            </w:r>
            <w:r w:rsidR="005406A9">
              <w:rPr>
                <w:rFonts w:cstheme="minorHAnsi"/>
                <w:bCs/>
                <w:sz w:val="16"/>
                <w:szCs w:val="16"/>
              </w:rPr>
              <w:t>,</w:t>
            </w:r>
            <w:r w:rsidRPr="002E3196">
              <w:rPr>
                <w:rFonts w:cstheme="minorHAnsi"/>
                <w:bCs/>
                <w:sz w:val="16"/>
                <w:szCs w:val="16"/>
              </w:rPr>
              <w:t>992</w:t>
            </w:r>
            <w:r w:rsidR="005406A9">
              <w:rPr>
                <w:rFonts w:cstheme="minorHAnsi"/>
                <w:bCs/>
                <w:sz w:val="16"/>
                <w:szCs w:val="16"/>
              </w:rPr>
              <w:t>,</w:t>
            </w:r>
            <w:r w:rsidRPr="002E3196">
              <w:rPr>
                <w:rFonts w:cstheme="minorHAnsi"/>
                <w:bCs/>
                <w:sz w:val="16"/>
                <w:szCs w:val="16"/>
              </w:rPr>
              <w:t>747</w:t>
            </w:r>
          </w:p>
        </w:tc>
        <w:tc>
          <w:tcPr>
            <w:tcW w:w="2138" w:type="dxa"/>
            <w:noWrap/>
            <w:vAlign w:val="center"/>
            <w:hideMark/>
          </w:tcPr>
          <w:p w14:paraId="509533B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6EDB34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£30,948,596.00</w:t>
            </w:r>
          </w:p>
        </w:tc>
      </w:tr>
      <w:tr w:rsidR="005A04AB" w:rsidRPr="006B3AC6" w14:paraId="0F8501A3" w14:textId="77777777" w:rsidTr="00780608">
        <w:trPr>
          <w:trHeight w:val="300"/>
        </w:trPr>
        <w:tc>
          <w:tcPr>
            <w:tcW w:w="2414" w:type="dxa"/>
            <w:noWrap/>
            <w:vAlign w:val="center"/>
            <w:hideMark/>
          </w:tcPr>
          <w:p w14:paraId="39965A4E"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E.ON Next Supply Ltd </w:t>
            </w:r>
          </w:p>
        </w:tc>
        <w:tc>
          <w:tcPr>
            <w:tcW w:w="1918" w:type="dxa"/>
            <w:noWrap/>
            <w:vAlign w:val="center"/>
            <w:hideMark/>
          </w:tcPr>
          <w:p w14:paraId="581347A3" w14:textId="7FE18DA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927</w:t>
            </w:r>
            <w:r w:rsidR="005406A9">
              <w:rPr>
                <w:rFonts w:cstheme="minorHAnsi"/>
                <w:bCs/>
                <w:sz w:val="16"/>
                <w:szCs w:val="16"/>
              </w:rPr>
              <w:t>,</w:t>
            </w:r>
            <w:r w:rsidRPr="002E3196">
              <w:rPr>
                <w:rFonts w:cstheme="minorHAnsi"/>
                <w:bCs/>
                <w:sz w:val="16"/>
                <w:szCs w:val="16"/>
              </w:rPr>
              <w:t>339</w:t>
            </w:r>
          </w:p>
        </w:tc>
        <w:tc>
          <w:tcPr>
            <w:tcW w:w="1918" w:type="dxa"/>
            <w:noWrap/>
            <w:vAlign w:val="center"/>
            <w:hideMark/>
          </w:tcPr>
          <w:p w14:paraId="76B0283B" w14:textId="5C31DC3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927</w:t>
            </w:r>
            <w:r w:rsidR="005406A9">
              <w:rPr>
                <w:rFonts w:cstheme="minorHAnsi"/>
                <w:bCs/>
                <w:sz w:val="16"/>
                <w:szCs w:val="16"/>
              </w:rPr>
              <w:t>,</w:t>
            </w:r>
            <w:r w:rsidRPr="002E3196">
              <w:rPr>
                <w:rFonts w:cstheme="minorHAnsi"/>
                <w:bCs/>
                <w:sz w:val="16"/>
                <w:szCs w:val="16"/>
              </w:rPr>
              <w:t>339</w:t>
            </w:r>
          </w:p>
        </w:tc>
        <w:tc>
          <w:tcPr>
            <w:tcW w:w="2138" w:type="dxa"/>
            <w:noWrap/>
            <w:vAlign w:val="center"/>
            <w:hideMark/>
          </w:tcPr>
          <w:p w14:paraId="5F044E7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3437FA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£4,104,228.00</w:t>
            </w:r>
          </w:p>
        </w:tc>
      </w:tr>
      <w:tr w:rsidR="005A04AB" w:rsidRPr="006B3AC6" w14:paraId="282D3C15" w14:textId="77777777" w:rsidTr="00780608">
        <w:trPr>
          <w:trHeight w:val="300"/>
        </w:trPr>
        <w:tc>
          <w:tcPr>
            <w:tcW w:w="2414" w:type="dxa"/>
            <w:noWrap/>
            <w:vAlign w:val="center"/>
            <w:hideMark/>
          </w:tcPr>
          <w:p w14:paraId="7C9C8721" w14:textId="77777777" w:rsidR="00E54E83" w:rsidRPr="002E3196" w:rsidRDefault="00E54E83">
            <w:pPr>
              <w:spacing w:line="240" w:lineRule="auto"/>
              <w:rPr>
                <w:rFonts w:cstheme="minorHAnsi"/>
                <w:bCs/>
                <w:sz w:val="16"/>
                <w:szCs w:val="16"/>
              </w:rPr>
            </w:pPr>
            <w:r w:rsidRPr="002E3196">
              <w:rPr>
                <w:rFonts w:cstheme="minorHAnsi"/>
                <w:bCs/>
                <w:sz w:val="16"/>
                <w:szCs w:val="16"/>
              </w:rPr>
              <w:t>E.ON UK Plc</w:t>
            </w:r>
          </w:p>
        </w:tc>
        <w:tc>
          <w:tcPr>
            <w:tcW w:w="1918" w:type="dxa"/>
            <w:noWrap/>
            <w:vAlign w:val="center"/>
            <w:hideMark/>
          </w:tcPr>
          <w:p w14:paraId="1BF8F0AE" w14:textId="7C25E6F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5406A9">
              <w:rPr>
                <w:rFonts w:cstheme="minorHAnsi"/>
                <w:bCs/>
                <w:sz w:val="16"/>
                <w:szCs w:val="16"/>
              </w:rPr>
              <w:t>,</w:t>
            </w:r>
            <w:r w:rsidRPr="002E3196">
              <w:rPr>
                <w:rFonts w:cstheme="minorHAnsi"/>
                <w:bCs/>
                <w:sz w:val="16"/>
                <w:szCs w:val="16"/>
              </w:rPr>
              <w:t>535</w:t>
            </w:r>
            <w:r w:rsidR="005406A9">
              <w:rPr>
                <w:rFonts w:cstheme="minorHAnsi"/>
                <w:bCs/>
                <w:sz w:val="16"/>
                <w:szCs w:val="16"/>
              </w:rPr>
              <w:t>,</w:t>
            </w:r>
            <w:r w:rsidRPr="002E3196">
              <w:rPr>
                <w:rFonts w:cstheme="minorHAnsi"/>
                <w:bCs/>
                <w:sz w:val="16"/>
                <w:szCs w:val="16"/>
              </w:rPr>
              <w:t>172</w:t>
            </w:r>
          </w:p>
        </w:tc>
        <w:tc>
          <w:tcPr>
            <w:tcW w:w="1918" w:type="dxa"/>
            <w:noWrap/>
            <w:vAlign w:val="center"/>
            <w:hideMark/>
          </w:tcPr>
          <w:p w14:paraId="38360812" w14:textId="3570734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5406A9">
              <w:rPr>
                <w:rFonts w:cstheme="minorHAnsi"/>
                <w:bCs/>
                <w:sz w:val="16"/>
                <w:szCs w:val="16"/>
              </w:rPr>
              <w:t>,</w:t>
            </w:r>
            <w:r w:rsidRPr="002E3196">
              <w:rPr>
                <w:rFonts w:cstheme="minorHAnsi"/>
                <w:bCs/>
                <w:sz w:val="16"/>
                <w:szCs w:val="16"/>
              </w:rPr>
              <w:t>535</w:t>
            </w:r>
            <w:r w:rsidR="005406A9">
              <w:rPr>
                <w:rFonts w:cstheme="minorHAnsi"/>
                <w:bCs/>
                <w:sz w:val="16"/>
                <w:szCs w:val="16"/>
              </w:rPr>
              <w:t>,</w:t>
            </w:r>
            <w:r w:rsidRPr="002E3196">
              <w:rPr>
                <w:rFonts w:cstheme="minorHAnsi"/>
                <w:bCs/>
                <w:sz w:val="16"/>
                <w:szCs w:val="16"/>
              </w:rPr>
              <w:t>172</w:t>
            </w:r>
          </w:p>
        </w:tc>
        <w:tc>
          <w:tcPr>
            <w:tcW w:w="2138" w:type="dxa"/>
            <w:noWrap/>
            <w:vAlign w:val="center"/>
            <w:hideMark/>
          </w:tcPr>
          <w:p w14:paraId="0BE0719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C7323B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£20,071,826.00</w:t>
            </w:r>
          </w:p>
        </w:tc>
      </w:tr>
      <w:tr w:rsidR="005A04AB" w:rsidRPr="006B3AC6" w14:paraId="796C42FD" w14:textId="77777777" w:rsidTr="00780608">
        <w:trPr>
          <w:trHeight w:val="550"/>
        </w:trPr>
        <w:tc>
          <w:tcPr>
            <w:tcW w:w="2414" w:type="dxa"/>
            <w:noWrap/>
            <w:vAlign w:val="center"/>
            <w:hideMark/>
          </w:tcPr>
          <w:p w14:paraId="6A66B1FD" w14:textId="77777777" w:rsidR="00E54E83" w:rsidRPr="002E3196" w:rsidRDefault="00E54E83">
            <w:pPr>
              <w:spacing w:line="240" w:lineRule="auto"/>
              <w:rPr>
                <w:rFonts w:cstheme="minorHAnsi"/>
                <w:bCs/>
                <w:sz w:val="16"/>
                <w:szCs w:val="16"/>
              </w:rPr>
            </w:pPr>
            <w:r w:rsidRPr="002E3196">
              <w:rPr>
                <w:rFonts w:cstheme="minorHAnsi"/>
                <w:bCs/>
                <w:sz w:val="16"/>
                <w:szCs w:val="16"/>
              </w:rPr>
              <w:t>Eco Green Management Ltd</w:t>
            </w:r>
          </w:p>
        </w:tc>
        <w:tc>
          <w:tcPr>
            <w:tcW w:w="1918" w:type="dxa"/>
            <w:noWrap/>
            <w:vAlign w:val="center"/>
            <w:hideMark/>
          </w:tcPr>
          <w:p w14:paraId="00C7383E" w14:textId="1D50C33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w:t>
            </w:r>
            <w:r w:rsidR="005406A9">
              <w:rPr>
                <w:rFonts w:cstheme="minorHAnsi"/>
                <w:bCs/>
                <w:sz w:val="16"/>
                <w:szCs w:val="16"/>
              </w:rPr>
              <w:t>,</w:t>
            </w:r>
            <w:r w:rsidRPr="002E3196">
              <w:rPr>
                <w:rFonts w:cstheme="minorHAnsi"/>
                <w:bCs/>
                <w:sz w:val="16"/>
                <w:szCs w:val="16"/>
              </w:rPr>
              <w:t>462</w:t>
            </w:r>
          </w:p>
        </w:tc>
        <w:tc>
          <w:tcPr>
            <w:tcW w:w="1918" w:type="dxa"/>
            <w:noWrap/>
            <w:vAlign w:val="center"/>
            <w:hideMark/>
          </w:tcPr>
          <w:p w14:paraId="75C54344" w14:textId="0691144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w:t>
            </w:r>
            <w:r w:rsidR="005406A9">
              <w:rPr>
                <w:rFonts w:cstheme="minorHAnsi"/>
                <w:bCs/>
                <w:sz w:val="16"/>
                <w:szCs w:val="16"/>
              </w:rPr>
              <w:t>,</w:t>
            </w:r>
            <w:r w:rsidRPr="002E3196">
              <w:rPr>
                <w:rFonts w:cstheme="minorHAnsi"/>
                <w:bCs/>
                <w:sz w:val="16"/>
                <w:szCs w:val="16"/>
              </w:rPr>
              <w:t>462</w:t>
            </w:r>
          </w:p>
        </w:tc>
        <w:tc>
          <w:tcPr>
            <w:tcW w:w="2138" w:type="dxa"/>
            <w:noWrap/>
            <w:vAlign w:val="center"/>
            <w:hideMark/>
          </w:tcPr>
          <w:p w14:paraId="2BB2700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777FB5B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£117,113.00</w:t>
            </w:r>
          </w:p>
        </w:tc>
      </w:tr>
      <w:tr w:rsidR="005A04AB" w:rsidRPr="006B3AC6" w14:paraId="35F56139" w14:textId="77777777" w:rsidTr="00780608">
        <w:trPr>
          <w:trHeight w:val="300"/>
        </w:trPr>
        <w:tc>
          <w:tcPr>
            <w:tcW w:w="2414" w:type="dxa"/>
            <w:noWrap/>
            <w:vAlign w:val="center"/>
            <w:hideMark/>
          </w:tcPr>
          <w:p w14:paraId="4952E59C"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Ecotricity</w:t>
            </w:r>
            <w:proofErr w:type="spellEnd"/>
          </w:p>
        </w:tc>
        <w:tc>
          <w:tcPr>
            <w:tcW w:w="1918" w:type="dxa"/>
            <w:noWrap/>
            <w:vAlign w:val="center"/>
            <w:hideMark/>
          </w:tcPr>
          <w:p w14:paraId="0C3F7BB3" w14:textId="6AB77E4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525</w:t>
            </w:r>
            <w:r w:rsidR="005406A9">
              <w:rPr>
                <w:rFonts w:cstheme="minorHAnsi"/>
                <w:bCs/>
                <w:sz w:val="16"/>
                <w:szCs w:val="16"/>
              </w:rPr>
              <w:t>,</w:t>
            </w:r>
            <w:r w:rsidRPr="002E3196">
              <w:rPr>
                <w:rFonts w:cstheme="minorHAnsi"/>
                <w:bCs/>
                <w:sz w:val="16"/>
                <w:szCs w:val="16"/>
              </w:rPr>
              <w:t>577</w:t>
            </w:r>
          </w:p>
        </w:tc>
        <w:tc>
          <w:tcPr>
            <w:tcW w:w="1918" w:type="dxa"/>
            <w:noWrap/>
            <w:vAlign w:val="center"/>
            <w:hideMark/>
          </w:tcPr>
          <w:p w14:paraId="7A793653" w14:textId="43EAD9C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285</w:t>
            </w:r>
            <w:r w:rsidR="005406A9">
              <w:rPr>
                <w:rFonts w:cstheme="minorHAnsi"/>
                <w:bCs/>
                <w:sz w:val="16"/>
                <w:szCs w:val="16"/>
              </w:rPr>
              <w:t>,</w:t>
            </w:r>
            <w:r w:rsidRPr="002E3196">
              <w:rPr>
                <w:rFonts w:cstheme="minorHAnsi"/>
                <w:bCs/>
                <w:sz w:val="16"/>
                <w:szCs w:val="16"/>
              </w:rPr>
              <w:t>258</w:t>
            </w:r>
          </w:p>
        </w:tc>
        <w:tc>
          <w:tcPr>
            <w:tcW w:w="2138" w:type="dxa"/>
            <w:noWrap/>
            <w:vAlign w:val="center"/>
            <w:hideMark/>
          </w:tcPr>
          <w:p w14:paraId="1726061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£12,027,965.95</w:t>
            </w:r>
          </w:p>
        </w:tc>
        <w:tc>
          <w:tcPr>
            <w:tcW w:w="2154" w:type="dxa"/>
            <w:noWrap/>
            <w:vAlign w:val="center"/>
            <w:hideMark/>
          </w:tcPr>
          <w:p w14:paraId="28C5590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£1,262,496.00</w:t>
            </w:r>
          </w:p>
        </w:tc>
      </w:tr>
      <w:tr w:rsidR="005A04AB" w:rsidRPr="006B3AC6" w14:paraId="709790FE" w14:textId="77777777" w:rsidTr="00780608">
        <w:trPr>
          <w:trHeight w:val="300"/>
        </w:trPr>
        <w:tc>
          <w:tcPr>
            <w:tcW w:w="2414" w:type="dxa"/>
            <w:noWrap/>
            <w:vAlign w:val="center"/>
            <w:hideMark/>
          </w:tcPr>
          <w:p w14:paraId="219F8EF7" w14:textId="77777777" w:rsidR="00E54E83" w:rsidRPr="002E3196" w:rsidRDefault="00E54E83">
            <w:pPr>
              <w:spacing w:line="240" w:lineRule="auto"/>
              <w:rPr>
                <w:rFonts w:cstheme="minorHAnsi"/>
                <w:bCs/>
                <w:sz w:val="16"/>
                <w:szCs w:val="16"/>
              </w:rPr>
            </w:pPr>
            <w:r w:rsidRPr="002E3196">
              <w:rPr>
                <w:rFonts w:cstheme="minorHAnsi"/>
                <w:bCs/>
                <w:sz w:val="16"/>
                <w:szCs w:val="16"/>
              </w:rPr>
              <w:t>EDF Energy Customers Ltd</w:t>
            </w:r>
          </w:p>
        </w:tc>
        <w:tc>
          <w:tcPr>
            <w:tcW w:w="1918" w:type="dxa"/>
            <w:noWrap/>
            <w:vAlign w:val="center"/>
            <w:hideMark/>
          </w:tcPr>
          <w:p w14:paraId="013C699C" w14:textId="0182A42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w:t>
            </w:r>
            <w:r w:rsidR="005406A9">
              <w:rPr>
                <w:rFonts w:cstheme="minorHAnsi"/>
                <w:bCs/>
                <w:sz w:val="16"/>
                <w:szCs w:val="16"/>
              </w:rPr>
              <w:t>,</w:t>
            </w:r>
            <w:r w:rsidRPr="002E3196">
              <w:rPr>
                <w:rFonts w:cstheme="minorHAnsi"/>
                <w:bCs/>
                <w:sz w:val="16"/>
                <w:szCs w:val="16"/>
              </w:rPr>
              <w:t>987</w:t>
            </w:r>
            <w:r w:rsidR="005406A9">
              <w:rPr>
                <w:rFonts w:cstheme="minorHAnsi"/>
                <w:bCs/>
                <w:sz w:val="16"/>
                <w:szCs w:val="16"/>
              </w:rPr>
              <w:t>,</w:t>
            </w:r>
            <w:r w:rsidRPr="002E3196">
              <w:rPr>
                <w:rFonts w:cstheme="minorHAnsi"/>
                <w:bCs/>
                <w:sz w:val="16"/>
                <w:szCs w:val="16"/>
              </w:rPr>
              <w:t>437</w:t>
            </w:r>
          </w:p>
        </w:tc>
        <w:tc>
          <w:tcPr>
            <w:tcW w:w="1918" w:type="dxa"/>
            <w:noWrap/>
            <w:vAlign w:val="center"/>
            <w:hideMark/>
          </w:tcPr>
          <w:p w14:paraId="05AC2AEA" w14:textId="36B10F3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w:t>
            </w:r>
            <w:r w:rsidR="005406A9">
              <w:rPr>
                <w:rFonts w:cstheme="minorHAnsi"/>
                <w:bCs/>
                <w:sz w:val="16"/>
                <w:szCs w:val="16"/>
              </w:rPr>
              <w:t>,</w:t>
            </w:r>
            <w:r w:rsidRPr="002E3196">
              <w:rPr>
                <w:rFonts w:cstheme="minorHAnsi"/>
                <w:bCs/>
                <w:sz w:val="16"/>
                <w:szCs w:val="16"/>
              </w:rPr>
              <w:t>352</w:t>
            </w:r>
            <w:r w:rsidR="005406A9">
              <w:rPr>
                <w:rFonts w:cstheme="minorHAnsi"/>
                <w:bCs/>
                <w:sz w:val="16"/>
                <w:szCs w:val="16"/>
              </w:rPr>
              <w:t>,</w:t>
            </w:r>
            <w:r w:rsidRPr="002E3196">
              <w:rPr>
                <w:rFonts w:cstheme="minorHAnsi"/>
                <w:bCs/>
                <w:sz w:val="16"/>
                <w:szCs w:val="16"/>
              </w:rPr>
              <w:t>596</w:t>
            </w:r>
          </w:p>
        </w:tc>
        <w:tc>
          <w:tcPr>
            <w:tcW w:w="2138" w:type="dxa"/>
            <w:noWrap/>
            <w:vAlign w:val="center"/>
            <w:hideMark/>
          </w:tcPr>
          <w:p w14:paraId="38F7110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£31,773,792.05</w:t>
            </w:r>
          </w:p>
        </w:tc>
        <w:tc>
          <w:tcPr>
            <w:tcW w:w="2154" w:type="dxa"/>
            <w:noWrap/>
            <w:vAlign w:val="center"/>
            <w:hideMark/>
          </w:tcPr>
          <w:p w14:paraId="7955EDF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£81,225,176.00</w:t>
            </w:r>
          </w:p>
        </w:tc>
      </w:tr>
      <w:tr w:rsidR="005A04AB" w:rsidRPr="006B3AC6" w14:paraId="1986DB7C" w14:textId="77777777" w:rsidTr="00780608">
        <w:trPr>
          <w:trHeight w:val="300"/>
        </w:trPr>
        <w:tc>
          <w:tcPr>
            <w:tcW w:w="2414" w:type="dxa"/>
            <w:noWrap/>
            <w:vAlign w:val="center"/>
            <w:hideMark/>
          </w:tcPr>
          <w:p w14:paraId="01A2662D" w14:textId="77777777" w:rsidR="00E54E83" w:rsidRPr="002E3196" w:rsidRDefault="00E54E83">
            <w:pPr>
              <w:spacing w:line="240" w:lineRule="auto"/>
              <w:rPr>
                <w:rFonts w:cstheme="minorHAnsi"/>
                <w:bCs/>
                <w:sz w:val="16"/>
                <w:szCs w:val="16"/>
              </w:rPr>
            </w:pPr>
            <w:r w:rsidRPr="002E3196">
              <w:rPr>
                <w:rFonts w:cstheme="minorHAnsi"/>
                <w:bCs/>
                <w:sz w:val="16"/>
                <w:szCs w:val="16"/>
              </w:rPr>
              <w:t>Edgware Energy Ltd</w:t>
            </w:r>
          </w:p>
        </w:tc>
        <w:tc>
          <w:tcPr>
            <w:tcW w:w="1918" w:type="dxa"/>
            <w:noWrap/>
            <w:vAlign w:val="center"/>
            <w:hideMark/>
          </w:tcPr>
          <w:p w14:paraId="4E36703D" w14:textId="23FBD3A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31</w:t>
            </w:r>
            <w:r w:rsidR="005406A9">
              <w:rPr>
                <w:rFonts w:cstheme="minorHAnsi"/>
                <w:bCs/>
                <w:sz w:val="16"/>
                <w:szCs w:val="16"/>
              </w:rPr>
              <w:t>,</w:t>
            </w:r>
            <w:r w:rsidRPr="002E3196">
              <w:rPr>
                <w:rFonts w:cstheme="minorHAnsi"/>
                <w:bCs/>
                <w:sz w:val="16"/>
                <w:szCs w:val="16"/>
              </w:rPr>
              <w:t>451</w:t>
            </w:r>
          </w:p>
        </w:tc>
        <w:tc>
          <w:tcPr>
            <w:tcW w:w="1918" w:type="dxa"/>
            <w:noWrap/>
            <w:vAlign w:val="center"/>
            <w:hideMark/>
          </w:tcPr>
          <w:p w14:paraId="197CAE3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F34B2B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£1,574,122.55</w:t>
            </w:r>
          </w:p>
        </w:tc>
        <w:tc>
          <w:tcPr>
            <w:tcW w:w="2154" w:type="dxa"/>
            <w:noWrap/>
            <w:vAlign w:val="center"/>
            <w:hideMark/>
          </w:tcPr>
          <w:p w14:paraId="03BA34C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C68072C" w14:textId="77777777" w:rsidTr="00780608">
        <w:trPr>
          <w:trHeight w:val="300"/>
        </w:trPr>
        <w:tc>
          <w:tcPr>
            <w:tcW w:w="2414" w:type="dxa"/>
            <w:noWrap/>
            <w:vAlign w:val="center"/>
            <w:hideMark/>
          </w:tcPr>
          <w:p w14:paraId="659ED1D3" w14:textId="77777777" w:rsidR="00E54E83" w:rsidRPr="002E3196" w:rsidRDefault="00E54E83">
            <w:pPr>
              <w:spacing w:line="240" w:lineRule="auto"/>
              <w:rPr>
                <w:rFonts w:cstheme="minorHAnsi"/>
                <w:bCs/>
                <w:sz w:val="16"/>
                <w:szCs w:val="16"/>
              </w:rPr>
            </w:pPr>
            <w:r w:rsidRPr="002E3196">
              <w:rPr>
                <w:rFonts w:cstheme="minorHAnsi"/>
                <w:bCs/>
                <w:sz w:val="16"/>
                <w:szCs w:val="16"/>
              </w:rPr>
              <w:t>Effortless Energy Ltd</w:t>
            </w:r>
          </w:p>
        </w:tc>
        <w:tc>
          <w:tcPr>
            <w:tcW w:w="1918" w:type="dxa"/>
            <w:noWrap/>
            <w:vAlign w:val="center"/>
            <w:hideMark/>
          </w:tcPr>
          <w:p w14:paraId="18E48B2F" w14:textId="67E1CCA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5406A9">
              <w:rPr>
                <w:rFonts w:cstheme="minorHAnsi"/>
                <w:bCs/>
                <w:sz w:val="16"/>
                <w:szCs w:val="16"/>
              </w:rPr>
              <w:t>,</w:t>
            </w:r>
            <w:r w:rsidRPr="002E3196">
              <w:rPr>
                <w:rFonts w:cstheme="minorHAnsi"/>
                <w:bCs/>
                <w:sz w:val="16"/>
                <w:szCs w:val="16"/>
              </w:rPr>
              <w:t>806</w:t>
            </w:r>
          </w:p>
        </w:tc>
        <w:tc>
          <w:tcPr>
            <w:tcW w:w="1918" w:type="dxa"/>
            <w:noWrap/>
            <w:vAlign w:val="center"/>
            <w:hideMark/>
          </w:tcPr>
          <w:p w14:paraId="12BC436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B7251C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BB93D0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95B679B" w14:textId="77777777" w:rsidTr="00780608">
        <w:trPr>
          <w:trHeight w:val="300"/>
        </w:trPr>
        <w:tc>
          <w:tcPr>
            <w:tcW w:w="2414" w:type="dxa"/>
            <w:noWrap/>
            <w:vAlign w:val="center"/>
            <w:hideMark/>
          </w:tcPr>
          <w:p w14:paraId="5DE7E897"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Electraphase</w:t>
            </w:r>
            <w:proofErr w:type="spellEnd"/>
            <w:r w:rsidRPr="002E3196">
              <w:rPr>
                <w:rFonts w:cstheme="minorHAnsi"/>
                <w:bCs/>
                <w:sz w:val="16"/>
                <w:szCs w:val="16"/>
              </w:rPr>
              <w:t xml:space="preserve"> Limited </w:t>
            </w:r>
          </w:p>
        </w:tc>
        <w:tc>
          <w:tcPr>
            <w:tcW w:w="1918" w:type="dxa"/>
            <w:noWrap/>
            <w:vAlign w:val="center"/>
            <w:hideMark/>
          </w:tcPr>
          <w:p w14:paraId="24D2DF3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w:t>
            </w:r>
          </w:p>
        </w:tc>
        <w:tc>
          <w:tcPr>
            <w:tcW w:w="1918" w:type="dxa"/>
            <w:noWrap/>
            <w:vAlign w:val="center"/>
            <w:hideMark/>
          </w:tcPr>
          <w:p w14:paraId="48CB271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4A66CF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FAF765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3736F90" w14:textId="77777777" w:rsidTr="00780608">
        <w:trPr>
          <w:trHeight w:val="550"/>
        </w:trPr>
        <w:tc>
          <w:tcPr>
            <w:tcW w:w="2414" w:type="dxa"/>
            <w:noWrap/>
            <w:vAlign w:val="center"/>
            <w:hideMark/>
          </w:tcPr>
          <w:p w14:paraId="02A27F27" w14:textId="77777777" w:rsidR="00E54E83" w:rsidRPr="002E3196" w:rsidRDefault="00E54E83">
            <w:pPr>
              <w:spacing w:line="240" w:lineRule="auto"/>
              <w:rPr>
                <w:rFonts w:cstheme="minorHAnsi"/>
                <w:bCs/>
                <w:sz w:val="16"/>
                <w:szCs w:val="16"/>
              </w:rPr>
            </w:pPr>
            <w:r w:rsidRPr="002E3196">
              <w:rPr>
                <w:rFonts w:cstheme="minorHAnsi"/>
                <w:bCs/>
                <w:sz w:val="16"/>
                <w:szCs w:val="16"/>
              </w:rPr>
              <w:lastRenderedPageBreak/>
              <w:t>Electric Ireland (ESBIE NI Ltd)</w:t>
            </w:r>
          </w:p>
        </w:tc>
        <w:tc>
          <w:tcPr>
            <w:tcW w:w="1918" w:type="dxa"/>
            <w:noWrap/>
            <w:vAlign w:val="center"/>
            <w:hideMark/>
          </w:tcPr>
          <w:p w14:paraId="2EF4A67A" w14:textId="2F7426E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328</w:t>
            </w:r>
            <w:r w:rsidR="005406A9">
              <w:rPr>
                <w:rFonts w:cstheme="minorHAnsi"/>
                <w:bCs/>
                <w:sz w:val="16"/>
                <w:szCs w:val="16"/>
              </w:rPr>
              <w:t>,</w:t>
            </w:r>
            <w:r w:rsidRPr="002E3196">
              <w:rPr>
                <w:rFonts w:cstheme="minorHAnsi"/>
                <w:bCs/>
                <w:sz w:val="16"/>
                <w:szCs w:val="16"/>
              </w:rPr>
              <w:t>770</w:t>
            </w:r>
          </w:p>
        </w:tc>
        <w:tc>
          <w:tcPr>
            <w:tcW w:w="1918" w:type="dxa"/>
            <w:noWrap/>
            <w:vAlign w:val="center"/>
            <w:hideMark/>
          </w:tcPr>
          <w:p w14:paraId="7AA36FB5" w14:textId="275CFAE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328</w:t>
            </w:r>
            <w:r w:rsidR="005406A9">
              <w:rPr>
                <w:rFonts w:cstheme="minorHAnsi"/>
                <w:bCs/>
                <w:sz w:val="16"/>
                <w:szCs w:val="16"/>
              </w:rPr>
              <w:t>,</w:t>
            </w:r>
            <w:r w:rsidRPr="002E3196">
              <w:rPr>
                <w:rFonts w:cstheme="minorHAnsi"/>
                <w:bCs/>
                <w:sz w:val="16"/>
                <w:szCs w:val="16"/>
              </w:rPr>
              <w:t>770</w:t>
            </w:r>
          </w:p>
        </w:tc>
        <w:tc>
          <w:tcPr>
            <w:tcW w:w="2138" w:type="dxa"/>
            <w:noWrap/>
            <w:vAlign w:val="center"/>
            <w:hideMark/>
          </w:tcPr>
          <w:p w14:paraId="6B017E5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358DF1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£1,455,071.00</w:t>
            </w:r>
          </w:p>
        </w:tc>
      </w:tr>
      <w:tr w:rsidR="005A04AB" w:rsidRPr="006B3AC6" w14:paraId="5FAE5597" w14:textId="77777777" w:rsidTr="00780608">
        <w:trPr>
          <w:trHeight w:val="300"/>
        </w:trPr>
        <w:tc>
          <w:tcPr>
            <w:tcW w:w="2414" w:type="dxa"/>
            <w:noWrap/>
            <w:vAlign w:val="center"/>
            <w:hideMark/>
          </w:tcPr>
          <w:p w14:paraId="2E8BCAF8" w14:textId="77777777" w:rsidR="00E54E83" w:rsidRPr="002E3196" w:rsidRDefault="00E54E83">
            <w:pPr>
              <w:spacing w:line="240" w:lineRule="auto"/>
              <w:rPr>
                <w:rFonts w:cstheme="minorHAnsi"/>
                <w:bCs/>
                <w:sz w:val="16"/>
                <w:szCs w:val="16"/>
              </w:rPr>
            </w:pPr>
            <w:r w:rsidRPr="002E3196">
              <w:rPr>
                <w:rFonts w:cstheme="minorHAnsi"/>
                <w:bCs/>
                <w:sz w:val="16"/>
                <w:szCs w:val="16"/>
              </w:rPr>
              <w:t>Electricity Plus Supply Ltd</w:t>
            </w:r>
          </w:p>
        </w:tc>
        <w:tc>
          <w:tcPr>
            <w:tcW w:w="1918" w:type="dxa"/>
            <w:noWrap/>
            <w:vAlign w:val="center"/>
            <w:hideMark/>
          </w:tcPr>
          <w:p w14:paraId="43F6560C" w14:textId="2734BA4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5406A9">
              <w:rPr>
                <w:rFonts w:cstheme="minorHAnsi"/>
                <w:bCs/>
                <w:sz w:val="16"/>
                <w:szCs w:val="16"/>
              </w:rPr>
              <w:t>,</w:t>
            </w:r>
            <w:r w:rsidRPr="002E3196">
              <w:rPr>
                <w:rFonts w:cstheme="minorHAnsi"/>
                <w:bCs/>
                <w:sz w:val="16"/>
                <w:szCs w:val="16"/>
              </w:rPr>
              <w:t>036</w:t>
            </w:r>
            <w:r w:rsidR="005406A9">
              <w:rPr>
                <w:rFonts w:cstheme="minorHAnsi"/>
                <w:bCs/>
                <w:sz w:val="16"/>
                <w:szCs w:val="16"/>
              </w:rPr>
              <w:t>,</w:t>
            </w:r>
            <w:r w:rsidRPr="002E3196">
              <w:rPr>
                <w:rFonts w:cstheme="minorHAnsi"/>
                <w:bCs/>
                <w:sz w:val="16"/>
                <w:szCs w:val="16"/>
              </w:rPr>
              <w:t>338</w:t>
            </w:r>
          </w:p>
        </w:tc>
        <w:tc>
          <w:tcPr>
            <w:tcW w:w="1918" w:type="dxa"/>
            <w:noWrap/>
            <w:vAlign w:val="center"/>
            <w:hideMark/>
          </w:tcPr>
          <w:p w14:paraId="5C4FEEE9" w14:textId="53E7C1C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5406A9">
              <w:rPr>
                <w:rFonts w:cstheme="minorHAnsi"/>
                <w:bCs/>
                <w:sz w:val="16"/>
                <w:szCs w:val="16"/>
              </w:rPr>
              <w:t>,</w:t>
            </w:r>
            <w:r w:rsidRPr="002E3196">
              <w:rPr>
                <w:rFonts w:cstheme="minorHAnsi"/>
                <w:bCs/>
                <w:sz w:val="16"/>
                <w:szCs w:val="16"/>
              </w:rPr>
              <w:t>036</w:t>
            </w:r>
            <w:r w:rsidR="005406A9">
              <w:rPr>
                <w:rFonts w:cstheme="minorHAnsi"/>
                <w:bCs/>
                <w:sz w:val="16"/>
                <w:szCs w:val="16"/>
              </w:rPr>
              <w:t>,</w:t>
            </w:r>
            <w:r w:rsidRPr="002E3196">
              <w:rPr>
                <w:rFonts w:cstheme="minorHAnsi"/>
                <w:bCs/>
                <w:sz w:val="16"/>
                <w:szCs w:val="16"/>
              </w:rPr>
              <w:t>338</w:t>
            </w:r>
          </w:p>
        </w:tc>
        <w:tc>
          <w:tcPr>
            <w:tcW w:w="2138" w:type="dxa"/>
            <w:noWrap/>
            <w:vAlign w:val="center"/>
            <w:hideMark/>
          </w:tcPr>
          <w:p w14:paraId="018D57B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66A864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£4,586,636.00</w:t>
            </w:r>
          </w:p>
        </w:tc>
      </w:tr>
      <w:tr w:rsidR="005A04AB" w:rsidRPr="006B3AC6" w14:paraId="5C1E5DE8" w14:textId="77777777" w:rsidTr="00780608">
        <w:trPr>
          <w:trHeight w:val="300"/>
        </w:trPr>
        <w:tc>
          <w:tcPr>
            <w:tcW w:w="2414" w:type="dxa"/>
            <w:noWrap/>
            <w:vAlign w:val="center"/>
            <w:hideMark/>
          </w:tcPr>
          <w:p w14:paraId="3E167A9A"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ElectroRoute</w:t>
            </w:r>
            <w:proofErr w:type="spellEnd"/>
            <w:r w:rsidRPr="002E3196">
              <w:rPr>
                <w:rFonts w:cstheme="minorHAnsi"/>
                <w:bCs/>
                <w:sz w:val="16"/>
                <w:szCs w:val="16"/>
              </w:rPr>
              <w:t xml:space="preserve"> Supply Ltd</w:t>
            </w:r>
          </w:p>
        </w:tc>
        <w:tc>
          <w:tcPr>
            <w:tcW w:w="1918" w:type="dxa"/>
            <w:noWrap/>
            <w:vAlign w:val="center"/>
            <w:hideMark/>
          </w:tcPr>
          <w:p w14:paraId="7F6A47F3" w14:textId="501844E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w:t>
            </w:r>
            <w:r w:rsidR="005406A9">
              <w:rPr>
                <w:rFonts w:cstheme="minorHAnsi"/>
                <w:bCs/>
                <w:sz w:val="16"/>
                <w:szCs w:val="16"/>
              </w:rPr>
              <w:t>,</w:t>
            </w:r>
            <w:r w:rsidRPr="002E3196">
              <w:rPr>
                <w:rFonts w:cstheme="minorHAnsi"/>
                <w:bCs/>
                <w:sz w:val="16"/>
                <w:szCs w:val="16"/>
              </w:rPr>
              <w:t>141</w:t>
            </w:r>
          </w:p>
        </w:tc>
        <w:tc>
          <w:tcPr>
            <w:tcW w:w="1918" w:type="dxa"/>
            <w:noWrap/>
            <w:vAlign w:val="center"/>
            <w:hideMark/>
          </w:tcPr>
          <w:p w14:paraId="2B57259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241</w:t>
            </w:r>
          </w:p>
        </w:tc>
        <w:tc>
          <w:tcPr>
            <w:tcW w:w="2138" w:type="dxa"/>
            <w:noWrap/>
            <w:vAlign w:val="center"/>
            <w:hideMark/>
          </w:tcPr>
          <w:p w14:paraId="494A1CD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£695,695.00</w:t>
            </w:r>
          </w:p>
        </w:tc>
        <w:tc>
          <w:tcPr>
            <w:tcW w:w="2154" w:type="dxa"/>
            <w:noWrap/>
            <w:vAlign w:val="center"/>
            <w:hideMark/>
          </w:tcPr>
          <w:p w14:paraId="3B41888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£1,063.00</w:t>
            </w:r>
          </w:p>
        </w:tc>
      </w:tr>
      <w:tr w:rsidR="005A04AB" w:rsidRPr="006B3AC6" w14:paraId="5157EA9D" w14:textId="77777777" w:rsidTr="00780608">
        <w:trPr>
          <w:trHeight w:val="300"/>
        </w:trPr>
        <w:tc>
          <w:tcPr>
            <w:tcW w:w="2414" w:type="dxa"/>
            <w:noWrap/>
            <w:vAlign w:val="center"/>
            <w:hideMark/>
          </w:tcPr>
          <w:p w14:paraId="14056B18"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Eneco</w:t>
            </w:r>
            <w:proofErr w:type="spellEnd"/>
            <w:r w:rsidRPr="002E3196">
              <w:rPr>
                <w:rFonts w:cstheme="minorHAnsi"/>
                <w:bCs/>
                <w:sz w:val="16"/>
                <w:szCs w:val="16"/>
              </w:rPr>
              <w:t xml:space="preserve"> energy Trade BV</w:t>
            </w:r>
          </w:p>
        </w:tc>
        <w:tc>
          <w:tcPr>
            <w:tcW w:w="1918" w:type="dxa"/>
            <w:noWrap/>
            <w:vAlign w:val="center"/>
            <w:hideMark/>
          </w:tcPr>
          <w:p w14:paraId="2EEA3B15" w14:textId="7F5B3D3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214</w:t>
            </w:r>
            <w:r w:rsidR="005406A9">
              <w:rPr>
                <w:rFonts w:cstheme="minorHAnsi"/>
                <w:bCs/>
                <w:sz w:val="16"/>
                <w:szCs w:val="16"/>
              </w:rPr>
              <w:t>,</w:t>
            </w:r>
            <w:r w:rsidRPr="002E3196">
              <w:rPr>
                <w:rFonts w:cstheme="minorHAnsi"/>
                <w:bCs/>
                <w:sz w:val="16"/>
                <w:szCs w:val="16"/>
              </w:rPr>
              <w:t>293</w:t>
            </w:r>
          </w:p>
        </w:tc>
        <w:tc>
          <w:tcPr>
            <w:tcW w:w="1918" w:type="dxa"/>
            <w:noWrap/>
            <w:vAlign w:val="center"/>
            <w:hideMark/>
          </w:tcPr>
          <w:p w14:paraId="6AE9536B" w14:textId="07CDA9A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214</w:t>
            </w:r>
            <w:r w:rsidR="005406A9">
              <w:rPr>
                <w:rFonts w:cstheme="minorHAnsi"/>
                <w:bCs/>
                <w:sz w:val="16"/>
                <w:szCs w:val="16"/>
              </w:rPr>
              <w:t>,</w:t>
            </w:r>
            <w:r w:rsidRPr="002E3196">
              <w:rPr>
                <w:rFonts w:cstheme="minorHAnsi"/>
                <w:bCs/>
                <w:sz w:val="16"/>
                <w:szCs w:val="16"/>
              </w:rPr>
              <w:t>293</w:t>
            </w:r>
          </w:p>
        </w:tc>
        <w:tc>
          <w:tcPr>
            <w:tcW w:w="2138" w:type="dxa"/>
            <w:noWrap/>
            <w:vAlign w:val="center"/>
            <w:hideMark/>
          </w:tcPr>
          <w:p w14:paraId="143211F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FE78EA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£948,418.00</w:t>
            </w:r>
          </w:p>
        </w:tc>
      </w:tr>
      <w:tr w:rsidR="005A04AB" w:rsidRPr="006B3AC6" w14:paraId="06F4DA93" w14:textId="77777777" w:rsidTr="00780608">
        <w:trPr>
          <w:trHeight w:val="550"/>
        </w:trPr>
        <w:tc>
          <w:tcPr>
            <w:tcW w:w="2414" w:type="dxa"/>
            <w:noWrap/>
            <w:vAlign w:val="center"/>
            <w:hideMark/>
          </w:tcPr>
          <w:p w14:paraId="34D07C5A"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Energia</w:t>
            </w:r>
            <w:proofErr w:type="spellEnd"/>
            <w:r w:rsidRPr="002E3196">
              <w:rPr>
                <w:rFonts w:cstheme="minorHAnsi"/>
                <w:bCs/>
                <w:sz w:val="16"/>
                <w:szCs w:val="16"/>
              </w:rPr>
              <w:t xml:space="preserve"> Customer Solutions NI Limited </w:t>
            </w:r>
          </w:p>
        </w:tc>
        <w:tc>
          <w:tcPr>
            <w:tcW w:w="1918" w:type="dxa"/>
            <w:noWrap/>
            <w:vAlign w:val="center"/>
            <w:hideMark/>
          </w:tcPr>
          <w:p w14:paraId="3D3F5114" w14:textId="63F3900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119</w:t>
            </w:r>
            <w:r w:rsidR="005406A9">
              <w:rPr>
                <w:rFonts w:cstheme="minorHAnsi"/>
                <w:bCs/>
                <w:sz w:val="16"/>
                <w:szCs w:val="16"/>
              </w:rPr>
              <w:t>,</w:t>
            </w:r>
            <w:r w:rsidRPr="002E3196">
              <w:rPr>
                <w:rFonts w:cstheme="minorHAnsi"/>
                <w:bCs/>
                <w:sz w:val="16"/>
                <w:szCs w:val="16"/>
              </w:rPr>
              <w:t>218</w:t>
            </w:r>
          </w:p>
        </w:tc>
        <w:tc>
          <w:tcPr>
            <w:tcW w:w="1918" w:type="dxa"/>
            <w:noWrap/>
            <w:vAlign w:val="center"/>
            <w:hideMark/>
          </w:tcPr>
          <w:p w14:paraId="41163193" w14:textId="38FAE86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119</w:t>
            </w:r>
            <w:r w:rsidR="005406A9">
              <w:rPr>
                <w:rFonts w:cstheme="minorHAnsi"/>
                <w:bCs/>
                <w:sz w:val="16"/>
                <w:szCs w:val="16"/>
              </w:rPr>
              <w:t>,</w:t>
            </w:r>
            <w:r w:rsidRPr="002E3196">
              <w:rPr>
                <w:rFonts w:cstheme="minorHAnsi"/>
                <w:bCs/>
                <w:sz w:val="16"/>
                <w:szCs w:val="16"/>
              </w:rPr>
              <w:t>218</w:t>
            </w:r>
          </w:p>
        </w:tc>
        <w:tc>
          <w:tcPr>
            <w:tcW w:w="2138" w:type="dxa"/>
            <w:noWrap/>
            <w:vAlign w:val="center"/>
            <w:hideMark/>
          </w:tcPr>
          <w:p w14:paraId="0B78AEE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FDB310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£527,633.00</w:t>
            </w:r>
          </w:p>
        </w:tc>
      </w:tr>
      <w:tr w:rsidR="005A04AB" w:rsidRPr="006B3AC6" w14:paraId="570D277D" w14:textId="77777777" w:rsidTr="00780608">
        <w:trPr>
          <w:trHeight w:val="300"/>
        </w:trPr>
        <w:tc>
          <w:tcPr>
            <w:tcW w:w="2414" w:type="dxa"/>
            <w:noWrap/>
            <w:vAlign w:val="center"/>
            <w:hideMark/>
          </w:tcPr>
          <w:p w14:paraId="7A71E4A2" w14:textId="77777777" w:rsidR="00E54E83" w:rsidRPr="002E3196" w:rsidRDefault="00E54E83">
            <w:pPr>
              <w:spacing w:line="240" w:lineRule="auto"/>
              <w:rPr>
                <w:rFonts w:cstheme="minorHAnsi"/>
                <w:bCs/>
                <w:sz w:val="16"/>
                <w:szCs w:val="16"/>
              </w:rPr>
            </w:pPr>
            <w:r w:rsidRPr="002E3196">
              <w:rPr>
                <w:rFonts w:cstheme="minorHAnsi"/>
                <w:bCs/>
                <w:sz w:val="16"/>
                <w:szCs w:val="16"/>
              </w:rPr>
              <w:t>ENGIE Power Ltd</w:t>
            </w:r>
          </w:p>
        </w:tc>
        <w:tc>
          <w:tcPr>
            <w:tcW w:w="1918" w:type="dxa"/>
            <w:noWrap/>
            <w:vAlign w:val="center"/>
            <w:hideMark/>
          </w:tcPr>
          <w:p w14:paraId="7E5D13A2" w14:textId="3FE8219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5406A9">
              <w:rPr>
                <w:rFonts w:cstheme="minorHAnsi"/>
                <w:bCs/>
                <w:sz w:val="16"/>
                <w:szCs w:val="16"/>
              </w:rPr>
              <w:t>,</w:t>
            </w:r>
            <w:r w:rsidRPr="002E3196">
              <w:rPr>
                <w:rFonts w:cstheme="minorHAnsi"/>
                <w:bCs/>
                <w:sz w:val="16"/>
                <w:szCs w:val="16"/>
              </w:rPr>
              <w:t>789</w:t>
            </w:r>
            <w:r w:rsidR="005406A9">
              <w:rPr>
                <w:rFonts w:cstheme="minorHAnsi"/>
                <w:bCs/>
                <w:sz w:val="16"/>
                <w:szCs w:val="16"/>
              </w:rPr>
              <w:t>,</w:t>
            </w:r>
            <w:r w:rsidRPr="002E3196">
              <w:rPr>
                <w:rFonts w:cstheme="minorHAnsi"/>
                <w:bCs/>
                <w:sz w:val="16"/>
                <w:szCs w:val="16"/>
              </w:rPr>
              <w:t>460</w:t>
            </w:r>
          </w:p>
        </w:tc>
        <w:tc>
          <w:tcPr>
            <w:tcW w:w="1918" w:type="dxa"/>
            <w:noWrap/>
            <w:vAlign w:val="center"/>
            <w:hideMark/>
          </w:tcPr>
          <w:p w14:paraId="53C7268F" w14:textId="2D37AAF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5406A9">
              <w:rPr>
                <w:rFonts w:cstheme="minorHAnsi"/>
                <w:bCs/>
                <w:sz w:val="16"/>
                <w:szCs w:val="16"/>
              </w:rPr>
              <w:t>,</w:t>
            </w:r>
            <w:r w:rsidRPr="002E3196">
              <w:rPr>
                <w:rFonts w:cstheme="minorHAnsi"/>
                <w:bCs/>
                <w:sz w:val="16"/>
                <w:szCs w:val="16"/>
              </w:rPr>
              <w:t>789</w:t>
            </w:r>
            <w:r w:rsidR="005406A9">
              <w:rPr>
                <w:rFonts w:cstheme="minorHAnsi"/>
                <w:bCs/>
                <w:sz w:val="16"/>
                <w:szCs w:val="16"/>
              </w:rPr>
              <w:t>,</w:t>
            </w:r>
            <w:r w:rsidRPr="002E3196">
              <w:rPr>
                <w:rFonts w:cstheme="minorHAnsi"/>
                <w:bCs/>
                <w:sz w:val="16"/>
                <w:szCs w:val="16"/>
              </w:rPr>
              <w:t>460</w:t>
            </w:r>
          </w:p>
        </w:tc>
        <w:tc>
          <w:tcPr>
            <w:tcW w:w="2138" w:type="dxa"/>
            <w:noWrap/>
            <w:vAlign w:val="center"/>
            <w:hideMark/>
          </w:tcPr>
          <w:p w14:paraId="1A1F2DC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92B8EA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£12,345,629.00</w:t>
            </w:r>
          </w:p>
        </w:tc>
      </w:tr>
      <w:tr w:rsidR="005A04AB" w:rsidRPr="006B3AC6" w14:paraId="135607A4" w14:textId="77777777" w:rsidTr="00780608">
        <w:trPr>
          <w:trHeight w:val="300"/>
        </w:trPr>
        <w:tc>
          <w:tcPr>
            <w:tcW w:w="2414" w:type="dxa"/>
            <w:noWrap/>
            <w:vAlign w:val="center"/>
            <w:hideMark/>
          </w:tcPr>
          <w:p w14:paraId="2EB0B96F"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Enstroga</w:t>
            </w:r>
            <w:proofErr w:type="spellEnd"/>
            <w:r w:rsidRPr="002E3196">
              <w:rPr>
                <w:rFonts w:cstheme="minorHAnsi"/>
                <w:bCs/>
                <w:sz w:val="16"/>
                <w:szCs w:val="16"/>
              </w:rPr>
              <w:t xml:space="preserve"> Ltd </w:t>
            </w:r>
          </w:p>
        </w:tc>
        <w:tc>
          <w:tcPr>
            <w:tcW w:w="1918" w:type="dxa"/>
            <w:noWrap/>
            <w:vAlign w:val="center"/>
            <w:hideMark/>
          </w:tcPr>
          <w:p w14:paraId="4CC694B1" w14:textId="417EB0D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w:t>
            </w:r>
            <w:r w:rsidR="005406A9">
              <w:rPr>
                <w:rFonts w:cstheme="minorHAnsi"/>
                <w:bCs/>
                <w:sz w:val="16"/>
                <w:szCs w:val="16"/>
              </w:rPr>
              <w:t>,</w:t>
            </w:r>
            <w:r w:rsidRPr="002E3196">
              <w:rPr>
                <w:rFonts w:cstheme="minorHAnsi"/>
                <w:bCs/>
                <w:sz w:val="16"/>
                <w:szCs w:val="16"/>
              </w:rPr>
              <w:t>885</w:t>
            </w:r>
          </w:p>
        </w:tc>
        <w:tc>
          <w:tcPr>
            <w:tcW w:w="1918" w:type="dxa"/>
            <w:noWrap/>
            <w:vAlign w:val="center"/>
            <w:hideMark/>
          </w:tcPr>
          <w:p w14:paraId="79431B1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E727A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8CE747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45ACB8B" w14:textId="77777777" w:rsidTr="00780608">
        <w:trPr>
          <w:trHeight w:val="300"/>
        </w:trPr>
        <w:tc>
          <w:tcPr>
            <w:tcW w:w="2414" w:type="dxa"/>
            <w:noWrap/>
            <w:vAlign w:val="center"/>
            <w:hideMark/>
          </w:tcPr>
          <w:p w14:paraId="666FEA54" w14:textId="77777777" w:rsidR="00E54E83" w:rsidRPr="002E3196" w:rsidRDefault="00E54E83">
            <w:pPr>
              <w:spacing w:line="240" w:lineRule="auto"/>
              <w:rPr>
                <w:rFonts w:cstheme="minorHAnsi"/>
                <w:bCs/>
                <w:sz w:val="16"/>
                <w:szCs w:val="16"/>
              </w:rPr>
            </w:pPr>
            <w:r w:rsidRPr="002E3196">
              <w:rPr>
                <w:rFonts w:cstheme="minorHAnsi"/>
                <w:bCs/>
                <w:sz w:val="16"/>
                <w:szCs w:val="16"/>
              </w:rPr>
              <w:t>EPG Energy Ltd</w:t>
            </w:r>
          </w:p>
        </w:tc>
        <w:tc>
          <w:tcPr>
            <w:tcW w:w="1918" w:type="dxa"/>
            <w:noWrap/>
            <w:vAlign w:val="center"/>
            <w:hideMark/>
          </w:tcPr>
          <w:p w14:paraId="6E7D8ADB" w14:textId="0A23B03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w:t>
            </w:r>
            <w:r w:rsidR="00727FA4">
              <w:rPr>
                <w:rFonts w:cstheme="minorHAnsi"/>
                <w:bCs/>
                <w:sz w:val="16"/>
                <w:szCs w:val="16"/>
              </w:rPr>
              <w:t>,</w:t>
            </w:r>
            <w:r w:rsidRPr="002E3196">
              <w:rPr>
                <w:rFonts w:cstheme="minorHAnsi"/>
                <w:bCs/>
                <w:sz w:val="16"/>
                <w:szCs w:val="16"/>
              </w:rPr>
              <w:t>103</w:t>
            </w:r>
          </w:p>
        </w:tc>
        <w:tc>
          <w:tcPr>
            <w:tcW w:w="1918" w:type="dxa"/>
            <w:noWrap/>
            <w:vAlign w:val="center"/>
            <w:hideMark/>
          </w:tcPr>
          <w:p w14:paraId="6144D47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2896C7A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£906,055.15</w:t>
            </w:r>
          </w:p>
        </w:tc>
        <w:tc>
          <w:tcPr>
            <w:tcW w:w="2154" w:type="dxa"/>
            <w:noWrap/>
            <w:vAlign w:val="center"/>
            <w:hideMark/>
          </w:tcPr>
          <w:p w14:paraId="3B75E18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F9F29F7" w14:textId="77777777" w:rsidTr="00780608">
        <w:trPr>
          <w:trHeight w:val="300"/>
        </w:trPr>
        <w:tc>
          <w:tcPr>
            <w:tcW w:w="2414" w:type="dxa"/>
            <w:noWrap/>
            <w:vAlign w:val="center"/>
            <w:hideMark/>
          </w:tcPr>
          <w:p w14:paraId="1A3F6DDD" w14:textId="77777777" w:rsidR="00E54E83" w:rsidRPr="002E3196" w:rsidRDefault="00E54E83">
            <w:pPr>
              <w:spacing w:line="240" w:lineRule="auto"/>
              <w:rPr>
                <w:rFonts w:cstheme="minorHAnsi"/>
                <w:bCs/>
                <w:sz w:val="16"/>
                <w:szCs w:val="16"/>
              </w:rPr>
            </w:pPr>
            <w:r w:rsidRPr="002E3196">
              <w:rPr>
                <w:rFonts w:cstheme="minorHAnsi"/>
                <w:bCs/>
                <w:sz w:val="16"/>
                <w:szCs w:val="16"/>
              </w:rPr>
              <w:t>ESB Energy Ltd</w:t>
            </w:r>
          </w:p>
        </w:tc>
        <w:tc>
          <w:tcPr>
            <w:tcW w:w="1918" w:type="dxa"/>
            <w:noWrap/>
            <w:vAlign w:val="center"/>
            <w:hideMark/>
          </w:tcPr>
          <w:p w14:paraId="0E666D03" w14:textId="0E43A12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178</w:t>
            </w:r>
            <w:r w:rsidR="00727FA4">
              <w:rPr>
                <w:rFonts w:cstheme="minorHAnsi"/>
                <w:bCs/>
                <w:sz w:val="16"/>
                <w:szCs w:val="16"/>
              </w:rPr>
              <w:t>,</w:t>
            </w:r>
            <w:r w:rsidRPr="002E3196">
              <w:rPr>
                <w:rFonts w:cstheme="minorHAnsi"/>
                <w:bCs/>
                <w:sz w:val="16"/>
                <w:szCs w:val="16"/>
              </w:rPr>
              <w:t>495</w:t>
            </w:r>
          </w:p>
        </w:tc>
        <w:tc>
          <w:tcPr>
            <w:tcW w:w="1918" w:type="dxa"/>
            <w:noWrap/>
            <w:vAlign w:val="center"/>
            <w:hideMark/>
          </w:tcPr>
          <w:p w14:paraId="0A70C8A3" w14:textId="4265CBF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178</w:t>
            </w:r>
            <w:r w:rsidR="00727FA4">
              <w:rPr>
                <w:rFonts w:cstheme="minorHAnsi"/>
                <w:bCs/>
                <w:sz w:val="16"/>
                <w:szCs w:val="16"/>
              </w:rPr>
              <w:t>,</w:t>
            </w:r>
            <w:r w:rsidRPr="002E3196">
              <w:rPr>
                <w:rFonts w:cstheme="minorHAnsi"/>
                <w:bCs/>
                <w:sz w:val="16"/>
                <w:szCs w:val="16"/>
              </w:rPr>
              <w:t>495</w:t>
            </w:r>
          </w:p>
        </w:tc>
        <w:tc>
          <w:tcPr>
            <w:tcW w:w="2138" w:type="dxa"/>
            <w:noWrap/>
            <w:vAlign w:val="center"/>
            <w:hideMark/>
          </w:tcPr>
          <w:p w14:paraId="23CDBFB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7400F7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£789,983.00</w:t>
            </w:r>
          </w:p>
        </w:tc>
      </w:tr>
      <w:tr w:rsidR="005A04AB" w:rsidRPr="006B3AC6" w14:paraId="6014EC47" w14:textId="77777777" w:rsidTr="00780608">
        <w:trPr>
          <w:trHeight w:val="300"/>
        </w:trPr>
        <w:tc>
          <w:tcPr>
            <w:tcW w:w="2414" w:type="dxa"/>
            <w:noWrap/>
            <w:vAlign w:val="center"/>
            <w:hideMark/>
          </w:tcPr>
          <w:p w14:paraId="7819D6B9" w14:textId="77777777" w:rsidR="00E54E83" w:rsidRPr="002E3196" w:rsidRDefault="00E54E83">
            <w:pPr>
              <w:spacing w:line="240" w:lineRule="auto"/>
              <w:rPr>
                <w:rFonts w:cstheme="minorHAnsi"/>
                <w:bCs/>
                <w:sz w:val="16"/>
                <w:szCs w:val="16"/>
              </w:rPr>
            </w:pPr>
            <w:r w:rsidRPr="002E3196">
              <w:rPr>
                <w:rFonts w:cstheme="minorHAnsi"/>
                <w:bCs/>
                <w:sz w:val="16"/>
                <w:szCs w:val="16"/>
              </w:rPr>
              <w:t>Euston Energy Ltd</w:t>
            </w:r>
          </w:p>
        </w:tc>
        <w:tc>
          <w:tcPr>
            <w:tcW w:w="1918" w:type="dxa"/>
            <w:noWrap/>
            <w:vAlign w:val="center"/>
            <w:hideMark/>
          </w:tcPr>
          <w:p w14:paraId="124F69ED" w14:textId="7B514FA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727FA4">
              <w:rPr>
                <w:rFonts w:cstheme="minorHAnsi"/>
                <w:bCs/>
                <w:sz w:val="16"/>
                <w:szCs w:val="16"/>
              </w:rPr>
              <w:t>,</w:t>
            </w:r>
            <w:r w:rsidRPr="002E3196">
              <w:rPr>
                <w:rFonts w:cstheme="minorHAnsi"/>
                <w:bCs/>
                <w:sz w:val="16"/>
                <w:szCs w:val="16"/>
              </w:rPr>
              <w:t>421</w:t>
            </w:r>
          </w:p>
        </w:tc>
        <w:tc>
          <w:tcPr>
            <w:tcW w:w="1918" w:type="dxa"/>
            <w:noWrap/>
            <w:vAlign w:val="center"/>
            <w:hideMark/>
          </w:tcPr>
          <w:p w14:paraId="0B9F602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C393ED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£122,154.18</w:t>
            </w:r>
          </w:p>
        </w:tc>
        <w:tc>
          <w:tcPr>
            <w:tcW w:w="2154" w:type="dxa"/>
            <w:noWrap/>
            <w:vAlign w:val="center"/>
            <w:hideMark/>
          </w:tcPr>
          <w:p w14:paraId="3B2D9E0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1C1E76D" w14:textId="77777777" w:rsidTr="00780608">
        <w:trPr>
          <w:trHeight w:val="550"/>
        </w:trPr>
        <w:tc>
          <w:tcPr>
            <w:tcW w:w="2414" w:type="dxa"/>
            <w:noWrap/>
            <w:vAlign w:val="center"/>
            <w:hideMark/>
          </w:tcPr>
          <w:p w14:paraId="1DB9494B" w14:textId="77777777" w:rsidR="00E54E83" w:rsidRPr="002E3196" w:rsidRDefault="00E54E83">
            <w:pPr>
              <w:spacing w:line="240" w:lineRule="auto"/>
              <w:rPr>
                <w:rFonts w:cstheme="minorHAnsi"/>
                <w:bCs/>
                <w:sz w:val="16"/>
                <w:szCs w:val="16"/>
              </w:rPr>
            </w:pPr>
            <w:r w:rsidRPr="002E3196">
              <w:rPr>
                <w:rFonts w:cstheme="minorHAnsi"/>
                <w:bCs/>
                <w:sz w:val="16"/>
                <w:szCs w:val="16"/>
              </w:rPr>
              <w:t>Evermore ES (Trading as: Bright Energy)</w:t>
            </w:r>
          </w:p>
        </w:tc>
        <w:tc>
          <w:tcPr>
            <w:tcW w:w="1918" w:type="dxa"/>
            <w:noWrap/>
            <w:vAlign w:val="center"/>
            <w:hideMark/>
          </w:tcPr>
          <w:p w14:paraId="683D927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53</w:t>
            </w:r>
          </w:p>
        </w:tc>
        <w:tc>
          <w:tcPr>
            <w:tcW w:w="1918" w:type="dxa"/>
            <w:noWrap/>
            <w:vAlign w:val="center"/>
            <w:hideMark/>
          </w:tcPr>
          <w:p w14:paraId="1D29DA3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53</w:t>
            </w:r>
          </w:p>
        </w:tc>
        <w:tc>
          <w:tcPr>
            <w:tcW w:w="2138" w:type="dxa"/>
            <w:noWrap/>
            <w:vAlign w:val="center"/>
            <w:hideMark/>
          </w:tcPr>
          <w:p w14:paraId="69A5662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94C5E1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£232.00</w:t>
            </w:r>
          </w:p>
        </w:tc>
      </w:tr>
      <w:tr w:rsidR="005A04AB" w:rsidRPr="006B3AC6" w14:paraId="667790F1" w14:textId="77777777" w:rsidTr="00780608">
        <w:trPr>
          <w:trHeight w:val="300"/>
        </w:trPr>
        <w:tc>
          <w:tcPr>
            <w:tcW w:w="2414" w:type="dxa"/>
            <w:noWrap/>
            <w:vAlign w:val="center"/>
            <w:hideMark/>
          </w:tcPr>
          <w:p w14:paraId="16D8295A" w14:textId="77777777" w:rsidR="00E54E83" w:rsidRPr="002E3196" w:rsidRDefault="00E54E83">
            <w:pPr>
              <w:spacing w:line="240" w:lineRule="auto"/>
              <w:rPr>
                <w:rFonts w:cstheme="minorHAnsi"/>
                <w:bCs/>
                <w:sz w:val="16"/>
                <w:szCs w:val="16"/>
              </w:rPr>
            </w:pPr>
            <w:r w:rsidRPr="002E3196">
              <w:rPr>
                <w:rFonts w:cstheme="minorHAnsi"/>
                <w:bCs/>
                <w:sz w:val="16"/>
                <w:szCs w:val="16"/>
              </w:rPr>
              <w:t>F &amp; S Energy Ltd</w:t>
            </w:r>
          </w:p>
        </w:tc>
        <w:tc>
          <w:tcPr>
            <w:tcW w:w="1918" w:type="dxa"/>
            <w:noWrap/>
            <w:vAlign w:val="center"/>
            <w:hideMark/>
          </w:tcPr>
          <w:p w14:paraId="7DB7129F" w14:textId="564D89C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53</w:t>
            </w:r>
            <w:r w:rsidR="00727FA4">
              <w:rPr>
                <w:rFonts w:cstheme="minorHAnsi"/>
                <w:bCs/>
                <w:sz w:val="16"/>
                <w:szCs w:val="16"/>
              </w:rPr>
              <w:t>,</w:t>
            </w:r>
            <w:r w:rsidRPr="002E3196">
              <w:rPr>
                <w:rFonts w:cstheme="minorHAnsi"/>
                <w:bCs/>
                <w:sz w:val="16"/>
                <w:szCs w:val="16"/>
              </w:rPr>
              <w:t>208</w:t>
            </w:r>
          </w:p>
        </w:tc>
        <w:tc>
          <w:tcPr>
            <w:tcW w:w="1918" w:type="dxa"/>
            <w:noWrap/>
            <w:vAlign w:val="center"/>
            <w:hideMark/>
          </w:tcPr>
          <w:p w14:paraId="73524F0D" w14:textId="7055A92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w:t>
            </w:r>
            <w:r w:rsidR="00727FA4">
              <w:rPr>
                <w:rFonts w:cstheme="minorHAnsi"/>
                <w:bCs/>
                <w:sz w:val="16"/>
                <w:szCs w:val="16"/>
              </w:rPr>
              <w:t>,</w:t>
            </w:r>
            <w:r w:rsidRPr="002E3196">
              <w:rPr>
                <w:rFonts w:cstheme="minorHAnsi"/>
                <w:bCs/>
                <w:sz w:val="16"/>
                <w:szCs w:val="16"/>
              </w:rPr>
              <w:t>694</w:t>
            </w:r>
          </w:p>
        </w:tc>
        <w:tc>
          <w:tcPr>
            <w:tcW w:w="2138" w:type="dxa"/>
            <w:noWrap/>
            <w:vAlign w:val="center"/>
            <w:hideMark/>
          </w:tcPr>
          <w:p w14:paraId="37AF982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£2,333,614.69</w:t>
            </w:r>
          </w:p>
        </w:tc>
        <w:tc>
          <w:tcPr>
            <w:tcW w:w="2154" w:type="dxa"/>
            <w:noWrap/>
            <w:vAlign w:val="center"/>
            <w:hideMark/>
          </w:tcPr>
          <w:p w14:paraId="666C5EA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£29,624.00</w:t>
            </w:r>
          </w:p>
        </w:tc>
      </w:tr>
      <w:tr w:rsidR="005A04AB" w:rsidRPr="006B3AC6" w14:paraId="4078027D" w14:textId="77777777" w:rsidTr="00780608">
        <w:trPr>
          <w:trHeight w:val="300"/>
        </w:trPr>
        <w:tc>
          <w:tcPr>
            <w:tcW w:w="2414" w:type="dxa"/>
            <w:noWrap/>
            <w:vAlign w:val="center"/>
            <w:hideMark/>
          </w:tcPr>
          <w:p w14:paraId="140065D0" w14:textId="77777777" w:rsidR="00E54E83" w:rsidRPr="002E3196" w:rsidRDefault="00E54E83">
            <w:pPr>
              <w:spacing w:line="240" w:lineRule="auto"/>
              <w:rPr>
                <w:rFonts w:cstheme="minorHAnsi"/>
                <w:bCs/>
                <w:sz w:val="16"/>
                <w:szCs w:val="16"/>
              </w:rPr>
            </w:pPr>
            <w:r w:rsidRPr="002E3196">
              <w:rPr>
                <w:rFonts w:cstheme="minorHAnsi"/>
                <w:bCs/>
                <w:sz w:val="16"/>
                <w:szCs w:val="16"/>
              </w:rPr>
              <w:t>Farringdon Energy Ltd</w:t>
            </w:r>
          </w:p>
        </w:tc>
        <w:tc>
          <w:tcPr>
            <w:tcW w:w="1918" w:type="dxa"/>
            <w:noWrap/>
            <w:vAlign w:val="center"/>
            <w:hideMark/>
          </w:tcPr>
          <w:p w14:paraId="6E4EA47E" w14:textId="407926C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727FA4">
              <w:rPr>
                <w:rFonts w:cstheme="minorHAnsi"/>
                <w:bCs/>
                <w:sz w:val="16"/>
                <w:szCs w:val="16"/>
              </w:rPr>
              <w:t>,</w:t>
            </w:r>
            <w:r w:rsidRPr="002E3196">
              <w:rPr>
                <w:rFonts w:cstheme="minorHAnsi"/>
                <w:bCs/>
                <w:sz w:val="16"/>
                <w:szCs w:val="16"/>
              </w:rPr>
              <w:t>060</w:t>
            </w:r>
          </w:p>
        </w:tc>
        <w:tc>
          <w:tcPr>
            <w:tcW w:w="1918" w:type="dxa"/>
            <w:noWrap/>
            <w:vAlign w:val="center"/>
            <w:hideMark/>
          </w:tcPr>
          <w:p w14:paraId="5A095DF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467F2F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£53,058.30</w:t>
            </w:r>
          </w:p>
        </w:tc>
        <w:tc>
          <w:tcPr>
            <w:tcW w:w="2154" w:type="dxa"/>
            <w:noWrap/>
            <w:vAlign w:val="center"/>
            <w:hideMark/>
          </w:tcPr>
          <w:p w14:paraId="12E0430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FA4AD6A" w14:textId="77777777" w:rsidTr="00780608">
        <w:trPr>
          <w:trHeight w:val="300"/>
        </w:trPr>
        <w:tc>
          <w:tcPr>
            <w:tcW w:w="2414" w:type="dxa"/>
            <w:noWrap/>
            <w:vAlign w:val="center"/>
            <w:hideMark/>
          </w:tcPr>
          <w:p w14:paraId="57044FEC"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Flexitricity</w:t>
            </w:r>
            <w:proofErr w:type="spellEnd"/>
            <w:r w:rsidRPr="002E3196">
              <w:rPr>
                <w:rFonts w:cstheme="minorHAnsi"/>
                <w:bCs/>
                <w:sz w:val="16"/>
                <w:szCs w:val="16"/>
              </w:rPr>
              <w:t xml:space="preserve"> Ltd</w:t>
            </w:r>
          </w:p>
        </w:tc>
        <w:tc>
          <w:tcPr>
            <w:tcW w:w="1918" w:type="dxa"/>
            <w:noWrap/>
            <w:vAlign w:val="center"/>
            <w:hideMark/>
          </w:tcPr>
          <w:p w14:paraId="5B7AFAC2" w14:textId="3E410EB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727FA4">
              <w:rPr>
                <w:rFonts w:cstheme="minorHAnsi"/>
                <w:bCs/>
                <w:sz w:val="16"/>
                <w:szCs w:val="16"/>
              </w:rPr>
              <w:t>,</w:t>
            </w:r>
            <w:r w:rsidRPr="002E3196">
              <w:rPr>
                <w:rFonts w:cstheme="minorHAnsi"/>
                <w:bCs/>
                <w:sz w:val="16"/>
                <w:szCs w:val="16"/>
              </w:rPr>
              <w:t>615</w:t>
            </w:r>
          </w:p>
        </w:tc>
        <w:tc>
          <w:tcPr>
            <w:tcW w:w="1918" w:type="dxa"/>
            <w:noWrap/>
            <w:vAlign w:val="center"/>
            <w:hideMark/>
          </w:tcPr>
          <w:p w14:paraId="17F2BF2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69B99A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£131,063.62</w:t>
            </w:r>
          </w:p>
        </w:tc>
        <w:tc>
          <w:tcPr>
            <w:tcW w:w="2154" w:type="dxa"/>
            <w:noWrap/>
            <w:vAlign w:val="center"/>
            <w:hideMark/>
          </w:tcPr>
          <w:p w14:paraId="2A63544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E550353" w14:textId="77777777" w:rsidTr="00780608">
        <w:trPr>
          <w:trHeight w:val="300"/>
        </w:trPr>
        <w:tc>
          <w:tcPr>
            <w:tcW w:w="2414" w:type="dxa"/>
            <w:noWrap/>
            <w:vAlign w:val="center"/>
            <w:hideMark/>
          </w:tcPr>
          <w:p w14:paraId="2B9D86E3" w14:textId="77777777" w:rsidR="00E54E83" w:rsidRPr="002E3196" w:rsidRDefault="00E54E83">
            <w:pPr>
              <w:spacing w:line="240" w:lineRule="auto"/>
              <w:rPr>
                <w:rFonts w:cstheme="minorHAnsi"/>
                <w:bCs/>
                <w:sz w:val="16"/>
                <w:szCs w:val="16"/>
              </w:rPr>
            </w:pPr>
            <w:r w:rsidRPr="002E3196">
              <w:rPr>
                <w:rFonts w:cstheme="minorHAnsi"/>
                <w:bCs/>
                <w:sz w:val="16"/>
                <w:szCs w:val="16"/>
              </w:rPr>
              <w:t>Flow Energy Ltd</w:t>
            </w:r>
          </w:p>
        </w:tc>
        <w:tc>
          <w:tcPr>
            <w:tcW w:w="1918" w:type="dxa"/>
            <w:noWrap/>
            <w:vAlign w:val="center"/>
            <w:hideMark/>
          </w:tcPr>
          <w:p w14:paraId="554C81F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p>
        </w:tc>
        <w:tc>
          <w:tcPr>
            <w:tcW w:w="1918" w:type="dxa"/>
            <w:noWrap/>
            <w:vAlign w:val="center"/>
            <w:hideMark/>
          </w:tcPr>
          <w:p w14:paraId="7322AFD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4C1373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£100.39</w:t>
            </w:r>
          </w:p>
        </w:tc>
        <w:tc>
          <w:tcPr>
            <w:tcW w:w="2154" w:type="dxa"/>
            <w:noWrap/>
            <w:vAlign w:val="center"/>
            <w:hideMark/>
          </w:tcPr>
          <w:p w14:paraId="536FAD3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2896A6C" w14:textId="77777777" w:rsidTr="00780608">
        <w:trPr>
          <w:trHeight w:val="550"/>
        </w:trPr>
        <w:tc>
          <w:tcPr>
            <w:tcW w:w="2414" w:type="dxa"/>
            <w:noWrap/>
            <w:vAlign w:val="center"/>
            <w:hideMark/>
          </w:tcPr>
          <w:p w14:paraId="1E6D7A05" w14:textId="77777777" w:rsidR="00E54E83" w:rsidRPr="002E3196" w:rsidRDefault="00E54E83">
            <w:pPr>
              <w:spacing w:line="240" w:lineRule="auto"/>
              <w:rPr>
                <w:rFonts w:cstheme="minorHAnsi"/>
                <w:bCs/>
                <w:sz w:val="16"/>
                <w:szCs w:val="16"/>
              </w:rPr>
            </w:pPr>
            <w:r w:rsidRPr="002E3196">
              <w:rPr>
                <w:rFonts w:cstheme="minorHAnsi"/>
                <w:bCs/>
                <w:sz w:val="16"/>
                <w:szCs w:val="16"/>
              </w:rPr>
              <w:t>Foxglove Energy Supply Ltd</w:t>
            </w:r>
          </w:p>
        </w:tc>
        <w:tc>
          <w:tcPr>
            <w:tcW w:w="1918" w:type="dxa"/>
            <w:noWrap/>
            <w:vAlign w:val="center"/>
            <w:hideMark/>
          </w:tcPr>
          <w:p w14:paraId="68EED6D3" w14:textId="620CEC7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210</w:t>
            </w:r>
            <w:r w:rsidR="00727FA4">
              <w:rPr>
                <w:rFonts w:cstheme="minorHAnsi"/>
                <w:bCs/>
                <w:sz w:val="16"/>
                <w:szCs w:val="16"/>
              </w:rPr>
              <w:t>,</w:t>
            </w:r>
            <w:r w:rsidRPr="002E3196">
              <w:rPr>
                <w:rFonts w:cstheme="minorHAnsi"/>
                <w:bCs/>
                <w:sz w:val="16"/>
                <w:szCs w:val="16"/>
              </w:rPr>
              <w:t>268</w:t>
            </w:r>
          </w:p>
        </w:tc>
        <w:tc>
          <w:tcPr>
            <w:tcW w:w="1918" w:type="dxa"/>
            <w:noWrap/>
            <w:vAlign w:val="center"/>
            <w:hideMark/>
          </w:tcPr>
          <w:p w14:paraId="2DB441A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7479E2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£10,538,199.16</w:t>
            </w:r>
          </w:p>
        </w:tc>
        <w:tc>
          <w:tcPr>
            <w:tcW w:w="2154" w:type="dxa"/>
            <w:noWrap/>
            <w:vAlign w:val="center"/>
            <w:hideMark/>
          </w:tcPr>
          <w:p w14:paraId="118BFD8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87C2338" w14:textId="77777777" w:rsidTr="00780608">
        <w:trPr>
          <w:trHeight w:val="550"/>
        </w:trPr>
        <w:tc>
          <w:tcPr>
            <w:tcW w:w="2414" w:type="dxa"/>
            <w:noWrap/>
            <w:vAlign w:val="center"/>
            <w:hideMark/>
          </w:tcPr>
          <w:p w14:paraId="2CC4974A" w14:textId="77777777" w:rsidR="00E54E83" w:rsidRPr="002E3196" w:rsidRDefault="00E54E83">
            <w:pPr>
              <w:spacing w:line="240" w:lineRule="auto"/>
              <w:rPr>
                <w:rFonts w:cstheme="minorHAnsi"/>
                <w:bCs/>
                <w:sz w:val="16"/>
                <w:szCs w:val="16"/>
              </w:rPr>
            </w:pPr>
            <w:r w:rsidRPr="002E3196">
              <w:rPr>
                <w:rFonts w:cstheme="minorHAnsi"/>
                <w:bCs/>
                <w:sz w:val="16"/>
                <w:szCs w:val="16"/>
              </w:rPr>
              <w:t>Gas and Power Ltd T/A HUB Energy</w:t>
            </w:r>
          </w:p>
        </w:tc>
        <w:tc>
          <w:tcPr>
            <w:tcW w:w="1918" w:type="dxa"/>
            <w:noWrap/>
            <w:vAlign w:val="center"/>
            <w:hideMark/>
          </w:tcPr>
          <w:p w14:paraId="0CECB47F" w14:textId="0105429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61</w:t>
            </w:r>
            <w:r w:rsidR="00FB659E">
              <w:rPr>
                <w:rFonts w:cstheme="minorHAnsi"/>
                <w:bCs/>
                <w:sz w:val="16"/>
                <w:szCs w:val="16"/>
              </w:rPr>
              <w:t>,</w:t>
            </w:r>
            <w:r w:rsidRPr="002E3196">
              <w:rPr>
                <w:rFonts w:cstheme="minorHAnsi"/>
                <w:bCs/>
                <w:sz w:val="16"/>
                <w:szCs w:val="16"/>
              </w:rPr>
              <w:t>177</w:t>
            </w:r>
          </w:p>
        </w:tc>
        <w:tc>
          <w:tcPr>
            <w:tcW w:w="1918" w:type="dxa"/>
            <w:noWrap/>
            <w:vAlign w:val="center"/>
            <w:hideMark/>
          </w:tcPr>
          <w:p w14:paraId="6FD531F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0EADC0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D079F6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6DD59BB" w14:textId="77777777" w:rsidTr="00780608">
        <w:trPr>
          <w:trHeight w:val="550"/>
        </w:trPr>
        <w:tc>
          <w:tcPr>
            <w:tcW w:w="2414" w:type="dxa"/>
            <w:noWrap/>
            <w:vAlign w:val="center"/>
            <w:hideMark/>
          </w:tcPr>
          <w:p w14:paraId="6D5FD02A" w14:textId="77777777" w:rsidR="00E54E83" w:rsidRPr="002E3196" w:rsidRDefault="00E54E83">
            <w:pPr>
              <w:spacing w:line="240" w:lineRule="auto"/>
              <w:rPr>
                <w:rFonts w:cstheme="minorHAnsi"/>
                <w:bCs/>
                <w:sz w:val="16"/>
                <w:szCs w:val="16"/>
              </w:rPr>
            </w:pPr>
            <w:r w:rsidRPr="002E3196">
              <w:rPr>
                <w:rFonts w:cstheme="minorHAnsi"/>
                <w:bCs/>
                <w:sz w:val="16"/>
                <w:szCs w:val="16"/>
              </w:rPr>
              <w:t>Gazprom Marketing &amp; Trading Retail Ltd</w:t>
            </w:r>
          </w:p>
        </w:tc>
        <w:tc>
          <w:tcPr>
            <w:tcW w:w="1918" w:type="dxa"/>
            <w:noWrap/>
            <w:vAlign w:val="center"/>
            <w:hideMark/>
          </w:tcPr>
          <w:p w14:paraId="0FC1DDA3" w14:textId="1A9B41C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196</w:t>
            </w:r>
            <w:r w:rsidR="00727FA4">
              <w:rPr>
                <w:rFonts w:cstheme="minorHAnsi"/>
                <w:bCs/>
                <w:sz w:val="16"/>
                <w:szCs w:val="16"/>
              </w:rPr>
              <w:t>,</w:t>
            </w:r>
            <w:r w:rsidRPr="002E3196">
              <w:rPr>
                <w:rFonts w:cstheme="minorHAnsi"/>
                <w:bCs/>
                <w:sz w:val="16"/>
                <w:szCs w:val="16"/>
              </w:rPr>
              <w:t>634</w:t>
            </w:r>
          </w:p>
        </w:tc>
        <w:tc>
          <w:tcPr>
            <w:tcW w:w="1918" w:type="dxa"/>
            <w:noWrap/>
            <w:vAlign w:val="center"/>
            <w:hideMark/>
          </w:tcPr>
          <w:p w14:paraId="1B606BCB" w14:textId="5A60A0D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196</w:t>
            </w:r>
            <w:r w:rsidR="00727FA4">
              <w:rPr>
                <w:rFonts w:cstheme="minorHAnsi"/>
                <w:bCs/>
                <w:sz w:val="16"/>
                <w:szCs w:val="16"/>
              </w:rPr>
              <w:t>,</w:t>
            </w:r>
            <w:r w:rsidRPr="002E3196">
              <w:rPr>
                <w:rFonts w:cstheme="minorHAnsi"/>
                <w:bCs/>
                <w:sz w:val="16"/>
                <w:szCs w:val="16"/>
              </w:rPr>
              <w:t>634</w:t>
            </w:r>
          </w:p>
        </w:tc>
        <w:tc>
          <w:tcPr>
            <w:tcW w:w="2138" w:type="dxa"/>
            <w:noWrap/>
            <w:vAlign w:val="center"/>
            <w:hideMark/>
          </w:tcPr>
          <w:p w14:paraId="5D13F95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251CAC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£870,263.00</w:t>
            </w:r>
          </w:p>
        </w:tc>
      </w:tr>
      <w:tr w:rsidR="005A04AB" w:rsidRPr="006B3AC6" w14:paraId="75F93CC7" w14:textId="77777777" w:rsidTr="00780608">
        <w:trPr>
          <w:trHeight w:val="550"/>
        </w:trPr>
        <w:tc>
          <w:tcPr>
            <w:tcW w:w="2414" w:type="dxa"/>
            <w:noWrap/>
            <w:vAlign w:val="center"/>
            <w:hideMark/>
          </w:tcPr>
          <w:p w14:paraId="24C85D89" w14:textId="77777777" w:rsidR="00E54E83" w:rsidRPr="002E3196" w:rsidRDefault="00E54E83">
            <w:pPr>
              <w:spacing w:line="240" w:lineRule="auto"/>
              <w:rPr>
                <w:rFonts w:cstheme="minorHAnsi"/>
                <w:bCs/>
                <w:sz w:val="16"/>
                <w:szCs w:val="16"/>
              </w:rPr>
            </w:pPr>
            <w:r w:rsidRPr="002E3196">
              <w:rPr>
                <w:rFonts w:cstheme="minorHAnsi"/>
                <w:bCs/>
                <w:sz w:val="16"/>
                <w:szCs w:val="16"/>
              </w:rPr>
              <w:t>Go Effortless (new name Whoop Energy)</w:t>
            </w:r>
          </w:p>
        </w:tc>
        <w:tc>
          <w:tcPr>
            <w:tcW w:w="1918" w:type="dxa"/>
            <w:noWrap/>
            <w:vAlign w:val="center"/>
            <w:hideMark/>
          </w:tcPr>
          <w:p w14:paraId="35B91B53" w14:textId="7782DB3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727FA4">
              <w:rPr>
                <w:rFonts w:cstheme="minorHAnsi"/>
                <w:bCs/>
                <w:sz w:val="16"/>
                <w:szCs w:val="16"/>
              </w:rPr>
              <w:t>,</w:t>
            </w:r>
            <w:r w:rsidRPr="002E3196">
              <w:rPr>
                <w:rFonts w:cstheme="minorHAnsi"/>
                <w:bCs/>
                <w:sz w:val="16"/>
                <w:szCs w:val="16"/>
              </w:rPr>
              <w:t>125</w:t>
            </w:r>
          </w:p>
        </w:tc>
        <w:tc>
          <w:tcPr>
            <w:tcW w:w="1918" w:type="dxa"/>
            <w:noWrap/>
            <w:vAlign w:val="center"/>
            <w:hideMark/>
          </w:tcPr>
          <w:p w14:paraId="195A0EB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2EF3CBA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9D9074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D4AEA82" w14:textId="77777777" w:rsidTr="00780608">
        <w:trPr>
          <w:trHeight w:val="550"/>
        </w:trPr>
        <w:tc>
          <w:tcPr>
            <w:tcW w:w="2414" w:type="dxa"/>
            <w:noWrap/>
            <w:vAlign w:val="center"/>
            <w:hideMark/>
          </w:tcPr>
          <w:p w14:paraId="759DA682" w14:textId="77777777" w:rsidR="00E54E83" w:rsidRPr="002E3196" w:rsidRDefault="00E54E83">
            <w:pPr>
              <w:spacing w:line="240" w:lineRule="auto"/>
              <w:rPr>
                <w:rFonts w:cstheme="minorHAnsi"/>
                <w:bCs/>
                <w:sz w:val="16"/>
                <w:szCs w:val="16"/>
              </w:rPr>
            </w:pPr>
            <w:r w:rsidRPr="002E3196">
              <w:rPr>
                <w:rFonts w:cstheme="minorHAnsi"/>
                <w:bCs/>
                <w:sz w:val="16"/>
                <w:szCs w:val="16"/>
              </w:rPr>
              <w:t>Go Power (LCC Power Limited)</w:t>
            </w:r>
          </w:p>
        </w:tc>
        <w:tc>
          <w:tcPr>
            <w:tcW w:w="1918" w:type="dxa"/>
            <w:noWrap/>
            <w:vAlign w:val="center"/>
            <w:hideMark/>
          </w:tcPr>
          <w:p w14:paraId="3C09D21F" w14:textId="49B9D5F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107</w:t>
            </w:r>
            <w:r w:rsidR="00727FA4">
              <w:rPr>
                <w:rFonts w:cstheme="minorHAnsi"/>
                <w:bCs/>
                <w:sz w:val="16"/>
                <w:szCs w:val="16"/>
              </w:rPr>
              <w:t>,</w:t>
            </w:r>
            <w:r w:rsidRPr="002E3196">
              <w:rPr>
                <w:rFonts w:cstheme="minorHAnsi"/>
                <w:bCs/>
                <w:sz w:val="16"/>
                <w:szCs w:val="16"/>
              </w:rPr>
              <w:t>907</w:t>
            </w:r>
          </w:p>
        </w:tc>
        <w:tc>
          <w:tcPr>
            <w:tcW w:w="1918" w:type="dxa"/>
            <w:noWrap/>
            <w:vAlign w:val="center"/>
            <w:hideMark/>
          </w:tcPr>
          <w:p w14:paraId="5FCEC3B4" w14:textId="03F349C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102</w:t>
            </w:r>
            <w:r w:rsidR="00727FA4">
              <w:rPr>
                <w:rFonts w:cstheme="minorHAnsi"/>
                <w:bCs/>
                <w:sz w:val="16"/>
                <w:szCs w:val="16"/>
              </w:rPr>
              <w:t>,</w:t>
            </w:r>
            <w:r w:rsidRPr="002E3196">
              <w:rPr>
                <w:rFonts w:cstheme="minorHAnsi"/>
                <w:bCs/>
                <w:sz w:val="16"/>
                <w:szCs w:val="16"/>
              </w:rPr>
              <w:t>633</w:t>
            </w:r>
          </w:p>
        </w:tc>
        <w:tc>
          <w:tcPr>
            <w:tcW w:w="2138" w:type="dxa"/>
            <w:noWrap/>
            <w:vAlign w:val="center"/>
            <w:hideMark/>
          </w:tcPr>
          <w:p w14:paraId="1A36C56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£263,963.70</w:t>
            </w:r>
          </w:p>
        </w:tc>
        <w:tc>
          <w:tcPr>
            <w:tcW w:w="2154" w:type="dxa"/>
            <w:noWrap/>
            <w:vAlign w:val="center"/>
            <w:hideMark/>
          </w:tcPr>
          <w:p w14:paraId="4240DC2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£454,232.00</w:t>
            </w:r>
          </w:p>
        </w:tc>
      </w:tr>
      <w:tr w:rsidR="005A04AB" w:rsidRPr="006B3AC6" w14:paraId="694A7424" w14:textId="77777777" w:rsidTr="00780608">
        <w:trPr>
          <w:trHeight w:val="300"/>
        </w:trPr>
        <w:tc>
          <w:tcPr>
            <w:tcW w:w="2414" w:type="dxa"/>
            <w:noWrap/>
            <w:vAlign w:val="center"/>
            <w:hideMark/>
          </w:tcPr>
          <w:p w14:paraId="4E13605B" w14:textId="77777777" w:rsidR="00E54E83" w:rsidRPr="002E3196" w:rsidRDefault="00E54E83">
            <w:pPr>
              <w:spacing w:line="240" w:lineRule="auto"/>
              <w:rPr>
                <w:rFonts w:cstheme="minorHAnsi"/>
                <w:bCs/>
                <w:sz w:val="16"/>
                <w:szCs w:val="16"/>
              </w:rPr>
            </w:pPr>
            <w:r w:rsidRPr="002E3196">
              <w:rPr>
                <w:rFonts w:cstheme="minorHAnsi"/>
                <w:bCs/>
                <w:sz w:val="16"/>
                <w:szCs w:val="16"/>
              </w:rPr>
              <w:t>Good Energy Ltd</w:t>
            </w:r>
          </w:p>
        </w:tc>
        <w:tc>
          <w:tcPr>
            <w:tcW w:w="1918" w:type="dxa"/>
            <w:noWrap/>
            <w:vAlign w:val="center"/>
            <w:hideMark/>
          </w:tcPr>
          <w:p w14:paraId="586468CF" w14:textId="1F7F30E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258</w:t>
            </w:r>
            <w:r w:rsidR="00727FA4">
              <w:rPr>
                <w:rFonts w:cstheme="minorHAnsi"/>
                <w:bCs/>
                <w:sz w:val="16"/>
                <w:szCs w:val="16"/>
              </w:rPr>
              <w:t>,</w:t>
            </w:r>
            <w:r w:rsidRPr="002E3196">
              <w:rPr>
                <w:rFonts w:cstheme="minorHAnsi"/>
                <w:bCs/>
                <w:sz w:val="16"/>
                <w:szCs w:val="16"/>
              </w:rPr>
              <w:t>986</w:t>
            </w:r>
          </w:p>
        </w:tc>
        <w:tc>
          <w:tcPr>
            <w:tcW w:w="1918" w:type="dxa"/>
            <w:noWrap/>
            <w:vAlign w:val="center"/>
            <w:hideMark/>
          </w:tcPr>
          <w:p w14:paraId="1F15C0AB" w14:textId="3F01B22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258</w:t>
            </w:r>
            <w:r w:rsidR="00727FA4">
              <w:rPr>
                <w:rFonts w:cstheme="minorHAnsi"/>
                <w:bCs/>
                <w:sz w:val="16"/>
                <w:szCs w:val="16"/>
              </w:rPr>
              <w:t>,</w:t>
            </w:r>
            <w:r w:rsidRPr="002E3196">
              <w:rPr>
                <w:rFonts w:cstheme="minorHAnsi"/>
                <w:bCs/>
                <w:sz w:val="16"/>
                <w:szCs w:val="16"/>
              </w:rPr>
              <w:t>986</w:t>
            </w:r>
          </w:p>
        </w:tc>
        <w:tc>
          <w:tcPr>
            <w:tcW w:w="2138" w:type="dxa"/>
            <w:noWrap/>
            <w:vAlign w:val="center"/>
            <w:hideMark/>
          </w:tcPr>
          <w:p w14:paraId="208D101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EAE8C5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£1,146,220.00</w:t>
            </w:r>
          </w:p>
        </w:tc>
      </w:tr>
      <w:tr w:rsidR="005A04AB" w:rsidRPr="006B3AC6" w14:paraId="4D75BEF7" w14:textId="77777777" w:rsidTr="00780608">
        <w:trPr>
          <w:trHeight w:val="300"/>
        </w:trPr>
        <w:tc>
          <w:tcPr>
            <w:tcW w:w="2414" w:type="dxa"/>
            <w:noWrap/>
            <w:vAlign w:val="center"/>
            <w:hideMark/>
          </w:tcPr>
          <w:p w14:paraId="68566C0E"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Goto</w:t>
            </w:r>
            <w:proofErr w:type="spellEnd"/>
            <w:r w:rsidRPr="002E3196">
              <w:rPr>
                <w:rFonts w:cstheme="minorHAnsi"/>
                <w:bCs/>
                <w:sz w:val="16"/>
                <w:szCs w:val="16"/>
              </w:rPr>
              <w:t xml:space="preserve"> Energy (UK) Ltd</w:t>
            </w:r>
          </w:p>
        </w:tc>
        <w:tc>
          <w:tcPr>
            <w:tcW w:w="1918" w:type="dxa"/>
            <w:noWrap/>
            <w:vAlign w:val="center"/>
            <w:hideMark/>
          </w:tcPr>
          <w:p w14:paraId="567C5344" w14:textId="3C25115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49</w:t>
            </w:r>
            <w:r w:rsidR="00727FA4">
              <w:rPr>
                <w:rFonts w:cstheme="minorHAnsi"/>
                <w:bCs/>
                <w:sz w:val="16"/>
                <w:szCs w:val="16"/>
              </w:rPr>
              <w:t>,</w:t>
            </w:r>
            <w:r w:rsidRPr="002E3196">
              <w:rPr>
                <w:rFonts w:cstheme="minorHAnsi"/>
                <w:bCs/>
                <w:sz w:val="16"/>
                <w:szCs w:val="16"/>
              </w:rPr>
              <w:t>398</w:t>
            </w:r>
          </w:p>
        </w:tc>
        <w:tc>
          <w:tcPr>
            <w:tcW w:w="1918" w:type="dxa"/>
            <w:noWrap/>
            <w:vAlign w:val="center"/>
            <w:hideMark/>
          </w:tcPr>
          <w:p w14:paraId="7A932D0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B33FAE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42E40B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3541AE5" w14:textId="77777777" w:rsidTr="00780608">
        <w:trPr>
          <w:trHeight w:val="300"/>
        </w:trPr>
        <w:tc>
          <w:tcPr>
            <w:tcW w:w="2414" w:type="dxa"/>
            <w:noWrap/>
            <w:vAlign w:val="center"/>
            <w:hideMark/>
          </w:tcPr>
          <w:p w14:paraId="392BE7B1" w14:textId="77777777" w:rsidR="00E54E83" w:rsidRPr="002E3196" w:rsidRDefault="00E54E83">
            <w:pPr>
              <w:spacing w:line="240" w:lineRule="auto"/>
              <w:rPr>
                <w:rFonts w:cstheme="minorHAnsi"/>
                <w:bCs/>
                <w:sz w:val="16"/>
                <w:szCs w:val="16"/>
              </w:rPr>
            </w:pPr>
            <w:r w:rsidRPr="002E3196">
              <w:rPr>
                <w:rFonts w:cstheme="minorHAnsi"/>
                <w:bCs/>
                <w:sz w:val="16"/>
                <w:szCs w:val="16"/>
              </w:rPr>
              <w:t>Green Energy (UK) plc</w:t>
            </w:r>
          </w:p>
        </w:tc>
        <w:tc>
          <w:tcPr>
            <w:tcW w:w="1918" w:type="dxa"/>
            <w:noWrap/>
            <w:vAlign w:val="center"/>
            <w:hideMark/>
          </w:tcPr>
          <w:p w14:paraId="64644299" w14:textId="0949B06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42</w:t>
            </w:r>
            <w:r w:rsidR="00727FA4">
              <w:rPr>
                <w:rFonts w:cstheme="minorHAnsi"/>
                <w:bCs/>
                <w:sz w:val="16"/>
                <w:szCs w:val="16"/>
              </w:rPr>
              <w:t>,</w:t>
            </w:r>
            <w:r w:rsidRPr="002E3196">
              <w:rPr>
                <w:rFonts w:cstheme="minorHAnsi"/>
                <w:bCs/>
                <w:sz w:val="16"/>
                <w:szCs w:val="16"/>
              </w:rPr>
              <w:t>886</w:t>
            </w:r>
          </w:p>
        </w:tc>
        <w:tc>
          <w:tcPr>
            <w:tcW w:w="1918" w:type="dxa"/>
            <w:noWrap/>
            <w:vAlign w:val="center"/>
            <w:hideMark/>
          </w:tcPr>
          <w:p w14:paraId="755BC47D" w14:textId="754E7DC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42</w:t>
            </w:r>
            <w:r w:rsidR="00727FA4">
              <w:rPr>
                <w:rFonts w:cstheme="minorHAnsi"/>
                <w:bCs/>
                <w:sz w:val="16"/>
                <w:szCs w:val="16"/>
              </w:rPr>
              <w:t>,</w:t>
            </w:r>
            <w:r w:rsidRPr="002E3196">
              <w:rPr>
                <w:rFonts w:cstheme="minorHAnsi"/>
                <w:bCs/>
                <w:sz w:val="16"/>
                <w:szCs w:val="16"/>
              </w:rPr>
              <w:t>886</w:t>
            </w:r>
          </w:p>
        </w:tc>
        <w:tc>
          <w:tcPr>
            <w:tcW w:w="2138" w:type="dxa"/>
            <w:noWrap/>
            <w:vAlign w:val="center"/>
            <w:hideMark/>
          </w:tcPr>
          <w:p w14:paraId="5C8DF89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D871C4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£189,803.00</w:t>
            </w:r>
          </w:p>
        </w:tc>
      </w:tr>
      <w:tr w:rsidR="005A04AB" w:rsidRPr="006B3AC6" w14:paraId="6CB11290" w14:textId="77777777" w:rsidTr="00780608">
        <w:trPr>
          <w:trHeight w:val="300"/>
        </w:trPr>
        <w:tc>
          <w:tcPr>
            <w:tcW w:w="2414" w:type="dxa"/>
            <w:noWrap/>
            <w:vAlign w:val="center"/>
            <w:hideMark/>
          </w:tcPr>
          <w:p w14:paraId="5C9893E3" w14:textId="77777777" w:rsidR="00E54E83" w:rsidRPr="002E3196" w:rsidRDefault="00E54E83">
            <w:pPr>
              <w:spacing w:line="240" w:lineRule="auto"/>
              <w:rPr>
                <w:rFonts w:cstheme="minorHAnsi"/>
                <w:bCs/>
                <w:sz w:val="16"/>
                <w:szCs w:val="16"/>
              </w:rPr>
            </w:pPr>
            <w:r w:rsidRPr="002E3196">
              <w:rPr>
                <w:rFonts w:cstheme="minorHAnsi"/>
                <w:bCs/>
                <w:sz w:val="16"/>
                <w:szCs w:val="16"/>
              </w:rPr>
              <w:t>Green Network Energy LTD</w:t>
            </w:r>
          </w:p>
        </w:tc>
        <w:tc>
          <w:tcPr>
            <w:tcW w:w="1918" w:type="dxa"/>
            <w:noWrap/>
            <w:vAlign w:val="center"/>
            <w:hideMark/>
          </w:tcPr>
          <w:p w14:paraId="646E5D5B" w14:textId="37714E7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597</w:t>
            </w:r>
            <w:r w:rsidR="00727FA4">
              <w:rPr>
                <w:rFonts w:cstheme="minorHAnsi"/>
                <w:bCs/>
                <w:sz w:val="16"/>
                <w:szCs w:val="16"/>
              </w:rPr>
              <w:t>,</w:t>
            </w:r>
            <w:r w:rsidRPr="002E3196">
              <w:rPr>
                <w:rFonts w:cstheme="minorHAnsi"/>
                <w:bCs/>
                <w:sz w:val="16"/>
                <w:szCs w:val="16"/>
              </w:rPr>
              <w:t>259</w:t>
            </w:r>
          </w:p>
        </w:tc>
        <w:tc>
          <w:tcPr>
            <w:tcW w:w="1918" w:type="dxa"/>
            <w:noWrap/>
            <w:vAlign w:val="center"/>
            <w:hideMark/>
          </w:tcPr>
          <w:p w14:paraId="7900497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B10540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£7,497,000.00</w:t>
            </w:r>
          </w:p>
        </w:tc>
        <w:tc>
          <w:tcPr>
            <w:tcW w:w="2154" w:type="dxa"/>
            <w:noWrap/>
            <w:vAlign w:val="center"/>
            <w:hideMark/>
          </w:tcPr>
          <w:p w14:paraId="5C74175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61C6DE2" w14:textId="77777777" w:rsidTr="00780608">
        <w:trPr>
          <w:trHeight w:val="300"/>
        </w:trPr>
        <w:tc>
          <w:tcPr>
            <w:tcW w:w="2414" w:type="dxa"/>
            <w:noWrap/>
            <w:vAlign w:val="center"/>
            <w:hideMark/>
          </w:tcPr>
          <w:p w14:paraId="60221EF6" w14:textId="77777777" w:rsidR="00E54E83" w:rsidRPr="002E3196" w:rsidRDefault="00E54E83">
            <w:pPr>
              <w:spacing w:line="240" w:lineRule="auto"/>
              <w:rPr>
                <w:rFonts w:cstheme="minorHAnsi"/>
                <w:bCs/>
                <w:sz w:val="16"/>
                <w:szCs w:val="16"/>
              </w:rPr>
            </w:pPr>
            <w:r w:rsidRPr="002E3196">
              <w:rPr>
                <w:rFonts w:cstheme="minorHAnsi"/>
                <w:bCs/>
                <w:sz w:val="16"/>
                <w:szCs w:val="16"/>
              </w:rPr>
              <w:t>Green Supplier Ltd</w:t>
            </w:r>
          </w:p>
        </w:tc>
        <w:tc>
          <w:tcPr>
            <w:tcW w:w="1918" w:type="dxa"/>
            <w:noWrap/>
            <w:vAlign w:val="center"/>
            <w:hideMark/>
          </w:tcPr>
          <w:p w14:paraId="180ABEED" w14:textId="19BB672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197</w:t>
            </w:r>
            <w:r w:rsidR="00727FA4">
              <w:rPr>
                <w:rFonts w:cstheme="minorHAnsi"/>
                <w:bCs/>
                <w:sz w:val="16"/>
                <w:szCs w:val="16"/>
              </w:rPr>
              <w:t>,</w:t>
            </w:r>
            <w:r w:rsidRPr="002E3196">
              <w:rPr>
                <w:rFonts w:cstheme="minorHAnsi"/>
                <w:bCs/>
                <w:sz w:val="16"/>
                <w:szCs w:val="16"/>
              </w:rPr>
              <w:t>158</w:t>
            </w:r>
          </w:p>
        </w:tc>
        <w:tc>
          <w:tcPr>
            <w:tcW w:w="1918" w:type="dxa"/>
            <w:noWrap/>
            <w:vAlign w:val="center"/>
            <w:hideMark/>
          </w:tcPr>
          <w:p w14:paraId="6F4B51B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78B3F4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7407B0F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FACC65F" w14:textId="77777777" w:rsidTr="00780608">
        <w:trPr>
          <w:trHeight w:val="550"/>
        </w:trPr>
        <w:tc>
          <w:tcPr>
            <w:tcW w:w="2414" w:type="dxa"/>
            <w:noWrap/>
            <w:vAlign w:val="center"/>
            <w:hideMark/>
          </w:tcPr>
          <w:p w14:paraId="6BB07102" w14:textId="77777777" w:rsidR="00E54E83" w:rsidRPr="002E3196" w:rsidRDefault="00E54E83">
            <w:pPr>
              <w:spacing w:line="240" w:lineRule="auto"/>
              <w:rPr>
                <w:rFonts w:cstheme="minorHAnsi"/>
                <w:bCs/>
                <w:sz w:val="16"/>
                <w:szCs w:val="16"/>
              </w:rPr>
            </w:pPr>
            <w:r w:rsidRPr="002E3196">
              <w:rPr>
                <w:rFonts w:cstheme="minorHAnsi"/>
                <w:bCs/>
                <w:sz w:val="16"/>
                <w:szCs w:val="16"/>
              </w:rPr>
              <w:t>HARTREE PARTNERS SUPPLY (UK) Ltd</w:t>
            </w:r>
          </w:p>
        </w:tc>
        <w:tc>
          <w:tcPr>
            <w:tcW w:w="1918" w:type="dxa"/>
            <w:noWrap/>
            <w:vAlign w:val="center"/>
            <w:hideMark/>
          </w:tcPr>
          <w:p w14:paraId="6AEC47DE" w14:textId="0DBFAB9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C427D2">
              <w:rPr>
                <w:rFonts w:cstheme="minorHAnsi"/>
                <w:bCs/>
                <w:sz w:val="16"/>
                <w:szCs w:val="16"/>
              </w:rPr>
              <w:t>,</w:t>
            </w:r>
            <w:r w:rsidRPr="002E3196">
              <w:rPr>
                <w:rFonts w:cstheme="minorHAnsi"/>
                <w:bCs/>
                <w:sz w:val="16"/>
                <w:szCs w:val="16"/>
              </w:rPr>
              <w:t>437</w:t>
            </w:r>
          </w:p>
        </w:tc>
        <w:tc>
          <w:tcPr>
            <w:tcW w:w="1918" w:type="dxa"/>
            <w:noWrap/>
            <w:vAlign w:val="center"/>
            <w:hideMark/>
          </w:tcPr>
          <w:p w14:paraId="058E1074" w14:textId="1DCDAF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C427D2">
              <w:rPr>
                <w:rFonts w:cstheme="minorHAnsi"/>
                <w:bCs/>
                <w:sz w:val="16"/>
                <w:szCs w:val="16"/>
              </w:rPr>
              <w:t>,</w:t>
            </w:r>
            <w:r w:rsidRPr="002E3196">
              <w:rPr>
                <w:rFonts w:cstheme="minorHAnsi"/>
                <w:bCs/>
                <w:sz w:val="16"/>
                <w:szCs w:val="16"/>
              </w:rPr>
              <w:t>437</w:t>
            </w:r>
          </w:p>
        </w:tc>
        <w:tc>
          <w:tcPr>
            <w:tcW w:w="2138" w:type="dxa"/>
            <w:noWrap/>
            <w:vAlign w:val="center"/>
            <w:hideMark/>
          </w:tcPr>
          <w:p w14:paraId="3619EEE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BEF200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£15,208.00</w:t>
            </w:r>
          </w:p>
        </w:tc>
      </w:tr>
      <w:tr w:rsidR="005A04AB" w:rsidRPr="006B3AC6" w14:paraId="10FECBBA" w14:textId="77777777" w:rsidTr="00780608">
        <w:trPr>
          <w:trHeight w:val="300"/>
        </w:trPr>
        <w:tc>
          <w:tcPr>
            <w:tcW w:w="2414" w:type="dxa"/>
            <w:noWrap/>
            <w:vAlign w:val="center"/>
            <w:hideMark/>
          </w:tcPr>
          <w:p w14:paraId="624300D4" w14:textId="77777777" w:rsidR="00E54E83" w:rsidRPr="002E3196" w:rsidRDefault="00E54E83">
            <w:pPr>
              <w:spacing w:line="240" w:lineRule="auto"/>
              <w:rPr>
                <w:rFonts w:cstheme="minorHAnsi"/>
                <w:bCs/>
                <w:sz w:val="16"/>
                <w:szCs w:val="16"/>
              </w:rPr>
            </w:pPr>
            <w:r w:rsidRPr="002E3196">
              <w:rPr>
                <w:rFonts w:cstheme="minorHAnsi"/>
                <w:bCs/>
                <w:sz w:val="16"/>
                <w:szCs w:val="16"/>
              </w:rPr>
              <w:t>Haven Power Ltd</w:t>
            </w:r>
          </w:p>
        </w:tc>
        <w:tc>
          <w:tcPr>
            <w:tcW w:w="1918" w:type="dxa"/>
            <w:noWrap/>
            <w:vAlign w:val="center"/>
            <w:hideMark/>
          </w:tcPr>
          <w:p w14:paraId="3F83A872" w14:textId="42946BE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C427D2">
              <w:rPr>
                <w:rFonts w:cstheme="minorHAnsi"/>
                <w:bCs/>
                <w:sz w:val="16"/>
                <w:szCs w:val="16"/>
              </w:rPr>
              <w:t>,</w:t>
            </w:r>
            <w:r w:rsidRPr="002E3196">
              <w:rPr>
                <w:rFonts w:cstheme="minorHAnsi"/>
                <w:bCs/>
                <w:sz w:val="16"/>
                <w:szCs w:val="16"/>
              </w:rPr>
              <w:t>907</w:t>
            </w:r>
            <w:r w:rsidR="00C427D2">
              <w:rPr>
                <w:rFonts w:cstheme="minorHAnsi"/>
                <w:bCs/>
                <w:sz w:val="16"/>
                <w:szCs w:val="16"/>
              </w:rPr>
              <w:t>,</w:t>
            </w:r>
            <w:r w:rsidRPr="002E3196">
              <w:rPr>
                <w:rFonts w:cstheme="minorHAnsi"/>
                <w:bCs/>
                <w:sz w:val="16"/>
                <w:szCs w:val="16"/>
              </w:rPr>
              <w:t>973</w:t>
            </w:r>
          </w:p>
        </w:tc>
        <w:tc>
          <w:tcPr>
            <w:tcW w:w="1918" w:type="dxa"/>
            <w:noWrap/>
            <w:vAlign w:val="center"/>
            <w:hideMark/>
          </w:tcPr>
          <w:p w14:paraId="38E1F8AD" w14:textId="0BAB542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C427D2">
              <w:rPr>
                <w:rFonts w:cstheme="minorHAnsi"/>
                <w:bCs/>
                <w:sz w:val="16"/>
                <w:szCs w:val="16"/>
              </w:rPr>
              <w:t>,</w:t>
            </w:r>
            <w:r w:rsidRPr="002E3196">
              <w:rPr>
                <w:rFonts w:cstheme="minorHAnsi"/>
                <w:bCs/>
                <w:sz w:val="16"/>
                <w:szCs w:val="16"/>
              </w:rPr>
              <w:t>907</w:t>
            </w:r>
            <w:r w:rsidR="00C427D2">
              <w:rPr>
                <w:rFonts w:cstheme="minorHAnsi"/>
                <w:bCs/>
                <w:sz w:val="16"/>
                <w:szCs w:val="16"/>
              </w:rPr>
              <w:t>,</w:t>
            </w:r>
            <w:r w:rsidRPr="002E3196">
              <w:rPr>
                <w:rFonts w:cstheme="minorHAnsi"/>
                <w:bCs/>
                <w:sz w:val="16"/>
                <w:szCs w:val="16"/>
              </w:rPr>
              <w:t>973</w:t>
            </w:r>
          </w:p>
        </w:tc>
        <w:tc>
          <w:tcPr>
            <w:tcW w:w="2138" w:type="dxa"/>
            <w:noWrap/>
            <w:vAlign w:val="center"/>
            <w:hideMark/>
          </w:tcPr>
          <w:p w14:paraId="500DE7D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08387D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£21,721,774.00</w:t>
            </w:r>
          </w:p>
        </w:tc>
      </w:tr>
      <w:tr w:rsidR="005A04AB" w:rsidRPr="006B3AC6" w14:paraId="521DD472" w14:textId="77777777" w:rsidTr="00780608">
        <w:trPr>
          <w:trHeight w:val="300"/>
        </w:trPr>
        <w:tc>
          <w:tcPr>
            <w:tcW w:w="2414" w:type="dxa"/>
            <w:noWrap/>
            <w:vAlign w:val="center"/>
            <w:hideMark/>
          </w:tcPr>
          <w:p w14:paraId="19DA4DC7" w14:textId="77777777" w:rsidR="00E54E83" w:rsidRPr="002E3196" w:rsidRDefault="00E54E83">
            <w:pPr>
              <w:spacing w:line="240" w:lineRule="auto"/>
              <w:rPr>
                <w:rFonts w:cstheme="minorHAnsi"/>
                <w:bCs/>
                <w:sz w:val="16"/>
                <w:szCs w:val="16"/>
              </w:rPr>
            </w:pPr>
            <w:r w:rsidRPr="002E3196">
              <w:rPr>
                <w:rFonts w:cstheme="minorHAnsi"/>
                <w:bCs/>
                <w:sz w:val="16"/>
                <w:szCs w:val="16"/>
              </w:rPr>
              <w:t>Home Energy Trading Ltd</w:t>
            </w:r>
          </w:p>
        </w:tc>
        <w:tc>
          <w:tcPr>
            <w:tcW w:w="1918" w:type="dxa"/>
            <w:noWrap/>
            <w:vAlign w:val="center"/>
            <w:hideMark/>
          </w:tcPr>
          <w:p w14:paraId="66E68F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w:t>
            </w:r>
          </w:p>
        </w:tc>
        <w:tc>
          <w:tcPr>
            <w:tcW w:w="1918" w:type="dxa"/>
            <w:noWrap/>
            <w:vAlign w:val="center"/>
            <w:hideMark/>
          </w:tcPr>
          <w:p w14:paraId="3618408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B705A4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£2,263.26</w:t>
            </w:r>
          </w:p>
        </w:tc>
        <w:tc>
          <w:tcPr>
            <w:tcW w:w="2154" w:type="dxa"/>
            <w:noWrap/>
            <w:vAlign w:val="center"/>
            <w:hideMark/>
          </w:tcPr>
          <w:p w14:paraId="00442A7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AA5DEB7" w14:textId="77777777" w:rsidTr="00780608">
        <w:trPr>
          <w:trHeight w:val="300"/>
        </w:trPr>
        <w:tc>
          <w:tcPr>
            <w:tcW w:w="2414" w:type="dxa"/>
            <w:noWrap/>
            <w:vAlign w:val="center"/>
            <w:hideMark/>
          </w:tcPr>
          <w:p w14:paraId="5D6C029D" w14:textId="77777777" w:rsidR="00E54E83" w:rsidRPr="002E3196" w:rsidRDefault="00E54E83">
            <w:pPr>
              <w:spacing w:line="240" w:lineRule="auto"/>
              <w:rPr>
                <w:rFonts w:cstheme="minorHAnsi"/>
                <w:bCs/>
                <w:sz w:val="16"/>
                <w:szCs w:val="16"/>
              </w:rPr>
            </w:pPr>
            <w:r w:rsidRPr="002E3196">
              <w:rPr>
                <w:rFonts w:cstheme="minorHAnsi"/>
                <w:bCs/>
                <w:sz w:val="16"/>
                <w:szCs w:val="16"/>
              </w:rPr>
              <w:t>I Supply Energy Ltd</w:t>
            </w:r>
          </w:p>
        </w:tc>
        <w:tc>
          <w:tcPr>
            <w:tcW w:w="1918" w:type="dxa"/>
            <w:noWrap/>
            <w:vAlign w:val="center"/>
            <w:hideMark/>
          </w:tcPr>
          <w:p w14:paraId="13AD2A2A" w14:textId="3AA0CCE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w:t>
            </w:r>
            <w:r w:rsidR="00C427D2">
              <w:rPr>
                <w:rFonts w:cstheme="minorHAnsi"/>
                <w:bCs/>
                <w:sz w:val="16"/>
                <w:szCs w:val="16"/>
              </w:rPr>
              <w:t>,</w:t>
            </w:r>
            <w:r w:rsidRPr="002E3196">
              <w:rPr>
                <w:rFonts w:cstheme="minorHAnsi"/>
                <w:bCs/>
                <w:sz w:val="16"/>
                <w:szCs w:val="16"/>
              </w:rPr>
              <w:t>270</w:t>
            </w:r>
          </w:p>
        </w:tc>
        <w:tc>
          <w:tcPr>
            <w:tcW w:w="1918" w:type="dxa"/>
            <w:noWrap/>
            <w:vAlign w:val="center"/>
            <w:hideMark/>
          </w:tcPr>
          <w:p w14:paraId="75373AA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2D2687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£914,413.50</w:t>
            </w:r>
          </w:p>
        </w:tc>
        <w:tc>
          <w:tcPr>
            <w:tcW w:w="2154" w:type="dxa"/>
            <w:noWrap/>
            <w:vAlign w:val="center"/>
            <w:hideMark/>
          </w:tcPr>
          <w:p w14:paraId="3CFDAB6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2B92B4B" w14:textId="77777777" w:rsidTr="00780608">
        <w:trPr>
          <w:trHeight w:val="300"/>
        </w:trPr>
        <w:tc>
          <w:tcPr>
            <w:tcW w:w="2414" w:type="dxa"/>
            <w:noWrap/>
            <w:vAlign w:val="center"/>
            <w:hideMark/>
          </w:tcPr>
          <w:p w14:paraId="785E112E" w14:textId="77777777" w:rsidR="00E54E83" w:rsidRPr="002E3196" w:rsidRDefault="00E54E83">
            <w:pPr>
              <w:spacing w:line="240" w:lineRule="auto"/>
              <w:rPr>
                <w:rFonts w:cstheme="minorHAnsi"/>
                <w:bCs/>
                <w:sz w:val="16"/>
                <w:szCs w:val="16"/>
              </w:rPr>
            </w:pPr>
            <w:r w:rsidRPr="002E3196">
              <w:rPr>
                <w:rFonts w:cstheme="minorHAnsi"/>
                <w:bCs/>
                <w:sz w:val="16"/>
                <w:szCs w:val="16"/>
              </w:rPr>
              <w:t>Igloo Energy Supply Ltd</w:t>
            </w:r>
          </w:p>
        </w:tc>
        <w:tc>
          <w:tcPr>
            <w:tcW w:w="1918" w:type="dxa"/>
            <w:noWrap/>
            <w:vAlign w:val="center"/>
            <w:hideMark/>
          </w:tcPr>
          <w:p w14:paraId="4BC617D5" w14:textId="2D840AF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312</w:t>
            </w:r>
            <w:r w:rsidR="00C427D2">
              <w:rPr>
                <w:rFonts w:cstheme="minorHAnsi"/>
                <w:bCs/>
                <w:sz w:val="16"/>
                <w:szCs w:val="16"/>
              </w:rPr>
              <w:t>,</w:t>
            </w:r>
            <w:r w:rsidRPr="002E3196">
              <w:rPr>
                <w:rFonts w:cstheme="minorHAnsi"/>
                <w:bCs/>
                <w:sz w:val="16"/>
                <w:szCs w:val="16"/>
              </w:rPr>
              <w:t>987</w:t>
            </w:r>
          </w:p>
        </w:tc>
        <w:tc>
          <w:tcPr>
            <w:tcW w:w="1918" w:type="dxa"/>
            <w:noWrap/>
            <w:vAlign w:val="center"/>
            <w:hideMark/>
          </w:tcPr>
          <w:p w14:paraId="098D259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6E8CCB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C01F8F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3FA72A8" w14:textId="77777777" w:rsidTr="00780608">
        <w:trPr>
          <w:trHeight w:val="300"/>
        </w:trPr>
        <w:tc>
          <w:tcPr>
            <w:tcW w:w="2414" w:type="dxa"/>
            <w:noWrap/>
            <w:vAlign w:val="center"/>
            <w:hideMark/>
          </w:tcPr>
          <w:p w14:paraId="74BEB6FB" w14:textId="77777777" w:rsidR="00E54E83" w:rsidRPr="002E3196" w:rsidRDefault="00E54E83">
            <w:pPr>
              <w:spacing w:line="240" w:lineRule="auto"/>
              <w:rPr>
                <w:rFonts w:cstheme="minorHAnsi"/>
                <w:bCs/>
                <w:sz w:val="16"/>
                <w:szCs w:val="16"/>
              </w:rPr>
            </w:pPr>
            <w:r w:rsidRPr="002E3196">
              <w:rPr>
                <w:rFonts w:cstheme="minorHAnsi"/>
                <w:bCs/>
                <w:sz w:val="16"/>
                <w:szCs w:val="16"/>
              </w:rPr>
              <w:t>Kensington Power Ltd</w:t>
            </w:r>
          </w:p>
        </w:tc>
        <w:tc>
          <w:tcPr>
            <w:tcW w:w="1918" w:type="dxa"/>
            <w:noWrap/>
            <w:vAlign w:val="center"/>
            <w:hideMark/>
          </w:tcPr>
          <w:p w14:paraId="537EBA1C" w14:textId="2CA097C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230</w:t>
            </w:r>
            <w:r w:rsidR="00C427D2">
              <w:rPr>
                <w:rFonts w:cstheme="minorHAnsi"/>
                <w:bCs/>
                <w:sz w:val="16"/>
                <w:szCs w:val="16"/>
              </w:rPr>
              <w:t>,</w:t>
            </w:r>
            <w:r w:rsidRPr="002E3196">
              <w:rPr>
                <w:rFonts w:cstheme="minorHAnsi"/>
                <w:bCs/>
                <w:sz w:val="16"/>
                <w:szCs w:val="16"/>
              </w:rPr>
              <w:t>644</w:t>
            </w:r>
          </w:p>
        </w:tc>
        <w:tc>
          <w:tcPr>
            <w:tcW w:w="1918" w:type="dxa"/>
            <w:noWrap/>
            <w:vAlign w:val="center"/>
            <w:hideMark/>
          </w:tcPr>
          <w:p w14:paraId="3FB6B8FC" w14:textId="27EBC61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172</w:t>
            </w:r>
            <w:r w:rsidR="00C427D2">
              <w:rPr>
                <w:rFonts w:cstheme="minorHAnsi"/>
                <w:bCs/>
                <w:sz w:val="16"/>
                <w:szCs w:val="16"/>
              </w:rPr>
              <w:t>,</w:t>
            </w:r>
            <w:r w:rsidRPr="002E3196">
              <w:rPr>
                <w:rFonts w:cstheme="minorHAnsi"/>
                <w:bCs/>
                <w:sz w:val="16"/>
                <w:szCs w:val="16"/>
              </w:rPr>
              <w:t>741</w:t>
            </w:r>
          </w:p>
        </w:tc>
        <w:tc>
          <w:tcPr>
            <w:tcW w:w="2138" w:type="dxa"/>
            <w:noWrap/>
            <w:vAlign w:val="center"/>
            <w:hideMark/>
          </w:tcPr>
          <w:p w14:paraId="5FE37C3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£2,898,045.15</w:t>
            </w:r>
          </w:p>
        </w:tc>
        <w:tc>
          <w:tcPr>
            <w:tcW w:w="2154" w:type="dxa"/>
            <w:noWrap/>
            <w:vAlign w:val="center"/>
            <w:hideMark/>
          </w:tcPr>
          <w:p w14:paraId="3520BCD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£764,518.00</w:t>
            </w:r>
          </w:p>
        </w:tc>
      </w:tr>
      <w:tr w:rsidR="005A04AB" w:rsidRPr="006B3AC6" w14:paraId="1172D9BD" w14:textId="77777777" w:rsidTr="00780608">
        <w:trPr>
          <w:trHeight w:val="300"/>
        </w:trPr>
        <w:tc>
          <w:tcPr>
            <w:tcW w:w="2414" w:type="dxa"/>
            <w:noWrap/>
            <w:vAlign w:val="center"/>
            <w:hideMark/>
          </w:tcPr>
          <w:p w14:paraId="7A0D60FB"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Limejump</w:t>
            </w:r>
            <w:proofErr w:type="spellEnd"/>
            <w:r w:rsidRPr="002E3196">
              <w:rPr>
                <w:rFonts w:cstheme="minorHAnsi"/>
                <w:bCs/>
                <w:sz w:val="16"/>
                <w:szCs w:val="16"/>
              </w:rPr>
              <w:t xml:space="preserve"> Energy Ltd</w:t>
            </w:r>
          </w:p>
        </w:tc>
        <w:tc>
          <w:tcPr>
            <w:tcW w:w="1918" w:type="dxa"/>
            <w:noWrap/>
            <w:vAlign w:val="center"/>
            <w:hideMark/>
          </w:tcPr>
          <w:p w14:paraId="6E4E8819" w14:textId="727D2D3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C427D2">
              <w:rPr>
                <w:rFonts w:cstheme="minorHAnsi"/>
                <w:bCs/>
                <w:sz w:val="16"/>
                <w:szCs w:val="16"/>
              </w:rPr>
              <w:t>,</w:t>
            </w:r>
            <w:r w:rsidRPr="002E3196">
              <w:rPr>
                <w:rFonts w:cstheme="minorHAnsi"/>
                <w:bCs/>
                <w:sz w:val="16"/>
                <w:szCs w:val="16"/>
              </w:rPr>
              <w:t>237</w:t>
            </w:r>
          </w:p>
        </w:tc>
        <w:tc>
          <w:tcPr>
            <w:tcW w:w="1918" w:type="dxa"/>
            <w:noWrap/>
            <w:vAlign w:val="center"/>
            <w:hideMark/>
          </w:tcPr>
          <w:p w14:paraId="55C81E4B" w14:textId="761A0E0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C427D2">
              <w:rPr>
                <w:rFonts w:cstheme="minorHAnsi"/>
                <w:bCs/>
                <w:sz w:val="16"/>
                <w:szCs w:val="16"/>
              </w:rPr>
              <w:t>,</w:t>
            </w:r>
            <w:r w:rsidRPr="002E3196">
              <w:rPr>
                <w:rFonts w:cstheme="minorHAnsi"/>
                <w:bCs/>
                <w:sz w:val="16"/>
                <w:szCs w:val="16"/>
              </w:rPr>
              <w:t>237</w:t>
            </w:r>
          </w:p>
        </w:tc>
        <w:tc>
          <w:tcPr>
            <w:tcW w:w="2138" w:type="dxa"/>
            <w:noWrap/>
            <w:vAlign w:val="center"/>
            <w:hideMark/>
          </w:tcPr>
          <w:p w14:paraId="793EFCC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074873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£14,323.00</w:t>
            </w:r>
          </w:p>
        </w:tc>
      </w:tr>
      <w:tr w:rsidR="005A04AB" w:rsidRPr="006B3AC6" w14:paraId="3C386DB7" w14:textId="77777777" w:rsidTr="00780608">
        <w:trPr>
          <w:trHeight w:val="300"/>
        </w:trPr>
        <w:tc>
          <w:tcPr>
            <w:tcW w:w="2414" w:type="dxa"/>
            <w:noWrap/>
            <w:vAlign w:val="center"/>
            <w:hideMark/>
          </w:tcPr>
          <w:p w14:paraId="7E17DBF5"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Logicor</w:t>
            </w:r>
            <w:proofErr w:type="spellEnd"/>
            <w:r w:rsidRPr="002E3196">
              <w:rPr>
                <w:rFonts w:cstheme="minorHAnsi"/>
                <w:bCs/>
                <w:sz w:val="16"/>
                <w:szCs w:val="16"/>
              </w:rPr>
              <w:t xml:space="preserve"> Energy Ltd</w:t>
            </w:r>
          </w:p>
        </w:tc>
        <w:tc>
          <w:tcPr>
            <w:tcW w:w="1918" w:type="dxa"/>
            <w:noWrap/>
            <w:vAlign w:val="center"/>
            <w:hideMark/>
          </w:tcPr>
          <w:p w14:paraId="745E497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185</w:t>
            </w:r>
          </w:p>
        </w:tc>
        <w:tc>
          <w:tcPr>
            <w:tcW w:w="1918" w:type="dxa"/>
            <w:noWrap/>
            <w:vAlign w:val="center"/>
            <w:hideMark/>
          </w:tcPr>
          <w:p w14:paraId="60353B6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5351B9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£9,259.25</w:t>
            </w:r>
          </w:p>
        </w:tc>
        <w:tc>
          <w:tcPr>
            <w:tcW w:w="2154" w:type="dxa"/>
            <w:noWrap/>
            <w:vAlign w:val="center"/>
            <w:hideMark/>
          </w:tcPr>
          <w:p w14:paraId="1171222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DCA9DDA" w14:textId="77777777" w:rsidTr="00780608">
        <w:trPr>
          <w:trHeight w:val="300"/>
        </w:trPr>
        <w:tc>
          <w:tcPr>
            <w:tcW w:w="2414" w:type="dxa"/>
            <w:noWrap/>
            <w:vAlign w:val="center"/>
            <w:hideMark/>
          </w:tcPr>
          <w:p w14:paraId="5BD5D1C2" w14:textId="77777777" w:rsidR="00E54E83" w:rsidRPr="002E3196" w:rsidRDefault="00E54E83">
            <w:pPr>
              <w:spacing w:line="240" w:lineRule="auto"/>
              <w:rPr>
                <w:rFonts w:cstheme="minorHAnsi"/>
                <w:bCs/>
                <w:sz w:val="16"/>
                <w:szCs w:val="16"/>
              </w:rPr>
            </w:pPr>
            <w:r w:rsidRPr="002E3196">
              <w:rPr>
                <w:rFonts w:cstheme="minorHAnsi"/>
                <w:bCs/>
                <w:sz w:val="16"/>
                <w:szCs w:val="16"/>
              </w:rPr>
              <w:t>MA Energy Ltd</w:t>
            </w:r>
          </w:p>
        </w:tc>
        <w:tc>
          <w:tcPr>
            <w:tcW w:w="1918" w:type="dxa"/>
            <w:noWrap/>
            <w:vAlign w:val="center"/>
            <w:hideMark/>
          </w:tcPr>
          <w:p w14:paraId="34DCD5DF" w14:textId="20281DFB" w:rsidR="00E54E83" w:rsidRPr="002E3196" w:rsidRDefault="00E54E83" w:rsidP="00780608">
            <w:pPr>
              <w:spacing w:line="240" w:lineRule="auto"/>
              <w:jc w:val="right"/>
              <w:rPr>
                <w:rFonts w:cstheme="minorHAnsi"/>
                <w:bCs/>
                <w:sz w:val="16"/>
                <w:szCs w:val="16"/>
              </w:rPr>
            </w:pPr>
            <w:r w:rsidRPr="005F54C5">
              <w:rPr>
                <w:rFonts w:cstheme="minorHAnsi"/>
                <w:bCs/>
                <w:sz w:val="16"/>
                <w:szCs w:val="16"/>
              </w:rPr>
              <w:t>29</w:t>
            </w:r>
            <w:r w:rsidR="00C427D2">
              <w:rPr>
                <w:rFonts w:cstheme="minorHAnsi"/>
                <w:bCs/>
                <w:sz w:val="16"/>
                <w:szCs w:val="16"/>
              </w:rPr>
              <w:t>,</w:t>
            </w:r>
            <w:r w:rsidRPr="005F54C5">
              <w:rPr>
                <w:rFonts w:cstheme="minorHAnsi"/>
                <w:bCs/>
                <w:sz w:val="16"/>
                <w:szCs w:val="16"/>
              </w:rPr>
              <w:t>770</w:t>
            </w:r>
          </w:p>
        </w:tc>
        <w:tc>
          <w:tcPr>
            <w:tcW w:w="1918" w:type="dxa"/>
            <w:noWrap/>
            <w:vAlign w:val="center"/>
            <w:hideMark/>
          </w:tcPr>
          <w:p w14:paraId="1705900D" w14:textId="77777777" w:rsidR="00E54E83" w:rsidRPr="002E3196" w:rsidRDefault="00E54E83" w:rsidP="00780608">
            <w:pPr>
              <w:spacing w:line="240" w:lineRule="auto"/>
              <w:jc w:val="right"/>
              <w:rPr>
                <w:rFonts w:cstheme="minorHAnsi"/>
                <w:bCs/>
                <w:sz w:val="16"/>
                <w:szCs w:val="16"/>
              </w:rPr>
            </w:pPr>
            <w:r w:rsidRPr="005F54C5">
              <w:rPr>
                <w:rFonts w:cstheme="minorHAnsi"/>
                <w:bCs/>
                <w:sz w:val="16"/>
                <w:szCs w:val="16"/>
              </w:rPr>
              <w:t>0</w:t>
            </w:r>
          </w:p>
        </w:tc>
        <w:tc>
          <w:tcPr>
            <w:tcW w:w="2138" w:type="dxa"/>
            <w:noWrap/>
            <w:vAlign w:val="center"/>
            <w:hideMark/>
          </w:tcPr>
          <w:p w14:paraId="4B73F380" w14:textId="77777777" w:rsidR="00E54E83" w:rsidRPr="002E3196" w:rsidRDefault="00E54E83" w:rsidP="00780608">
            <w:pPr>
              <w:spacing w:line="240" w:lineRule="auto"/>
              <w:jc w:val="right"/>
              <w:rPr>
                <w:rFonts w:cstheme="minorHAnsi"/>
                <w:bCs/>
                <w:sz w:val="16"/>
                <w:szCs w:val="16"/>
              </w:rPr>
            </w:pPr>
            <w:r w:rsidRPr="005F54C5">
              <w:rPr>
                <w:rFonts w:cstheme="minorHAnsi"/>
                <w:bCs/>
                <w:sz w:val="16"/>
                <w:szCs w:val="16"/>
              </w:rPr>
              <w:t>£550,644.50</w:t>
            </w:r>
          </w:p>
        </w:tc>
        <w:tc>
          <w:tcPr>
            <w:tcW w:w="2154" w:type="dxa"/>
            <w:noWrap/>
            <w:vAlign w:val="center"/>
            <w:hideMark/>
          </w:tcPr>
          <w:p w14:paraId="3A5158DB" w14:textId="77777777" w:rsidR="00E54E83" w:rsidRPr="002E3196" w:rsidRDefault="00E54E83" w:rsidP="00780608">
            <w:pPr>
              <w:spacing w:line="240" w:lineRule="auto"/>
              <w:jc w:val="right"/>
              <w:rPr>
                <w:rFonts w:cstheme="minorHAnsi"/>
                <w:bCs/>
                <w:sz w:val="16"/>
                <w:szCs w:val="16"/>
              </w:rPr>
            </w:pPr>
            <w:r w:rsidRPr="005F54C5">
              <w:rPr>
                <w:rFonts w:cstheme="minorHAnsi"/>
                <w:bCs/>
                <w:sz w:val="16"/>
                <w:szCs w:val="16"/>
              </w:rPr>
              <w:t>£0.00</w:t>
            </w:r>
          </w:p>
        </w:tc>
      </w:tr>
      <w:tr w:rsidR="005A04AB" w:rsidRPr="006B3AC6" w14:paraId="116131BA" w14:textId="77777777" w:rsidTr="00780608">
        <w:trPr>
          <w:trHeight w:val="300"/>
        </w:trPr>
        <w:tc>
          <w:tcPr>
            <w:tcW w:w="2414" w:type="dxa"/>
            <w:noWrap/>
            <w:vAlign w:val="center"/>
            <w:hideMark/>
          </w:tcPr>
          <w:p w14:paraId="41169B4C" w14:textId="77777777" w:rsidR="00E54E83" w:rsidRPr="002E3196" w:rsidRDefault="00E54E83">
            <w:pPr>
              <w:spacing w:line="240" w:lineRule="auto"/>
              <w:rPr>
                <w:rFonts w:cstheme="minorHAnsi"/>
                <w:bCs/>
                <w:sz w:val="16"/>
                <w:szCs w:val="16"/>
              </w:rPr>
            </w:pPr>
            <w:r w:rsidRPr="002E3196">
              <w:rPr>
                <w:rFonts w:cstheme="minorHAnsi"/>
                <w:bCs/>
                <w:sz w:val="16"/>
                <w:szCs w:val="16"/>
              </w:rPr>
              <w:t>Marble Power Ltd</w:t>
            </w:r>
          </w:p>
        </w:tc>
        <w:tc>
          <w:tcPr>
            <w:tcW w:w="1918" w:type="dxa"/>
            <w:noWrap/>
            <w:vAlign w:val="center"/>
            <w:hideMark/>
          </w:tcPr>
          <w:p w14:paraId="1B508A0E" w14:textId="2B4FA60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136</w:t>
            </w:r>
            <w:r w:rsidR="00C427D2">
              <w:rPr>
                <w:rFonts w:cstheme="minorHAnsi"/>
                <w:bCs/>
                <w:sz w:val="16"/>
                <w:szCs w:val="16"/>
              </w:rPr>
              <w:t>,</w:t>
            </w:r>
            <w:r w:rsidRPr="002E3196">
              <w:rPr>
                <w:rFonts w:cstheme="minorHAnsi"/>
                <w:bCs/>
                <w:sz w:val="16"/>
                <w:szCs w:val="16"/>
              </w:rPr>
              <w:t>347</w:t>
            </w:r>
          </w:p>
        </w:tc>
        <w:tc>
          <w:tcPr>
            <w:tcW w:w="1918" w:type="dxa"/>
            <w:noWrap/>
            <w:vAlign w:val="center"/>
            <w:hideMark/>
          </w:tcPr>
          <w:p w14:paraId="7BCCED9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FC37DA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£6,852,296.42</w:t>
            </w:r>
          </w:p>
        </w:tc>
        <w:tc>
          <w:tcPr>
            <w:tcW w:w="2154" w:type="dxa"/>
            <w:noWrap/>
            <w:vAlign w:val="center"/>
            <w:hideMark/>
          </w:tcPr>
          <w:p w14:paraId="09B8CB7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B8C2FAA" w14:textId="77777777" w:rsidTr="00780608">
        <w:trPr>
          <w:trHeight w:val="300"/>
        </w:trPr>
        <w:tc>
          <w:tcPr>
            <w:tcW w:w="2414" w:type="dxa"/>
            <w:noWrap/>
            <w:vAlign w:val="center"/>
            <w:hideMark/>
          </w:tcPr>
          <w:p w14:paraId="58BD5C39"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Maxen</w:t>
            </w:r>
            <w:proofErr w:type="spellEnd"/>
            <w:r w:rsidRPr="002E3196">
              <w:rPr>
                <w:rFonts w:cstheme="minorHAnsi"/>
                <w:bCs/>
                <w:sz w:val="16"/>
                <w:szCs w:val="16"/>
              </w:rPr>
              <w:t xml:space="preserve"> Power supply Ltd</w:t>
            </w:r>
          </w:p>
        </w:tc>
        <w:tc>
          <w:tcPr>
            <w:tcW w:w="1918" w:type="dxa"/>
            <w:noWrap/>
            <w:vAlign w:val="center"/>
            <w:hideMark/>
          </w:tcPr>
          <w:p w14:paraId="7387E4A0" w14:textId="3B66433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w:t>
            </w:r>
            <w:r w:rsidR="00C427D2">
              <w:rPr>
                <w:rFonts w:cstheme="minorHAnsi"/>
                <w:bCs/>
                <w:sz w:val="16"/>
                <w:szCs w:val="16"/>
              </w:rPr>
              <w:t>,</w:t>
            </w:r>
            <w:r w:rsidRPr="002E3196">
              <w:rPr>
                <w:rFonts w:cstheme="minorHAnsi"/>
                <w:bCs/>
                <w:sz w:val="16"/>
                <w:szCs w:val="16"/>
              </w:rPr>
              <w:t>034</w:t>
            </w:r>
          </w:p>
        </w:tc>
        <w:tc>
          <w:tcPr>
            <w:tcW w:w="1918" w:type="dxa"/>
            <w:noWrap/>
            <w:vAlign w:val="center"/>
            <w:hideMark/>
          </w:tcPr>
          <w:p w14:paraId="3F5AB9D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69981A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£602,301.72</w:t>
            </w:r>
          </w:p>
        </w:tc>
        <w:tc>
          <w:tcPr>
            <w:tcW w:w="2154" w:type="dxa"/>
            <w:noWrap/>
            <w:vAlign w:val="center"/>
            <w:hideMark/>
          </w:tcPr>
          <w:p w14:paraId="1A0F646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BE7B180" w14:textId="77777777" w:rsidTr="00780608">
        <w:trPr>
          <w:trHeight w:val="300"/>
        </w:trPr>
        <w:tc>
          <w:tcPr>
            <w:tcW w:w="2414" w:type="dxa"/>
            <w:noWrap/>
            <w:vAlign w:val="center"/>
            <w:hideMark/>
          </w:tcPr>
          <w:p w14:paraId="2C0D81F2" w14:textId="77777777" w:rsidR="00E54E83" w:rsidRPr="002E3196" w:rsidRDefault="00E54E83">
            <w:pPr>
              <w:spacing w:line="240" w:lineRule="auto"/>
              <w:rPr>
                <w:rFonts w:cstheme="minorHAnsi"/>
                <w:bCs/>
                <w:sz w:val="16"/>
                <w:szCs w:val="16"/>
              </w:rPr>
            </w:pPr>
            <w:r w:rsidRPr="002E3196">
              <w:rPr>
                <w:rFonts w:cstheme="minorHAnsi"/>
                <w:bCs/>
                <w:sz w:val="16"/>
                <w:szCs w:val="16"/>
              </w:rPr>
              <w:lastRenderedPageBreak/>
              <w:t>Mint</w:t>
            </w:r>
          </w:p>
        </w:tc>
        <w:tc>
          <w:tcPr>
            <w:tcW w:w="1918" w:type="dxa"/>
            <w:noWrap/>
            <w:vAlign w:val="center"/>
            <w:hideMark/>
          </w:tcPr>
          <w:p w14:paraId="1D3EFE0D" w14:textId="7623F03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6F65DF">
              <w:rPr>
                <w:rFonts w:cstheme="minorHAnsi"/>
                <w:bCs/>
                <w:sz w:val="16"/>
                <w:szCs w:val="16"/>
              </w:rPr>
              <w:t>,</w:t>
            </w:r>
            <w:r w:rsidRPr="002E3196">
              <w:rPr>
                <w:rFonts w:cstheme="minorHAnsi"/>
                <w:bCs/>
                <w:sz w:val="16"/>
                <w:szCs w:val="16"/>
              </w:rPr>
              <w:t>449</w:t>
            </w:r>
          </w:p>
        </w:tc>
        <w:tc>
          <w:tcPr>
            <w:tcW w:w="1918" w:type="dxa"/>
            <w:noWrap/>
            <w:vAlign w:val="center"/>
            <w:hideMark/>
          </w:tcPr>
          <w:p w14:paraId="14A50A1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A811E9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£72,522.45</w:t>
            </w:r>
          </w:p>
        </w:tc>
        <w:tc>
          <w:tcPr>
            <w:tcW w:w="2154" w:type="dxa"/>
            <w:noWrap/>
            <w:vAlign w:val="center"/>
            <w:hideMark/>
          </w:tcPr>
          <w:p w14:paraId="667FB24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9E8A345" w14:textId="77777777" w:rsidTr="00780608">
        <w:trPr>
          <w:trHeight w:val="300"/>
        </w:trPr>
        <w:tc>
          <w:tcPr>
            <w:tcW w:w="2414" w:type="dxa"/>
            <w:noWrap/>
            <w:vAlign w:val="center"/>
            <w:hideMark/>
          </w:tcPr>
          <w:p w14:paraId="12915591" w14:textId="77777777" w:rsidR="00E54E83" w:rsidRPr="002E3196" w:rsidRDefault="00E54E83">
            <w:pPr>
              <w:spacing w:line="240" w:lineRule="auto"/>
              <w:rPr>
                <w:rFonts w:cstheme="minorHAnsi"/>
                <w:bCs/>
                <w:sz w:val="16"/>
                <w:szCs w:val="16"/>
              </w:rPr>
            </w:pPr>
            <w:r w:rsidRPr="002E3196">
              <w:rPr>
                <w:rFonts w:cstheme="minorHAnsi"/>
                <w:bCs/>
                <w:sz w:val="16"/>
                <w:szCs w:val="16"/>
              </w:rPr>
              <w:t>Mississippi Energy Ltd</w:t>
            </w:r>
          </w:p>
        </w:tc>
        <w:tc>
          <w:tcPr>
            <w:tcW w:w="1918" w:type="dxa"/>
            <w:noWrap/>
            <w:vAlign w:val="center"/>
            <w:hideMark/>
          </w:tcPr>
          <w:p w14:paraId="6C8C5BE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p>
        </w:tc>
        <w:tc>
          <w:tcPr>
            <w:tcW w:w="1918" w:type="dxa"/>
            <w:noWrap/>
            <w:vAlign w:val="center"/>
            <w:hideMark/>
          </w:tcPr>
          <w:p w14:paraId="5FAE06D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3249CEE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£250.25</w:t>
            </w:r>
          </w:p>
        </w:tc>
        <w:tc>
          <w:tcPr>
            <w:tcW w:w="2154" w:type="dxa"/>
            <w:noWrap/>
            <w:vAlign w:val="center"/>
            <w:hideMark/>
          </w:tcPr>
          <w:p w14:paraId="549381D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992E1E0" w14:textId="77777777" w:rsidTr="00780608">
        <w:trPr>
          <w:trHeight w:val="300"/>
        </w:trPr>
        <w:tc>
          <w:tcPr>
            <w:tcW w:w="2414" w:type="dxa"/>
            <w:noWrap/>
            <w:vAlign w:val="center"/>
            <w:hideMark/>
          </w:tcPr>
          <w:p w14:paraId="2CCC4E35"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MoneyPlus</w:t>
            </w:r>
            <w:proofErr w:type="spellEnd"/>
            <w:r w:rsidRPr="002E3196">
              <w:rPr>
                <w:rFonts w:cstheme="minorHAnsi"/>
                <w:bCs/>
                <w:sz w:val="16"/>
                <w:szCs w:val="16"/>
              </w:rPr>
              <w:t xml:space="preserve"> Energy</w:t>
            </w:r>
          </w:p>
        </w:tc>
        <w:tc>
          <w:tcPr>
            <w:tcW w:w="1918" w:type="dxa"/>
            <w:noWrap/>
            <w:vAlign w:val="center"/>
            <w:hideMark/>
          </w:tcPr>
          <w:p w14:paraId="34E10D50" w14:textId="5897C46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22</w:t>
            </w:r>
            <w:r w:rsidR="00C427D2">
              <w:rPr>
                <w:rFonts w:cstheme="minorHAnsi"/>
                <w:bCs/>
                <w:sz w:val="16"/>
                <w:szCs w:val="16"/>
              </w:rPr>
              <w:t>,</w:t>
            </w:r>
            <w:r w:rsidRPr="002E3196">
              <w:rPr>
                <w:rFonts w:cstheme="minorHAnsi"/>
                <w:bCs/>
                <w:sz w:val="16"/>
                <w:szCs w:val="16"/>
              </w:rPr>
              <w:t>019</w:t>
            </w:r>
          </w:p>
        </w:tc>
        <w:tc>
          <w:tcPr>
            <w:tcW w:w="1918" w:type="dxa"/>
            <w:noWrap/>
            <w:vAlign w:val="center"/>
            <w:hideMark/>
          </w:tcPr>
          <w:p w14:paraId="38C8898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0510D9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082EB8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AA3B8D5" w14:textId="77777777" w:rsidTr="00780608">
        <w:trPr>
          <w:trHeight w:val="550"/>
        </w:trPr>
        <w:tc>
          <w:tcPr>
            <w:tcW w:w="2414" w:type="dxa"/>
            <w:noWrap/>
            <w:vAlign w:val="center"/>
            <w:hideMark/>
          </w:tcPr>
          <w:p w14:paraId="12F04750" w14:textId="77777777" w:rsidR="00E54E83" w:rsidRPr="002E3196" w:rsidRDefault="00E54E83">
            <w:pPr>
              <w:spacing w:line="240" w:lineRule="auto"/>
              <w:rPr>
                <w:rFonts w:cstheme="minorHAnsi"/>
                <w:bCs/>
                <w:sz w:val="16"/>
                <w:szCs w:val="16"/>
              </w:rPr>
            </w:pPr>
            <w:r w:rsidRPr="002E3196">
              <w:rPr>
                <w:rFonts w:cstheme="minorHAnsi"/>
                <w:bCs/>
                <w:sz w:val="16"/>
                <w:szCs w:val="16"/>
              </w:rPr>
              <w:t>MVV Environment Services  Ltd</w:t>
            </w:r>
          </w:p>
        </w:tc>
        <w:tc>
          <w:tcPr>
            <w:tcW w:w="1918" w:type="dxa"/>
            <w:noWrap/>
            <w:vAlign w:val="center"/>
            <w:hideMark/>
          </w:tcPr>
          <w:p w14:paraId="26EC8222" w14:textId="15AE945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w:t>
            </w:r>
            <w:r w:rsidR="00C427D2">
              <w:rPr>
                <w:rFonts w:cstheme="minorHAnsi"/>
                <w:bCs/>
                <w:sz w:val="16"/>
                <w:szCs w:val="16"/>
              </w:rPr>
              <w:t>,</w:t>
            </w:r>
            <w:r w:rsidRPr="002E3196">
              <w:rPr>
                <w:rFonts w:cstheme="minorHAnsi"/>
                <w:bCs/>
                <w:sz w:val="16"/>
                <w:szCs w:val="16"/>
              </w:rPr>
              <w:t>512</w:t>
            </w:r>
          </w:p>
        </w:tc>
        <w:tc>
          <w:tcPr>
            <w:tcW w:w="1918" w:type="dxa"/>
            <w:noWrap/>
            <w:vAlign w:val="center"/>
            <w:hideMark/>
          </w:tcPr>
          <w:p w14:paraId="5A49236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2E0D49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£576,175.60</w:t>
            </w:r>
          </w:p>
        </w:tc>
        <w:tc>
          <w:tcPr>
            <w:tcW w:w="2154" w:type="dxa"/>
            <w:noWrap/>
            <w:vAlign w:val="center"/>
            <w:hideMark/>
          </w:tcPr>
          <w:p w14:paraId="4649072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70A8BEB" w14:textId="77777777" w:rsidTr="00780608">
        <w:trPr>
          <w:trHeight w:val="300"/>
        </w:trPr>
        <w:tc>
          <w:tcPr>
            <w:tcW w:w="2414" w:type="dxa"/>
            <w:noWrap/>
            <w:vAlign w:val="center"/>
            <w:hideMark/>
          </w:tcPr>
          <w:p w14:paraId="75F6AB87"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Nabuh</w:t>
            </w:r>
            <w:proofErr w:type="spellEnd"/>
            <w:r w:rsidRPr="002E3196">
              <w:rPr>
                <w:rFonts w:cstheme="minorHAnsi"/>
                <w:bCs/>
                <w:sz w:val="16"/>
                <w:szCs w:val="16"/>
              </w:rPr>
              <w:t xml:space="preserve"> Energy Ltd</w:t>
            </w:r>
          </w:p>
        </w:tc>
        <w:tc>
          <w:tcPr>
            <w:tcW w:w="1918" w:type="dxa"/>
            <w:noWrap/>
            <w:vAlign w:val="center"/>
            <w:hideMark/>
          </w:tcPr>
          <w:p w14:paraId="131F4678" w14:textId="6C41F56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70</w:t>
            </w:r>
            <w:r w:rsidR="00C427D2">
              <w:rPr>
                <w:rFonts w:cstheme="minorHAnsi"/>
                <w:bCs/>
                <w:sz w:val="16"/>
                <w:szCs w:val="16"/>
              </w:rPr>
              <w:t>,</w:t>
            </w:r>
            <w:r w:rsidRPr="002E3196">
              <w:rPr>
                <w:rFonts w:cstheme="minorHAnsi"/>
                <w:bCs/>
                <w:sz w:val="16"/>
                <w:szCs w:val="16"/>
              </w:rPr>
              <w:t>479</w:t>
            </w:r>
          </w:p>
        </w:tc>
        <w:tc>
          <w:tcPr>
            <w:tcW w:w="1918" w:type="dxa"/>
            <w:noWrap/>
            <w:vAlign w:val="center"/>
            <w:hideMark/>
          </w:tcPr>
          <w:p w14:paraId="31DF16C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679981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1CBEB3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ABF886C" w14:textId="77777777" w:rsidTr="00780608">
        <w:trPr>
          <w:trHeight w:val="300"/>
        </w:trPr>
        <w:tc>
          <w:tcPr>
            <w:tcW w:w="2414" w:type="dxa"/>
            <w:noWrap/>
            <w:vAlign w:val="center"/>
            <w:hideMark/>
          </w:tcPr>
          <w:p w14:paraId="4AA69D66"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Naturgy</w:t>
            </w:r>
            <w:proofErr w:type="spellEnd"/>
            <w:r w:rsidRPr="002E3196">
              <w:rPr>
                <w:rFonts w:cstheme="minorHAnsi"/>
                <w:bCs/>
                <w:sz w:val="16"/>
                <w:szCs w:val="16"/>
              </w:rPr>
              <w:t xml:space="preserve"> Limited</w:t>
            </w:r>
          </w:p>
        </w:tc>
        <w:tc>
          <w:tcPr>
            <w:tcW w:w="1918" w:type="dxa"/>
            <w:noWrap/>
            <w:vAlign w:val="center"/>
            <w:hideMark/>
          </w:tcPr>
          <w:p w14:paraId="74F12286" w14:textId="62714FA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C427D2">
              <w:rPr>
                <w:rFonts w:cstheme="minorHAnsi"/>
                <w:bCs/>
                <w:sz w:val="16"/>
                <w:szCs w:val="16"/>
              </w:rPr>
              <w:t>,</w:t>
            </w:r>
            <w:r w:rsidRPr="002E3196">
              <w:rPr>
                <w:rFonts w:cstheme="minorHAnsi"/>
                <w:bCs/>
                <w:sz w:val="16"/>
                <w:szCs w:val="16"/>
              </w:rPr>
              <w:t>562</w:t>
            </w:r>
          </w:p>
        </w:tc>
        <w:tc>
          <w:tcPr>
            <w:tcW w:w="1918" w:type="dxa"/>
            <w:noWrap/>
            <w:vAlign w:val="center"/>
            <w:hideMark/>
          </w:tcPr>
          <w:p w14:paraId="61C6720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511606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£278,378.10</w:t>
            </w:r>
          </w:p>
        </w:tc>
        <w:tc>
          <w:tcPr>
            <w:tcW w:w="2154" w:type="dxa"/>
            <w:noWrap/>
            <w:vAlign w:val="center"/>
            <w:hideMark/>
          </w:tcPr>
          <w:p w14:paraId="56ACB59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77B1ACA" w14:textId="77777777" w:rsidTr="00780608">
        <w:trPr>
          <w:trHeight w:val="300"/>
        </w:trPr>
        <w:tc>
          <w:tcPr>
            <w:tcW w:w="2414" w:type="dxa"/>
            <w:noWrap/>
            <w:vAlign w:val="center"/>
            <w:hideMark/>
          </w:tcPr>
          <w:p w14:paraId="60E168E8" w14:textId="77777777" w:rsidR="00E54E83" w:rsidRPr="002E3196" w:rsidRDefault="00E54E83">
            <w:pPr>
              <w:spacing w:line="240" w:lineRule="auto"/>
              <w:rPr>
                <w:rFonts w:cstheme="minorHAnsi"/>
                <w:bCs/>
                <w:sz w:val="16"/>
                <w:szCs w:val="16"/>
              </w:rPr>
            </w:pPr>
            <w:r w:rsidRPr="002E3196">
              <w:rPr>
                <w:rFonts w:cstheme="minorHAnsi"/>
                <w:bCs/>
                <w:sz w:val="16"/>
                <w:szCs w:val="16"/>
              </w:rPr>
              <w:t>Neon Reef Ltd</w:t>
            </w:r>
          </w:p>
        </w:tc>
        <w:tc>
          <w:tcPr>
            <w:tcW w:w="1918" w:type="dxa"/>
            <w:noWrap/>
            <w:vAlign w:val="center"/>
            <w:hideMark/>
          </w:tcPr>
          <w:p w14:paraId="428265AC" w14:textId="7D24943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w:t>
            </w:r>
            <w:r w:rsidR="00C427D2">
              <w:rPr>
                <w:rFonts w:cstheme="minorHAnsi"/>
                <w:bCs/>
                <w:sz w:val="16"/>
                <w:szCs w:val="16"/>
              </w:rPr>
              <w:t>,</w:t>
            </w:r>
            <w:r w:rsidRPr="002E3196">
              <w:rPr>
                <w:rFonts w:cstheme="minorHAnsi"/>
                <w:bCs/>
                <w:sz w:val="16"/>
                <w:szCs w:val="16"/>
              </w:rPr>
              <w:t>976</w:t>
            </w:r>
          </w:p>
        </w:tc>
        <w:tc>
          <w:tcPr>
            <w:tcW w:w="1918" w:type="dxa"/>
            <w:noWrap/>
            <w:vAlign w:val="center"/>
            <w:hideMark/>
          </w:tcPr>
          <w:p w14:paraId="1F8345B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A1622E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E4490F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7CF5873" w14:textId="77777777" w:rsidTr="00780608">
        <w:trPr>
          <w:trHeight w:val="300"/>
        </w:trPr>
        <w:tc>
          <w:tcPr>
            <w:tcW w:w="2414" w:type="dxa"/>
            <w:noWrap/>
            <w:vAlign w:val="center"/>
            <w:hideMark/>
          </w:tcPr>
          <w:p w14:paraId="48BFB244" w14:textId="77777777" w:rsidR="00E54E83" w:rsidRPr="002E3196" w:rsidRDefault="00E54E83">
            <w:pPr>
              <w:spacing w:line="240" w:lineRule="auto"/>
              <w:rPr>
                <w:rFonts w:cstheme="minorHAnsi"/>
                <w:bCs/>
                <w:sz w:val="16"/>
                <w:szCs w:val="16"/>
              </w:rPr>
            </w:pPr>
            <w:r w:rsidRPr="002E3196">
              <w:rPr>
                <w:rFonts w:cstheme="minorHAnsi"/>
                <w:bCs/>
                <w:sz w:val="16"/>
                <w:szCs w:val="16"/>
              </w:rPr>
              <w:t>Octopus Energy Ltd</w:t>
            </w:r>
          </w:p>
        </w:tc>
        <w:tc>
          <w:tcPr>
            <w:tcW w:w="1918" w:type="dxa"/>
            <w:noWrap/>
            <w:vAlign w:val="center"/>
            <w:hideMark/>
          </w:tcPr>
          <w:p w14:paraId="7D26B058" w14:textId="4886A90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C427D2">
              <w:rPr>
                <w:rFonts w:cstheme="minorHAnsi"/>
                <w:bCs/>
                <w:sz w:val="16"/>
                <w:szCs w:val="16"/>
              </w:rPr>
              <w:t>,</w:t>
            </w:r>
            <w:r w:rsidRPr="002E3196">
              <w:rPr>
                <w:rFonts w:cstheme="minorHAnsi"/>
                <w:bCs/>
                <w:sz w:val="16"/>
                <w:szCs w:val="16"/>
              </w:rPr>
              <w:t>287</w:t>
            </w:r>
            <w:r w:rsidR="00C427D2">
              <w:rPr>
                <w:rFonts w:cstheme="minorHAnsi"/>
                <w:bCs/>
                <w:sz w:val="16"/>
                <w:szCs w:val="16"/>
              </w:rPr>
              <w:t>,</w:t>
            </w:r>
            <w:r w:rsidRPr="002E3196">
              <w:rPr>
                <w:rFonts w:cstheme="minorHAnsi"/>
                <w:bCs/>
                <w:sz w:val="16"/>
                <w:szCs w:val="16"/>
              </w:rPr>
              <w:t>995</w:t>
            </w:r>
          </w:p>
        </w:tc>
        <w:tc>
          <w:tcPr>
            <w:tcW w:w="1918" w:type="dxa"/>
            <w:noWrap/>
            <w:vAlign w:val="center"/>
            <w:hideMark/>
          </w:tcPr>
          <w:p w14:paraId="50481169" w14:textId="5146287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810</w:t>
            </w:r>
            <w:r w:rsidR="00C427D2">
              <w:rPr>
                <w:rFonts w:cstheme="minorHAnsi"/>
                <w:bCs/>
                <w:sz w:val="16"/>
                <w:szCs w:val="16"/>
              </w:rPr>
              <w:t>,</w:t>
            </w:r>
            <w:r w:rsidRPr="002E3196">
              <w:rPr>
                <w:rFonts w:cstheme="minorHAnsi"/>
                <w:bCs/>
                <w:sz w:val="16"/>
                <w:szCs w:val="16"/>
              </w:rPr>
              <w:t>694</w:t>
            </w:r>
          </w:p>
        </w:tc>
        <w:tc>
          <w:tcPr>
            <w:tcW w:w="2138" w:type="dxa"/>
            <w:noWrap/>
            <w:vAlign w:val="center"/>
            <w:hideMark/>
          </w:tcPr>
          <w:p w14:paraId="77D0C34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£123,988,915.05</w:t>
            </w:r>
          </w:p>
        </w:tc>
        <w:tc>
          <w:tcPr>
            <w:tcW w:w="2154" w:type="dxa"/>
            <w:noWrap/>
            <w:vAlign w:val="center"/>
            <w:hideMark/>
          </w:tcPr>
          <w:p w14:paraId="1EE08EB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£3,587,978.00</w:t>
            </w:r>
          </w:p>
        </w:tc>
      </w:tr>
      <w:tr w:rsidR="005A04AB" w:rsidRPr="006B3AC6" w14:paraId="12131C69" w14:textId="77777777" w:rsidTr="00780608">
        <w:trPr>
          <w:trHeight w:val="300"/>
        </w:trPr>
        <w:tc>
          <w:tcPr>
            <w:tcW w:w="2414" w:type="dxa"/>
            <w:noWrap/>
            <w:vAlign w:val="center"/>
            <w:hideMark/>
          </w:tcPr>
          <w:p w14:paraId="5880EB13" w14:textId="77777777" w:rsidR="00E54E83" w:rsidRPr="002E3196" w:rsidRDefault="00E54E83">
            <w:pPr>
              <w:spacing w:line="240" w:lineRule="auto"/>
              <w:rPr>
                <w:rFonts w:cstheme="minorHAnsi"/>
                <w:bCs/>
                <w:sz w:val="16"/>
                <w:szCs w:val="16"/>
              </w:rPr>
            </w:pPr>
            <w:r w:rsidRPr="002E3196">
              <w:rPr>
                <w:rFonts w:cstheme="minorHAnsi"/>
                <w:bCs/>
                <w:sz w:val="16"/>
                <w:szCs w:val="16"/>
              </w:rPr>
              <w:t>Omni Energy Ltd</w:t>
            </w:r>
          </w:p>
        </w:tc>
        <w:tc>
          <w:tcPr>
            <w:tcW w:w="1918" w:type="dxa"/>
            <w:noWrap/>
            <w:vAlign w:val="center"/>
            <w:hideMark/>
          </w:tcPr>
          <w:p w14:paraId="64C713B0" w14:textId="058FC19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134</w:t>
            </w:r>
          </w:p>
        </w:tc>
        <w:tc>
          <w:tcPr>
            <w:tcW w:w="1918" w:type="dxa"/>
            <w:noWrap/>
            <w:vAlign w:val="center"/>
            <w:hideMark/>
          </w:tcPr>
          <w:p w14:paraId="444B3455" w14:textId="7EC2CEF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134</w:t>
            </w:r>
          </w:p>
        </w:tc>
        <w:tc>
          <w:tcPr>
            <w:tcW w:w="2138" w:type="dxa"/>
            <w:noWrap/>
            <w:vAlign w:val="center"/>
            <w:hideMark/>
          </w:tcPr>
          <w:p w14:paraId="1423823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147299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£4,388.00</w:t>
            </w:r>
          </w:p>
        </w:tc>
      </w:tr>
      <w:tr w:rsidR="005A04AB" w:rsidRPr="006B3AC6" w14:paraId="3C98F26F" w14:textId="77777777" w:rsidTr="00780608">
        <w:trPr>
          <w:trHeight w:val="300"/>
        </w:trPr>
        <w:tc>
          <w:tcPr>
            <w:tcW w:w="2414" w:type="dxa"/>
            <w:noWrap/>
            <w:vAlign w:val="center"/>
            <w:hideMark/>
          </w:tcPr>
          <w:p w14:paraId="0235B57A" w14:textId="77777777" w:rsidR="00E54E83" w:rsidRPr="002E3196" w:rsidRDefault="00E54E83">
            <w:pPr>
              <w:spacing w:line="240" w:lineRule="auto"/>
              <w:rPr>
                <w:rFonts w:cstheme="minorHAnsi"/>
                <w:bCs/>
                <w:sz w:val="16"/>
                <w:szCs w:val="16"/>
              </w:rPr>
            </w:pPr>
            <w:r w:rsidRPr="002E3196">
              <w:rPr>
                <w:rFonts w:cstheme="minorHAnsi"/>
                <w:bCs/>
                <w:sz w:val="16"/>
                <w:szCs w:val="16"/>
              </w:rPr>
              <w:t>Opus Energy Group Ltd</w:t>
            </w:r>
          </w:p>
        </w:tc>
        <w:tc>
          <w:tcPr>
            <w:tcW w:w="1918" w:type="dxa"/>
            <w:noWrap/>
            <w:vAlign w:val="center"/>
            <w:hideMark/>
          </w:tcPr>
          <w:p w14:paraId="617FA7D0" w14:textId="01A4010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601</w:t>
            </w:r>
            <w:r w:rsidR="00C427D2">
              <w:rPr>
                <w:rFonts w:cstheme="minorHAnsi"/>
                <w:bCs/>
                <w:sz w:val="16"/>
                <w:szCs w:val="16"/>
              </w:rPr>
              <w:t>,</w:t>
            </w:r>
            <w:r w:rsidRPr="002E3196">
              <w:rPr>
                <w:rFonts w:cstheme="minorHAnsi"/>
                <w:bCs/>
                <w:sz w:val="16"/>
                <w:szCs w:val="16"/>
              </w:rPr>
              <w:t>694</w:t>
            </w:r>
          </w:p>
        </w:tc>
        <w:tc>
          <w:tcPr>
            <w:tcW w:w="1918" w:type="dxa"/>
            <w:noWrap/>
            <w:vAlign w:val="center"/>
            <w:hideMark/>
          </w:tcPr>
          <w:p w14:paraId="7955D3FE" w14:textId="7E35358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601</w:t>
            </w:r>
            <w:r w:rsidR="00C427D2">
              <w:rPr>
                <w:rFonts w:cstheme="minorHAnsi"/>
                <w:bCs/>
                <w:sz w:val="16"/>
                <w:szCs w:val="16"/>
              </w:rPr>
              <w:t>,</w:t>
            </w:r>
            <w:r w:rsidRPr="002E3196">
              <w:rPr>
                <w:rFonts w:cstheme="minorHAnsi"/>
                <w:bCs/>
                <w:sz w:val="16"/>
                <w:szCs w:val="16"/>
              </w:rPr>
              <w:t>694</w:t>
            </w:r>
          </w:p>
        </w:tc>
        <w:tc>
          <w:tcPr>
            <w:tcW w:w="2138" w:type="dxa"/>
            <w:noWrap/>
            <w:vAlign w:val="center"/>
            <w:hideMark/>
          </w:tcPr>
          <w:p w14:paraId="6CB2AAA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D4A0B1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£7,088,794.00</w:t>
            </w:r>
          </w:p>
        </w:tc>
      </w:tr>
      <w:tr w:rsidR="005A04AB" w:rsidRPr="006B3AC6" w14:paraId="59B058E0" w14:textId="77777777" w:rsidTr="00780608">
        <w:trPr>
          <w:trHeight w:val="300"/>
        </w:trPr>
        <w:tc>
          <w:tcPr>
            <w:tcW w:w="2414" w:type="dxa"/>
            <w:noWrap/>
            <w:vAlign w:val="center"/>
            <w:hideMark/>
          </w:tcPr>
          <w:p w14:paraId="52996E2E" w14:textId="77777777" w:rsidR="00E54E83" w:rsidRPr="002E3196" w:rsidRDefault="00E54E83">
            <w:pPr>
              <w:spacing w:line="240" w:lineRule="auto"/>
              <w:rPr>
                <w:rFonts w:cstheme="minorHAnsi"/>
                <w:bCs/>
                <w:sz w:val="16"/>
                <w:szCs w:val="16"/>
              </w:rPr>
            </w:pPr>
            <w:r w:rsidRPr="002E3196">
              <w:rPr>
                <w:rFonts w:cstheme="minorHAnsi"/>
                <w:bCs/>
                <w:sz w:val="16"/>
                <w:szCs w:val="16"/>
              </w:rPr>
              <w:t>Orbit Energy Ltd</w:t>
            </w:r>
          </w:p>
        </w:tc>
        <w:tc>
          <w:tcPr>
            <w:tcW w:w="1918" w:type="dxa"/>
            <w:noWrap/>
            <w:vAlign w:val="center"/>
            <w:hideMark/>
          </w:tcPr>
          <w:p w14:paraId="6324BD17" w14:textId="1A0CBDE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117</w:t>
            </w:r>
            <w:r w:rsidR="00C427D2">
              <w:rPr>
                <w:rFonts w:cstheme="minorHAnsi"/>
                <w:bCs/>
                <w:sz w:val="16"/>
                <w:szCs w:val="16"/>
              </w:rPr>
              <w:t>,</w:t>
            </w:r>
            <w:r w:rsidRPr="002E3196">
              <w:rPr>
                <w:rFonts w:cstheme="minorHAnsi"/>
                <w:bCs/>
                <w:sz w:val="16"/>
                <w:szCs w:val="16"/>
              </w:rPr>
              <w:t>123</w:t>
            </w:r>
          </w:p>
        </w:tc>
        <w:tc>
          <w:tcPr>
            <w:tcW w:w="1918" w:type="dxa"/>
            <w:noWrap/>
            <w:vAlign w:val="center"/>
            <w:hideMark/>
          </w:tcPr>
          <w:p w14:paraId="13770828" w14:textId="0F97687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117</w:t>
            </w:r>
            <w:r w:rsidR="00C427D2">
              <w:rPr>
                <w:rFonts w:cstheme="minorHAnsi"/>
                <w:bCs/>
                <w:sz w:val="16"/>
                <w:szCs w:val="16"/>
              </w:rPr>
              <w:t>,</w:t>
            </w:r>
            <w:r w:rsidRPr="002E3196">
              <w:rPr>
                <w:rFonts w:cstheme="minorHAnsi"/>
                <w:bCs/>
                <w:sz w:val="16"/>
                <w:szCs w:val="16"/>
              </w:rPr>
              <w:t>123</w:t>
            </w:r>
          </w:p>
        </w:tc>
        <w:tc>
          <w:tcPr>
            <w:tcW w:w="2138" w:type="dxa"/>
            <w:noWrap/>
            <w:vAlign w:val="center"/>
            <w:hideMark/>
          </w:tcPr>
          <w:p w14:paraId="5880901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725A17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£518,361.00</w:t>
            </w:r>
          </w:p>
        </w:tc>
      </w:tr>
      <w:tr w:rsidR="005A04AB" w:rsidRPr="006B3AC6" w14:paraId="51A8D25E" w14:textId="77777777" w:rsidTr="00780608">
        <w:trPr>
          <w:trHeight w:val="550"/>
        </w:trPr>
        <w:tc>
          <w:tcPr>
            <w:tcW w:w="2414" w:type="dxa"/>
            <w:noWrap/>
            <w:vAlign w:val="center"/>
            <w:hideMark/>
          </w:tcPr>
          <w:p w14:paraId="5D4E72DF"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Orsted</w:t>
            </w:r>
            <w:proofErr w:type="spellEnd"/>
            <w:r w:rsidRPr="002E3196">
              <w:rPr>
                <w:rFonts w:cstheme="minorHAnsi"/>
                <w:bCs/>
                <w:sz w:val="16"/>
                <w:szCs w:val="16"/>
              </w:rPr>
              <w:t xml:space="preserve"> Power Sales (UK) Ltd</w:t>
            </w:r>
          </w:p>
        </w:tc>
        <w:tc>
          <w:tcPr>
            <w:tcW w:w="1918" w:type="dxa"/>
            <w:noWrap/>
            <w:vAlign w:val="center"/>
            <w:hideMark/>
          </w:tcPr>
          <w:p w14:paraId="2599CBA0" w14:textId="03A7108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748</w:t>
            </w:r>
            <w:r w:rsidR="00C427D2">
              <w:rPr>
                <w:rFonts w:cstheme="minorHAnsi"/>
                <w:bCs/>
                <w:sz w:val="16"/>
                <w:szCs w:val="16"/>
              </w:rPr>
              <w:t>,</w:t>
            </w:r>
            <w:r w:rsidRPr="002E3196">
              <w:rPr>
                <w:rFonts w:cstheme="minorHAnsi"/>
                <w:bCs/>
                <w:sz w:val="16"/>
                <w:szCs w:val="16"/>
              </w:rPr>
              <w:t>217</w:t>
            </w:r>
          </w:p>
        </w:tc>
        <w:tc>
          <w:tcPr>
            <w:tcW w:w="1918" w:type="dxa"/>
            <w:noWrap/>
            <w:vAlign w:val="center"/>
            <w:hideMark/>
          </w:tcPr>
          <w:p w14:paraId="18258135" w14:textId="2E147E7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748</w:t>
            </w:r>
            <w:r w:rsidR="00C427D2">
              <w:rPr>
                <w:rFonts w:cstheme="minorHAnsi"/>
                <w:bCs/>
                <w:sz w:val="16"/>
                <w:szCs w:val="16"/>
              </w:rPr>
              <w:t>,</w:t>
            </w:r>
            <w:r w:rsidRPr="002E3196">
              <w:rPr>
                <w:rFonts w:cstheme="minorHAnsi"/>
                <w:bCs/>
                <w:sz w:val="16"/>
                <w:szCs w:val="16"/>
              </w:rPr>
              <w:t>217</w:t>
            </w:r>
          </w:p>
        </w:tc>
        <w:tc>
          <w:tcPr>
            <w:tcW w:w="2138" w:type="dxa"/>
            <w:noWrap/>
            <w:vAlign w:val="center"/>
            <w:hideMark/>
          </w:tcPr>
          <w:p w14:paraId="71DA9E0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AEE43B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£7,737,279.00</w:t>
            </w:r>
          </w:p>
        </w:tc>
      </w:tr>
      <w:tr w:rsidR="005A04AB" w:rsidRPr="006B3AC6" w14:paraId="6680B597" w14:textId="77777777" w:rsidTr="00780608">
        <w:trPr>
          <w:trHeight w:val="300"/>
        </w:trPr>
        <w:tc>
          <w:tcPr>
            <w:tcW w:w="2414" w:type="dxa"/>
            <w:noWrap/>
            <w:vAlign w:val="center"/>
            <w:hideMark/>
          </w:tcPr>
          <w:p w14:paraId="549B48F9" w14:textId="77777777" w:rsidR="00E54E83" w:rsidRPr="002E3196" w:rsidRDefault="00E54E83">
            <w:pPr>
              <w:spacing w:line="240" w:lineRule="auto"/>
              <w:rPr>
                <w:rFonts w:cstheme="minorHAnsi"/>
                <w:bCs/>
                <w:sz w:val="16"/>
                <w:szCs w:val="16"/>
              </w:rPr>
            </w:pPr>
            <w:r w:rsidRPr="002E3196">
              <w:rPr>
                <w:rFonts w:cstheme="minorHAnsi"/>
                <w:bCs/>
                <w:sz w:val="16"/>
                <w:szCs w:val="16"/>
              </w:rPr>
              <w:t>OVO Electricity Ltd</w:t>
            </w:r>
          </w:p>
        </w:tc>
        <w:tc>
          <w:tcPr>
            <w:tcW w:w="1918" w:type="dxa"/>
            <w:noWrap/>
            <w:vAlign w:val="center"/>
            <w:hideMark/>
          </w:tcPr>
          <w:p w14:paraId="644B56B7" w14:textId="4BF0D23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w:t>
            </w:r>
            <w:r w:rsidR="00C427D2">
              <w:rPr>
                <w:rFonts w:cstheme="minorHAnsi"/>
                <w:bCs/>
                <w:sz w:val="16"/>
                <w:szCs w:val="16"/>
              </w:rPr>
              <w:t>,</w:t>
            </w:r>
            <w:r w:rsidRPr="002E3196">
              <w:rPr>
                <w:rFonts w:cstheme="minorHAnsi"/>
                <w:bCs/>
                <w:sz w:val="16"/>
                <w:szCs w:val="16"/>
              </w:rPr>
              <w:t>191</w:t>
            </w:r>
            <w:r w:rsidR="00C427D2">
              <w:rPr>
                <w:rFonts w:cstheme="minorHAnsi"/>
                <w:bCs/>
                <w:sz w:val="16"/>
                <w:szCs w:val="16"/>
              </w:rPr>
              <w:t>,</w:t>
            </w:r>
            <w:r w:rsidRPr="002E3196">
              <w:rPr>
                <w:rFonts w:cstheme="minorHAnsi"/>
                <w:bCs/>
                <w:sz w:val="16"/>
                <w:szCs w:val="16"/>
              </w:rPr>
              <w:t>131</w:t>
            </w:r>
          </w:p>
        </w:tc>
        <w:tc>
          <w:tcPr>
            <w:tcW w:w="1918" w:type="dxa"/>
            <w:noWrap/>
            <w:vAlign w:val="center"/>
            <w:hideMark/>
          </w:tcPr>
          <w:p w14:paraId="394A97A7" w14:textId="3EEB510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w:t>
            </w:r>
            <w:r w:rsidR="00C427D2">
              <w:rPr>
                <w:rFonts w:cstheme="minorHAnsi"/>
                <w:bCs/>
                <w:sz w:val="16"/>
                <w:szCs w:val="16"/>
              </w:rPr>
              <w:t>,</w:t>
            </w:r>
            <w:r w:rsidRPr="002E3196">
              <w:rPr>
                <w:rFonts w:cstheme="minorHAnsi"/>
                <w:bCs/>
                <w:sz w:val="16"/>
                <w:szCs w:val="16"/>
              </w:rPr>
              <w:t>191</w:t>
            </w:r>
            <w:r w:rsidR="00C427D2">
              <w:rPr>
                <w:rFonts w:cstheme="minorHAnsi"/>
                <w:bCs/>
                <w:sz w:val="16"/>
                <w:szCs w:val="16"/>
              </w:rPr>
              <w:t>,</w:t>
            </w:r>
            <w:r w:rsidRPr="002E3196">
              <w:rPr>
                <w:rFonts w:cstheme="minorHAnsi"/>
                <w:bCs/>
                <w:sz w:val="16"/>
                <w:szCs w:val="16"/>
              </w:rPr>
              <w:t>131</w:t>
            </w:r>
          </w:p>
        </w:tc>
        <w:tc>
          <w:tcPr>
            <w:tcW w:w="2138" w:type="dxa"/>
            <w:noWrap/>
            <w:vAlign w:val="center"/>
            <w:hideMark/>
          </w:tcPr>
          <w:p w14:paraId="7DA8AE1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B2BB30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£31,826,606.00</w:t>
            </w:r>
          </w:p>
        </w:tc>
      </w:tr>
      <w:tr w:rsidR="005A04AB" w:rsidRPr="006B3AC6" w14:paraId="36FCC3BB" w14:textId="77777777" w:rsidTr="00780608">
        <w:trPr>
          <w:trHeight w:val="300"/>
        </w:trPr>
        <w:tc>
          <w:tcPr>
            <w:tcW w:w="2414" w:type="dxa"/>
            <w:noWrap/>
            <w:vAlign w:val="center"/>
            <w:hideMark/>
          </w:tcPr>
          <w:p w14:paraId="72C340B6" w14:textId="77777777" w:rsidR="00E54E83" w:rsidRPr="002E3196" w:rsidRDefault="00E54E83">
            <w:pPr>
              <w:spacing w:line="240" w:lineRule="auto"/>
              <w:rPr>
                <w:rFonts w:cstheme="minorHAnsi"/>
                <w:bCs/>
                <w:sz w:val="16"/>
                <w:szCs w:val="16"/>
              </w:rPr>
            </w:pPr>
            <w:r w:rsidRPr="002E3196">
              <w:rPr>
                <w:rFonts w:cstheme="minorHAnsi"/>
                <w:bCs/>
                <w:sz w:val="16"/>
                <w:szCs w:val="16"/>
              </w:rPr>
              <w:t>P3P ENERGY SUPPLY Ltd</w:t>
            </w:r>
          </w:p>
        </w:tc>
        <w:tc>
          <w:tcPr>
            <w:tcW w:w="1918" w:type="dxa"/>
            <w:noWrap/>
            <w:vAlign w:val="center"/>
            <w:hideMark/>
          </w:tcPr>
          <w:p w14:paraId="479684AC" w14:textId="5AA784D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C427D2">
              <w:rPr>
                <w:rFonts w:cstheme="minorHAnsi"/>
                <w:bCs/>
                <w:sz w:val="16"/>
                <w:szCs w:val="16"/>
              </w:rPr>
              <w:t>,</w:t>
            </w:r>
            <w:r w:rsidRPr="002E3196">
              <w:rPr>
                <w:rFonts w:cstheme="minorHAnsi"/>
                <w:bCs/>
                <w:sz w:val="16"/>
                <w:szCs w:val="16"/>
              </w:rPr>
              <w:t>980</w:t>
            </w:r>
          </w:p>
        </w:tc>
        <w:tc>
          <w:tcPr>
            <w:tcW w:w="1918" w:type="dxa"/>
            <w:noWrap/>
            <w:vAlign w:val="center"/>
            <w:hideMark/>
          </w:tcPr>
          <w:p w14:paraId="746C8C6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352538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£99,099.00</w:t>
            </w:r>
          </w:p>
        </w:tc>
        <w:tc>
          <w:tcPr>
            <w:tcW w:w="2154" w:type="dxa"/>
            <w:noWrap/>
            <w:vAlign w:val="center"/>
            <w:hideMark/>
          </w:tcPr>
          <w:p w14:paraId="085B70A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61B81F6" w14:textId="77777777" w:rsidTr="00780608">
        <w:trPr>
          <w:trHeight w:val="550"/>
        </w:trPr>
        <w:tc>
          <w:tcPr>
            <w:tcW w:w="2414" w:type="dxa"/>
            <w:noWrap/>
            <w:vAlign w:val="center"/>
            <w:hideMark/>
          </w:tcPr>
          <w:p w14:paraId="19EDB558" w14:textId="77777777" w:rsidR="00E54E83" w:rsidRPr="002E3196" w:rsidRDefault="00E54E83">
            <w:pPr>
              <w:spacing w:line="240" w:lineRule="auto"/>
              <w:rPr>
                <w:rFonts w:cstheme="minorHAnsi"/>
                <w:bCs/>
                <w:sz w:val="16"/>
                <w:szCs w:val="16"/>
              </w:rPr>
            </w:pPr>
            <w:r w:rsidRPr="002E3196">
              <w:rPr>
                <w:rFonts w:cstheme="minorHAnsi"/>
                <w:bCs/>
                <w:sz w:val="16"/>
                <w:szCs w:val="16"/>
              </w:rPr>
              <w:t>People's Energy (Supply) Ltd</w:t>
            </w:r>
          </w:p>
        </w:tc>
        <w:tc>
          <w:tcPr>
            <w:tcW w:w="1918" w:type="dxa"/>
            <w:noWrap/>
            <w:vAlign w:val="center"/>
            <w:hideMark/>
          </w:tcPr>
          <w:p w14:paraId="4F52A20C" w14:textId="2134960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476</w:t>
            </w:r>
            <w:r w:rsidR="00C427D2">
              <w:rPr>
                <w:rFonts w:cstheme="minorHAnsi"/>
                <w:bCs/>
                <w:sz w:val="16"/>
                <w:szCs w:val="16"/>
              </w:rPr>
              <w:t>,</w:t>
            </w:r>
            <w:r w:rsidRPr="002E3196">
              <w:rPr>
                <w:rFonts w:cstheme="minorHAnsi"/>
                <w:bCs/>
                <w:sz w:val="16"/>
                <w:szCs w:val="16"/>
              </w:rPr>
              <w:t>935</w:t>
            </w:r>
          </w:p>
        </w:tc>
        <w:tc>
          <w:tcPr>
            <w:tcW w:w="1918" w:type="dxa"/>
            <w:noWrap/>
            <w:vAlign w:val="center"/>
            <w:hideMark/>
          </w:tcPr>
          <w:p w14:paraId="301F7F3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36097E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BAF7B5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9928032" w14:textId="77777777" w:rsidTr="00780608">
        <w:trPr>
          <w:trHeight w:val="300"/>
        </w:trPr>
        <w:tc>
          <w:tcPr>
            <w:tcW w:w="2414" w:type="dxa"/>
            <w:noWrap/>
            <w:vAlign w:val="center"/>
            <w:hideMark/>
          </w:tcPr>
          <w:p w14:paraId="28558D9D" w14:textId="77777777" w:rsidR="00E54E83" w:rsidRPr="002E3196" w:rsidRDefault="00E54E83">
            <w:pPr>
              <w:spacing w:line="240" w:lineRule="auto"/>
              <w:rPr>
                <w:rFonts w:cstheme="minorHAnsi"/>
                <w:bCs/>
                <w:sz w:val="16"/>
                <w:szCs w:val="16"/>
              </w:rPr>
            </w:pPr>
            <w:r w:rsidRPr="002E3196">
              <w:rPr>
                <w:rFonts w:cstheme="minorHAnsi"/>
                <w:bCs/>
                <w:sz w:val="16"/>
                <w:szCs w:val="16"/>
              </w:rPr>
              <w:t>PFP Energy Supplies Ltd</w:t>
            </w:r>
          </w:p>
        </w:tc>
        <w:tc>
          <w:tcPr>
            <w:tcW w:w="1918" w:type="dxa"/>
            <w:noWrap/>
            <w:vAlign w:val="center"/>
            <w:hideMark/>
          </w:tcPr>
          <w:p w14:paraId="7526924E" w14:textId="71AAB22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104</w:t>
            </w:r>
            <w:r w:rsidR="006F65DF">
              <w:rPr>
                <w:rFonts w:cstheme="minorHAnsi"/>
                <w:bCs/>
                <w:sz w:val="16"/>
                <w:szCs w:val="16"/>
              </w:rPr>
              <w:t>,</w:t>
            </w:r>
            <w:r w:rsidRPr="002E3196">
              <w:rPr>
                <w:rFonts w:cstheme="minorHAnsi"/>
                <w:bCs/>
                <w:sz w:val="16"/>
                <w:szCs w:val="16"/>
              </w:rPr>
              <w:t>248</w:t>
            </w:r>
          </w:p>
        </w:tc>
        <w:tc>
          <w:tcPr>
            <w:tcW w:w="1918" w:type="dxa"/>
            <w:noWrap/>
            <w:vAlign w:val="center"/>
            <w:hideMark/>
          </w:tcPr>
          <w:p w14:paraId="63C7A51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D15F6D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EAC785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BA2CFE4" w14:textId="77777777" w:rsidTr="00780608">
        <w:trPr>
          <w:trHeight w:val="300"/>
        </w:trPr>
        <w:tc>
          <w:tcPr>
            <w:tcW w:w="2414" w:type="dxa"/>
            <w:noWrap/>
            <w:vAlign w:val="center"/>
            <w:hideMark/>
          </w:tcPr>
          <w:p w14:paraId="144CD409"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Power NI (NIE Energy Ltd) </w:t>
            </w:r>
          </w:p>
        </w:tc>
        <w:tc>
          <w:tcPr>
            <w:tcW w:w="1918" w:type="dxa"/>
            <w:noWrap/>
            <w:vAlign w:val="center"/>
            <w:hideMark/>
          </w:tcPr>
          <w:p w14:paraId="626F16E3" w14:textId="4682C4A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442</w:t>
            </w:r>
            <w:r w:rsidR="00C427D2">
              <w:rPr>
                <w:rFonts w:cstheme="minorHAnsi"/>
                <w:bCs/>
                <w:sz w:val="16"/>
                <w:szCs w:val="16"/>
              </w:rPr>
              <w:t>,</w:t>
            </w:r>
            <w:r w:rsidRPr="002E3196">
              <w:rPr>
                <w:rFonts w:cstheme="minorHAnsi"/>
                <w:bCs/>
                <w:sz w:val="16"/>
                <w:szCs w:val="16"/>
              </w:rPr>
              <w:t>202</w:t>
            </w:r>
          </w:p>
        </w:tc>
        <w:tc>
          <w:tcPr>
            <w:tcW w:w="1918" w:type="dxa"/>
            <w:noWrap/>
            <w:vAlign w:val="center"/>
            <w:hideMark/>
          </w:tcPr>
          <w:p w14:paraId="5ACDF674" w14:textId="185BA13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442</w:t>
            </w:r>
            <w:r w:rsidR="00C427D2">
              <w:rPr>
                <w:rFonts w:cstheme="minorHAnsi"/>
                <w:bCs/>
                <w:sz w:val="16"/>
                <w:szCs w:val="16"/>
              </w:rPr>
              <w:t>,</w:t>
            </w:r>
            <w:r w:rsidRPr="002E3196">
              <w:rPr>
                <w:rFonts w:cstheme="minorHAnsi"/>
                <w:bCs/>
                <w:sz w:val="16"/>
                <w:szCs w:val="16"/>
              </w:rPr>
              <w:t>202</w:t>
            </w:r>
          </w:p>
        </w:tc>
        <w:tc>
          <w:tcPr>
            <w:tcW w:w="2138" w:type="dxa"/>
            <w:noWrap/>
            <w:vAlign w:val="center"/>
            <w:hideMark/>
          </w:tcPr>
          <w:p w14:paraId="2A74A0E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574C77F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£1,957,101.00</w:t>
            </w:r>
          </w:p>
        </w:tc>
      </w:tr>
      <w:tr w:rsidR="005A04AB" w:rsidRPr="006B3AC6" w14:paraId="31F0F8AE" w14:textId="77777777" w:rsidTr="00780608">
        <w:trPr>
          <w:trHeight w:val="300"/>
        </w:trPr>
        <w:tc>
          <w:tcPr>
            <w:tcW w:w="2414" w:type="dxa"/>
            <w:noWrap/>
            <w:vAlign w:val="center"/>
            <w:hideMark/>
          </w:tcPr>
          <w:p w14:paraId="200E2829" w14:textId="77777777" w:rsidR="00E54E83" w:rsidRPr="002E3196" w:rsidRDefault="00E54E83">
            <w:pPr>
              <w:spacing w:line="240" w:lineRule="auto"/>
              <w:rPr>
                <w:rFonts w:cstheme="minorHAnsi"/>
                <w:bCs/>
                <w:sz w:val="16"/>
                <w:szCs w:val="16"/>
              </w:rPr>
            </w:pPr>
            <w:r w:rsidRPr="002E3196">
              <w:rPr>
                <w:rFonts w:cstheme="minorHAnsi"/>
                <w:bCs/>
                <w:sz w:val="16"/>
                <w:szCs w:val="16"/>
              </w:rPr>
              <w:t>Power4All Ltd</w:t>
            </w:r>
          </w:p>
        </w:tc>
        <w:tc>
          <w:tcPr>
            <w:tcW w:w="1918" w:type="dxa"/>
            <w:noWrap/>
            <w:vAlign w:val="center"/>
            <w:hideMark/>
          </w:tcPr>
          <w:p w14:paraId="5A276790" w14:textId="17E3F27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462</w:t>
            </w:r>
            <w:r w:rsidR="00C427D2">
              <w:rPr>
                <w:rFonts w:cstheme="minorHAnsi"/>
                <w:bCs/>
                <w:sz w:val="16"/>
                <w:szCs w:val="16"/>
              </w:rPr>
              <w:t>,</w:t>
            </w:r>
            <w:r w:rsidRPr="002E3196">
              <w:rPr>
                <w:rFonts w:cstheme="minorHAnsi"/>
                <w:bCs/>
                <w:sz w:val="16"/>
                <w:szCs w:val="16"/>
              </w:rPr>
              <w:t>944</w:t>
            </w:r>
          </w:p>
        </w:tc>
        <w:tc>
          <w:tcPr>
            <w:tcW w:w="1918" w:type="dxa"/>
            <w:noWrap/>
            <w:vAlign w:val="center"/>
            <w:hideMark/>
          </w:tcPr>
          <w:p w14:paraId="34BCE1C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D2E0FF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£23,173,598.22</w:t>
            </w:r>
          </w:p>
        </w:tc>
        <w:tc>
          <w:tcPr>
            <w:tcW w:w="2154" w:type="dxa"/>
            <w:noWrap/>
            <w:vAlign w:val="center"/>
            <w:hideMark/>
          </w:tcPr>
          <w:p w14:paraId="7B2768E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453A24D" w14:textId="77777777" w:rsidTr="00780608">
        <w:trPr>
          <w:trHeight w:val="300"/>
        </w:trPr>
        <w:tc>
          <w:tcPr>
            <w:tcW w:w="2414" w:type="dxa"/>
            <w:noWrap/>
            <w:vAlign w:val="center"/>
            <w:hideMark/>
          </w:tcPr>
          <w:p w14:paraId="0481080D"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Pozitive</w:t>
            </w:r>
            <w:proofErr w:type="spellEnd"/>
            <w:r w:rsidRPr="002E3196">
              <w:rPr>
                <w:rFonts w:cstheme="minorHAnsi"/>
                <w:bCs/>
                <w:sz w:val="16"/>
                <w:szCs w:val="16"/>
              </w:rPr>
              <w:t xml:space="preserve"> Energy Ltd</w:t>
            </w:r>
          </w:p>
        </w:tc>
        <w:tc>
          <w:tcPr>
            <w:tcW w:w="1918" w:type="dxa"/>
            <w:noWrap/>
            <w:vAlign w:val="center"/>
            <w:hideMark/>
          </w:tcPr>
          <w:p w14:paraId="651E9038" w14:textId="3EE2C98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441</w:t>
            </w:r>
            <w:r w:rsidR="00BE1217">
              <w:rPr>
                <w:rFonts w:cstheme="minorHAnsi"/>
                <w:bCs/>
                <w:sz w:val="16"/>
                <w:szCs w:val="16"/>
              </w:rPr>
              <w:t>,</w:t>
            </w:r>
            <w:r w:rsidRPr="002E3196">
              <w:rPr>
                <w:rFonts w:cstheme="minorHAnsi"/>
                <w:bCs/>
                <w:sz w:val="16"/>
                <w:szCs w:val="16"/>
              </w:rPr>
              <w:t>043</w:t>
            </w:r>
          </w:p>
        </w:tc>
        <w:tc>
          <w:tcPr>
            <w:tcW w:w="1918" w:type="dxa"/>
            <w:noWrap/>
            <w:vAlign w:val="center"/>
            <w:hideMark/>
          </w:tcPr>
          <w:p w14:paraId="608FA8B5" w14:textId="77DB951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w:t>
            </w:r>
            <w:r w:rsidR="00BE1217">
              <w:rPr>
                <w:rFonts w:cstheme="minorHAnsi"/>
                <w:bCs/>
                <w:sz w:val="16"/>
                <w:szCs w:val="16"/>
              </w:rPr>
              <w:t>,</w:t>
            </w:r>
            <w:r w:rsidRPr="002E3196">
              <w:rPr>
                <w:rFonts w:cstheme="minorHAnsi"/>
                <w:bCs/>
                <w:sz w:val="16"/>
                <w:szCs w:val="16"/>
              </w:rPr>
              <w:t>351</w:t>
            </w:r>
          </w:p>
        </w:tc>
        <w:tc>
          <w:tcPr>
            <w:tcW w:w="2138" w:type="dxa"/>
            <w:noWrap/>
            <w:vAlign w:val="center"/>
            <w:hideMark/>
          </w:tcPr>
          <w:p w14:paraId="024804F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£22,009,437.45</w:t>
            </w:r>
          </w:p>
        </w:tc>
        <w:tc>
          <w:tcPr>
            <w:tcW w:w="2154" w:type="dxa"/>
            <w:noWrap/>
            <w:vAlign w:val="center"/>
            <w:hideMark/>
          </w:tcPr>
          <w:p w14:paraId="1FF3501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£45,808.00</w:t>
            </w:r>
          </w:p>
        </w:tc>
      </w:tr>
      <w:tr w:rsidR="005A04AB" w:rsidRPr="006B3AC6" w14:paraId="2F7AB1BD" w14:textId="77777777" w:rsidTr="00780608">
        <w:trPr>
          <w:trHeight w:val="300"/>
        </w:trPr>
        <w:tc>
          <w:tcPr>
            <w:tcW w:w="2414" w:type="dxa"/>
            <w:noWrap/>
            <w:vAlign w:val="center"/>
            <w:hideMark/>
          </w:tcPr>
          <w:p w14:paraId="278633B3" w14:textId="77777777" w:rsidR="00E54E83" w:rsidRPr="002E3196" w:rsidRDefault="00E54E83">
            <w:pPr>
              <w:spacing w:line="240" w:lineRule="auto"/>
              <w:rPr>
                <w:rFonts w:cstheme="minorHAnsi"/>
                <w:bCs/>
                <w:sz w:val="16"/>
                <w:szCs w:val="16"/>
              </w:rPr>
            </w:pPr>
            <w:r w:rsidRPr="002E3196">
              <w:rPr>
                <w:rFonts w:cstheme="minorHAnsi"/>
                <w:bCs/>
                <w:sz w:val="16"/>
                <w:szCs w:val="16"/>
              </w:rPr>
              <w:t>Pure Planet Ltd</w:t>
            </w:r>
          </w:p>
        </w:tc>
        <w:tc>
          <w:tcPr>
            <w:tcW w:w="1918" w:type="dxa"/>
            <w:noWrap/>
            <w:vAlign w:val="center"/>
            <w:hideMark/>
          </w:tcPr>
          <w:p w14:paraId="627A17B1" w14:textId="79E3F58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369</w:t>
            </w:r>
            <w:r w:rsidR="00BE1217">
              <w:rPr>
                <w:rFonts w:cstheme="minorHAnsi"/>
                <w:bCs/>
                <w:sz w:val="16"/>
                <w:szCs w:val="16"/>
              </w:rPr>
              <w:t>,</w:t>
            </w:r>
            <w:r w:rsidRPr="002E3196">
              <w:rPr>
                <w:rFonts w:cstheme="minorHAnsi"/>
                <w:bCs/>
                <w:sz w:val="16"/>
                <w:szCs w:val="16"/>
              </w:rPr>
              <w:t>184</w:t>
            </w:r>
          </w:p>
        </w:tc>
        <w:tc>
          <w:tcPr>
            <w:tcW w:w="1918" w:type="dxa"/>
            <w:noWrap/>
            <w:vAlign w:val="center"/>
            <w:hideMark/>
          </w:tcPr>
          <w:p w14:paraId="00EBCDF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148A54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£3,039,337.55</w:t>
            </w:r>
          </w:p>
        </w:tc>
        <w:tc>
          <w:tcPr>
            <w:tcW w:w="2154" w:type="dxa"/>
            <w:noWrap/>
            <w:vAlign w:val="center"/>
            <w:hideMark/>
          </w:tcPr>
          <w:p w14:paraId="0AF9E2B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16BFC27" w14:textId="77777777" w:rsidTr="00780608">
        <w:trPr>
          <w:trHeight w:val="300"/>
        </w:trPr>
        <w:tc>
          <w:tcPr>
            <w:tcW w:w="2414" w:type="dxa"/>
            <w:noWrap/>
            <w:vAlign w:val="center"/>
            <w:hideMark/>
          </w:tcPr>
          <w:p w14:paraId="110168CB" w14:textId="77777777" w:rsidR="00E54E83" w:rsidRPr="002E3196" w:rsidRDefault="00E54E83">
            <w:pPr>
              <w:spacing w:line="240" w:lineRule="auto"/>
              <w:rPr>
                <w:rFonts w:cstheme="minorHAnsi"/>
                <w:bCs/>
                <w:sz w:val="16"/>
                <w:szCs w:val="16"/>
              </w:rPr>
            </w:pPr>
            <w:r w:rsidRPr="002E3196">
              <w:rPr>
                <w:rFonts w:cstheme="minorHAnsi"/>
                <w:bCs/>
                <w:sz w:val="16"/>
                <w:szCs w:val="16"/>
              </w:rPr>
              <w:t>PX Supply Limited</w:t>
            </w:r>
          </w:p>
        </w:tc>
        <w:tc>
          <w:tcPr>
            <w:tcW w:w="1918" w:type="dxa"/>
            <w:noWrap/>
            <w:vAlign w:val="center"/>
            <w:hideMark/>
          </w:tcPr>
          <w:p w14:paraId="7E1DF202" w14:textId="2D1D953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BE1217">
              <w:rPr>
                <w:rFonts w:cstheme="minorHAnsi"/>
                <w:bCs/>
                <w:sz w:val="16"/>
                <w:szCs w:val="16"/>
              </w:rPr>
              <w:t>,</w:t>
            </w:r>
            <w:r w:rsidRPr="002E3196">
              <w:rPr>
                <w:rFonts w:cstheme="minorHAnsi"/>
                <w:bCs/>
                <w:sz w:val="16"/>
                <w:szCs w:val="16"/>
              </w:rPr>
              <w:t>146</w:t>
            </w:r>
          </w:p>
        </w:tc>
        <w:tc>
          <w:tcPr>
            <w:tcW w:w="1918" w:type="dxa"/>
            <w:noWrap/>
            <w:vAlign w:val="center"/>
            <w:hideMark/>
          </w:tcPr>
          <w:p w14:paraId="5DDA34C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726BE0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£57,357.30</w:t>
            </w:r>
          </w:p>
        </w:tc>
        <w:tc>
          <w:tcPr>
            <w:tcW w:w="2154" w:type="dxa"/>
            <w:noWrap/>
            <w:vAlign w:val="center"/>
            <w:hideMark/>
          </w:tcPr>
          <w:p w14:paraId="445524A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32828B7" w14:textId="77777777" w:rsidTr="00780608">
        <w:trPr>
          <w:trHeight w:val="300"/>
        </w:trPr>
        <w:tc>
          <w:tcPr>
            <w:tcW w:w="2414" w:type="dxa"/>
            <w:noWrap/>
            <w:vAlign w:val="center"/>
            <w:hideMark/>
          </w:tcPr>
          <w:p w14:paraId="76B523B4" w14:textId="77777777" w:rsidR="00E54E83" w:rsidRPr="002E3196" w:rsidRDefault="00E54E83">
            <w:pPr>
              <w:spacing w:line="240" w:lineRule="auto"/>
              <w:rPr>
                <w:rFonts w:cstheme="minorHAnsi"/>
                <w:bCs/>
                <w:sz w:val="16"/>
                <w:szCs w:val="16"/>
              </w:rPr>
            </w:pPr>
            <w:r w:rsidRPr="002E3196">
              <w:rPr>
                <w:rFonts w:cstheme="minorHAnsi"/>
                <w:bCs/>
                <w:sz w:val="16"/>
                <w:szCs w:val="16"/>
              </w:rPr>
              <w:t>Robin Hood Energy Ltd</w:t>
            </w:r>
          </w:p>
        </w:tc>
        <w:tc>
          <w:tcPr>
            <w:tcW w:w="1918" w:type="dxa"/>
            <w:noWrap/>
            <w:vAlign w:val="center"/>
            <w:hideMark/>
          </w:tcPr>
          <w:p w14:paraId="1E27B1CB" w14:textId="3C821BF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89</w:t>
            </w:r>
            <w:r w:rsidR="006F65DF">
              <w:rPr>
                <w:rFonts w:cstheme="minorHAnsi"/>
                <w:bCs/>
                <w:sz w:val="16"/>
                <w:szCs w:val="16"/>
              </w:rPr>
              <w:t>,</w:t>
            </w:r>
            <w:r w:rsidRPr="002E3196">
              <w:rPr>
                <w:rFonts w:cstheme="minorHAnsi"/>
                <w:bCs/>
                <w:sz w:val="16"/>
                <w:szCs w:val="16"/>
              </w:rPr>
              <w:t>343</w:t>
            </w:r>
          </w:p>
        </w:tc>
        <w:tc>
          <w:tcPr>
            <w:tcW w:w="1918" w:type="dxa"/>
            <w:noWrap/>
            <w:vAlign w:val="center"/>
            <w:hideMark/>
          </w:tcPr>
          <w:p w14:paraId="73DC86E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E2FEA5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F3DDBD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55CC7F6" w14:textId="77777777" w:rsidTr="00780608">
        <w:trPr>
          <w:trHeight w:val="300"/>
        </w:trPr>
        <w:tc>
          <w:tcPr>
            <w:tcW w:w="2414" w:type="dxa"/>
            <w:noWrap/>
            <w:vAlign w:val="center"/>
            <w:hideMark/>
          </w:tcPr>
          <w:p w14:paraId="76AECB3F" w14:textId="77777777" w:rsidR="00E54E83" w:rsidRPr="002E3196" w:rsidRDefault="00E54E83">
            <w:pPr>
              <w:spacing w:line="240" w:lineRule="auto"/>
              <w:rPr>
                <w:rFonts w:cstheme="minorHAnsi"/>
                <w:bCs/>
                <w:sz w:val="16"/>
                <w:szCs w:val="16"/>
              </w:rPr>
            </w:pPr>
            <w:r w:rsidRPr="002E3196">
              <w:rPr>
                <w:rFonts w:cstheme="minorHAnsi"/>
                <w:bCs/>
                <w:sz w:val="16"/>
                <w:szCs w:val="16"/>
              </w:rPr>
              <w:t>RWE Npower Plc</w:t>
            </w:r>
          </w:p>
        </w:tc>
        <w:tc>
          <w:tcPr>
            <w:tcW w:w="1918" w:type="dxa"/>
            <w:noWrap/>
            <w:vAlign w:val="center"/>
            <w:hideMark/>
          </w:tcPr>
          <w:p w14:paraId="2AB816C4" w14:textId="1C2A941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w:t>
            </w:r>
            <w:r w:rsidR="00BE1217">
              <w:rPr>
                <w:rFonts w:cstheme="minorHAnsi"/>
                <w:bCs/>
                <w:sz w:val="16"/>
                <w:szCs w:val="16"/>
              </w:rPr>
              <w:t>,</w:t>
            </w:r>
            <w:r w:rsidRPr="002E3196">
              <w:rPr>
                <w:rFonts w:cstheme="minorHAnsi"/>
                <w:bCs/>
                <w:sz w:val="16"/>
                <w:szCs w:val="16"/>
              </w:rPr>
              <w:t>106</w:t>
            </w:r>
            <w:r w:rsidR="00BE1217">
              <w:rPr>
                <w:rFonts w:cstheme="minorHAnsi"/>
                <w:bCs/>
                <w:sz w:val="16"/>
                <w:szCs w:val="16"/>
              </w:rPr>
              <w:t>,</w:t>
            </w:r>
            <w:r w:rsidRPr="002E3196">
              <w:rPr>
                <w:rFonts w:cstheme="minorHAnsi"/>
                <w:bCs/>
                <w:sz w:val="16"/>
                <w:szCs w:val="16"/>
              </w:rPr>
              <w:t>467</w:t>
            </w:r>
          </w:p>
        </w:tc>
        <w:tc>
          <w:tcPr>
            <w:tcW w:w="1918" w:type="dxa"/>
            <w:noWrap/>
            <w:vAlign w:val="center"/>
            <w:hideMark/>
          </w:tcPr>
          <w:p w14:paraId="734E1FD0" w14:textId="6C822A0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w:t>
            </w:r>
            <w:r w:rsidR="00BE1217">
              <w:rPr>
                <w:rFonts w:cstheme="minorHAnsi"/>
                <w:bCs/>
                <w:sz w:val="16"/>
                <w:szCs w:val="16"/>
              </w:rPr>
              <w:t>,</w:t>
            </w:r>
            <w:r w:rsidRPr="002E3196">
              <w:rPr>
                <w:rFonts w:cstheme="minorHAnsi"/>
                <w:bCs/>
                <w:sz w:val="16"/>
                <w:szCs w:val="16"/>
              </w:rPr>
              <w:t>012</w:t>
            </w:r>
            <w:r w:rsidR="00BE1217">
              <w:rPr>
                <w:rFonts w:cstheme="minorHAnsi"/>
                <w:bCs/>
                <w:sz w:val="16"/>
                <w:szCs w:val="16"/>
              </w:rPr>
              <w:t>,</w:t>
            </w:r>
            <w:r w:rsidRPr="002E3196">
              <w:rPr>
                <w:rFonts w:cstheme="minorHAnsi"/>
                <w:bCs/>
                <w:sz w:val="16"/>
                <w:szCs w:val="16"/>
              </w:rPr>
              <w:t>661</w:t>
            </w:r>
          </w:p>
        </w:tc>
        <w:tc>
          <w:tcPr>
            <w:tcW w:w="2138" w:type="dxa"/>
            <w:noWrap/>
            <w:vAlign w:val="center"/>
            <w:hideMark/>
          </w:tcPr>
          <w:p w14:paraId="17275AC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£4,694,990.30</w:t>
            </w:r>
          </w:p>
        </w:tc>
        <w:tc>
          <w:tcPr>
            <w:tcW w:w="2154" w:type="dxa"/>
            <w:noWrap/>
            <w:vAlign w:val="center"/>
            <w:hideMark/>
          </w:tcPr>
          <w:p w14:paraId="5BD1A9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£48,739,982.00</w:t>
            </w:r>
          </w:p>
        </w:tc>
      </w:tr>
      <w:tr w:rsidR="005A04AB" w:rsidRPr="006B3AC6" w14:paraId="188D21AC" w14:textId="77777777" w:rsidTr="00780608">
        <w:trPr>
          <w:trHeight w:val="550"/>
        </w:trPr>
        <w:tc>
          <w:tcPr>
            <w:tcW w:w="2414" w:type="dxa"/>
            <w:noWrap/>
            <w:vAlign w:val="center"/>
            <w:hideMark/>
          </w:tcPr>
          <w:p w14:paraId="236FDF4B" w14:textId="77777777" w:rsidR="00E54E83" w:rsidRPr="002E3196" w:rsidRDefault="00E54E83">
            <w:pPr>
              <w:spacing w:line="240" w:lineRule="auto"/>
              <w:rPr>
                <w:rFonts w:cstheme="minorHAnsi"/>
                <w:bCs/>
                <w:sz w:val="16"/>
                <w:szCs w:val="16"/>
              </w:rPr>
            </w:pPr>
            <w:r w:rsidRPr="002E3196">
              <w:rPr>
                <w:rFonts w:cstheme="minorHAnsi"/>
                <w:bCs/>
                <w:sz w:val="16"/>
                <w:szCs w:val="16"/>
              </w:rPr>
              <w:t>Scottish Power Energy Retail Ltd</w:t>
            </w:r>
          </w:p>
        </w:tc>
        <w:tc>
          <w:tcPr>
            <w:tcW w:w="1918" w:type="dxa"/>
            <w:noWrap/>
            <w:vAlign w:val="center"/>
            <w:hideMark/>
          </w:tcPr>
          <w:p w14:paraId="15D5F932" w14:textId="33C0197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w:t>
            </w:r>
            <w:r w:rsidR="00BE1217">
              <w:rPr>
                <w:rFonts w:cstheme="minorHAnsi"/>
                <w:bCs/>
                <w:sz w:val="16"/>
                <w:szCs w:val="16"/>
              </w:rPr>
              <w:t>,</w:t>
            </w:r>
            <w:r w:rsidRPr="002E3196">
              <w:rPr>
                <w:rFonts w:cstheme="minorHAnsi"/>
                <w:bCs/>
                <w:sz w:val="16"/>
                <w:szCs w:val="16"/>
              </w:rPr>
              <w:t>017</w:t>
            </w:r>
            <w:r w:rsidR="00BE1217">
              <w:rPr>
                <w:rFonts w:cstheme="minorHAnsi"/>
                <w:bCs/>
                <w:sz w:val="16"/>
                <w:szCs w:val="16"/>
              </w:rPr>
              <w:t>,</w:t>
            </w:r>
            <w:r w:rsidRPr="002E3196">
              <w:rPr>
                <w:rFonts w:cstheme="minorHAnsi"/>
                <w:bCs/>
                <w:sz w:val="16"/>
                <w:szCs w:val="16"/>
              </w:rPr>
              <w:t>239</w:t>
            </w:r>
          </w:p>
        </w:tc>
        <w:tc>
          <w:tcPr>
            <w:tcW w:w="1918" w:type="dxa"/>
            <w:noWrap/>
            <w:vAlign w:val="center"/>
            <w:hideMark/>
          </w:tcPr>
          <w:p w14:paraId="4CC5A870" w14:textId="6F51279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w:t>
            </w:r>
            <w:r w:rsidR="00BE1217">
              <w:rPr>
                <w:rFonts w:cstheme="minorHAnsi"/>
                <w:bCs/>
                <w:sz w:val="16"/>
                <w:szCs w:val="16"/>
              </w:rPr>
              <w:t>,</w:t>
            </w:r>
            <w:r w:rsidRPr="002E3196">
              <w:rPr>
                <w:rFonts w:cstheme="minorHAnsi"/>
                <w:bCs/>
                <w:sz w:val="16"/>
                <w:szCs w:val="16"/>
              </w:rPr>
              <w:t>017</w:t>
            </w:r>
            <w:r w:rsidR="00BE1217">
              <w:rPr>
                <w:rFonts w:cstheme="minorHAnsi"/>
                <w:bCs/>
                <w:sz w:val="16"/>
                <w:szCs w:val="16"/>
              </w:rPr>
              <w:t>,</w:t>
            </w:r>
            <w:r w:rsidRPr="002E3196">
              <w:rPr>
                <w:rFonts w:cstheme="minorHAnsi"/>
                <w:bCs/>
                <w:sz w:val="16"/>
                <w:szCs w:val="16"/>
              </w:rPr>
              <w:t>239</w:t>
            </w:r>
          </w:p>
        </w:tc>
        <w:tc>
          <w:tcPr>
            <w:tcW w:w="2138" w:type="dxa"/>
            <w:noWrap/>
            <w:vAlign w:val="center"/>
            <w:hideMark/>
          </w:tcPr>
          <w:p w14:paraId="55DBB02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801650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£35,482,807.00</w:t>
            </w:r>
          </w:p>
        </w:tc>
      </w:tr>
      <w:tr w:rsidR="005A04AB" w:rsidRPr="006B3AC6" w14:paraId="10D1DE93" w14:textId="77777777" w:rsidTr="00780608">
        <w:trPr>
          <w:trHeight w:val="300"/>
        </w:trPr>
        <w:tc>
          <w:tcPr>
            <w:tcW w:w="2414" w:type="dxa"/>
            <w:noWrap/>
            <w:vAlign w:val="center"/>
            <w:hideMark/>
          </w:tcPr>
          <w:p w14:paraId="79518771" w14:textId="77777777" w:rsidR="00E54E83" w:rsidRPr="002E3196" w:rsidRDefault="00E54E83">
            <w:pPr>
              <w:spacing w:line="240" w:lineRule="auto"/>
              <w:rPr>
                <w:rFonts w:cstheme="minorHAnsi"/>
                <w:bCs/>
                <w:sz w:val="16"/>
                <w:szCs w:val="16"/>
              </w:rPr>
            </w:pPr>
            <w:r w:rsidRPr="002E3196">
              <w:rPr>
                <w:rFonts w:cstheme="minorHAnsi"/>
                <w:bCs/>
                <w:sz w:val="16"/>
                <w:szCs w:val="16"/>
              </w:rPr>
              <w:t>Shell Energy Retail Ltd</w:t>
            </w:r>
          </w:p>
        </w:tc>
        <w:tc>
          <w:tcPr>
            <w:tcW w:w="1918" w:type="dxa"/>
            <w:noWrap/>
            <w:vAlign w:val="center"/>
            <w:hideMark/>
          </w:tcPr>
          <w:p w14:paraId="47C5F096" w14:textId="7AACCCB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BE1217">
              <w:rPr>
                <w:rFonts w:cstheme="minorHAnsi"/>
                <w:bCs/>
                <w:sz w:val="16"/>
                <w:szCs w:val="16"/>
              </w:rPr>
              <w:t>,</w:t>
            </w:r>
            <w:r w:rsidRPr="002E3196">
              <w:rPr>
                <w:rFonts w:cstheme="minorHAnsi"/>
                <w:bCs/>
                <w:sz w:val="16"/>
                <w:szCs w:val="16"/>
              </w:rPr>
              <w:t>350</w:t>
            </w:r>
            <w:r w:rsidR="00BE1217">
              <w:rPr>
                <w:rFonts w:cstheme="minorHAnsi"/>
                <w:bCs/>
                <w:sz w:val="16"/>
                <w:szCs w:val="16"/>
              </w:rPr>
              <w:t>,</w:t>
            </w:r>
            <w:r w:rsidRPr="002E3196">
              <w:rPr>
                <w:rFonts w:cstheme="minorHAnsi"/>
                <w:bCs/>
                <w:sz w:val="16"/>
                <w:szCs w:val="16"/>
              </w:rPr>
              <w:t>806</w:t>
            </w:r>
          </w:p>
        </w:tc>
        <w:tc>
          <w:tcPr>
            <w:tcW w:w="1918" w:type="dxa"/>
            <w:noWrap/>
            <w:vAlign w:val="center"/>
            <w:hideMark/>
          </w:tcPr>
          <w:p w14:paraId="0FAB921F" w14:textId="1887E2C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BE1217">
              <w:rPr>
                <w:rFonts w:cstheme="minorHAnsi"/>
                <w:bCs/>
                <w:sz w:val="16"/>
                <w:szCs w:val="16"/>
              </w:rPr>
              <w:t>,</w:t>
            </w:r>
            <w:r w:rsidRPr="002E3196">
              <w:rPr>
                <w:rFonts w:cstheme="minorHAnsi"/>
                <w:bCs/>
                <w:sz w:val="16"/>
                <w:szCs w:val="16"/>
              </w:rPr>
              <w:t>350</w:t>
            </w:r>
            <w:r w:rsidR="00BE1217">
              <w:rPr>
                <w:rFonts w:cstheme="minorHAnsi"/>
                <w:bCs/>
                <w:sz w:val="16"/>
                <w:szCs w:val="16"/>
              </w:rPr>
              <w:t>,</w:t>
            </w:r>
            <w:r w:rsidRPr="002E3196">
              <w:rPr>
                <w:rFonts w:cstheme="minorHAnsi"/>
                <w:bCs/>
                <w:sz w:val="16"/>
                <w:szCs w:val="16"/>
              </w:rPr>
              <w:t>806</w:t>
            </w:r>
          </w:p>
        </w:tc>
        <w:tc>
          <w:tcPr>
            <w:tcW w:w="2138" w:type="dxa"/>
            <w:noWrap/>
            <w:vAlign w:val="center"/>
            <w:hideMark/>
          </w:tcPr>
          <w:p w14:paraId="44116AC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B39507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£5,978,414.00</w:t>
            </w:r>
          </w:p>
        </w:tc>
      </w:tr>
      <w:tr w:rsidR="005A04AB" w:rsidRPr="006B3AC6" w14:paraId="4DD278A8" w14:textId="77777777" w:rsidTr="00780608">
        <w:trPr>
          <w:trHeight w:val="550"/>
        </w:trPr>
        <w:tc>
          <w:tcPr>
            <w:tcW w:w="2414" w:type="dxa"/>
            <w:noWrap/>
            <w:vAlign w:val="center"/>
            <w:hideMark/>
          </w:tcPr>
          <w:p w14:paraId="5E5456FC" w14:textId="77777777" w:rsidR="00E54E83" w:rsidRPr="002E3196" w:rsidRDefault="00E54E83">
            <w:pPr>
              <w:spacing w:line="240" w:lineRule="auto"/>
              <w:rPr>
                <w:rFonts w:cstheme="minorHAnsi"/>
                <w:bCs/>
                <w:sz w:val="16"/>
                <w:szCs w:val="16"/>
              </w:rPr>
            </w:pPr>
            <w:r w:rsidRPr="002E3196">
              <w:rPr>
                <w:rFonts w:cstheme="minorHAnsi"/>
                <w:bCs/>
                <w:sz w:val="16"/>
                <w:szCs w:val="16"/>
              </w:rPr>
              <w:t>Shell Energy Supply UK Ltd</w:t>
            </w:r>
          </w:p>
        </w:tc>
        <w:tc>
          <w:tcPr>
            <w:tcW w:w="1918" w:type="dxa"/>
            <w:noWrap/>
            <w:vAlign w:val="center"/>
            <w:hideMark/>
          </w:tcPr>
          <w:p w14:paraId="6499FA7B" w14:textId="6CA294D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233</w:t>
            </w:r>
            <w:r w:rsidR="00BE1217">
              <w:rPr>
                <w:rFonts w:cstheme="minorHAnsi"/>
                <w:bCs/>
                <w:sz w:val="16"/>
                <w:szCs w:val="16"/>
              </w:rPr>
              <w:t>,</w:t>
            </w:r>
            <w:r w:rsidRPr="002E3196">
              <w:rPr>
                <w:rFonts w:cstheme="minorHAnsi"/>
                <w:bCs/>
                <w:sz w:val="16"/>
                <w:szCs w:val="16"/>
              </w:rPr>
              <w:t>045</w:t>
            </w:r>
          </w:p>
        </w:tc>
        <w:tc>
          <w:tcPr>
            <w:tcW w:w="1918" w:type="dxa"/>
            <w:noWrap/>
            <w:vAlign w:val="center"/>
            <w:hideMark/>
          </w:tcPr>
          <w:p w14:paraId="022B20F8" w14:textId="4744698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233</w:t>
            </w:r>
            <w:r w:rsidR="00BE1217">
              <w:rPr>
                <w:rFonts w:cstheme="minorHAnsi"/>
                <w:bCs/>
                <w:sz w:val="16"/>
                <w:szCs w:val="16"/>
              </w:rPr>
              <w:t>,</w:t>
            </w:r>
            <w:r w:rsidRPr="002E3196">
              <w:rPr>
                <w:rFonts w:cstheme="minorHAnsi"/>
                <w:bCs/>
                <w:sz w:val="16"/>
                <w:szCs w:val="16"/>
              </w:rPr>
              <w:t>045</w:t>
            </w:r>
          </w:p>
        </w:tc>
        <w:tc>
          <w:tcPr>
            <w:tcW w:w="2138" w:type="dxa"/>
            <w:noWrap/>
            <w:vAlign w:val="center"/>
            <w:hideMark/>
          </w:tcPr>
          <w:p w14:paraId="4B9C8D3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FE2E0A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£1,031,411.00</w:t>
            </w:r>
          </w:p>
        </w:tc>
      </w:tr>
      <w:tr w:rsidR="005A04AB" w:rsidRPr="006B3AC6" w14:paraId="58E4F868" w14:textId="77777777" w:rsidTr="00780608">
        <w:trPr>
          <w:trHeight w:val="300"/>
        </w:trPr>
        <w:tc>
          <w:tcPr>
            <w:tcW w:w="2414" w:type="dxa"/>
            <w:noWrap/>
            <w:vAlign w:val="center"/>
            <w:hideMark/>
          </w:tcPr>
          <w:p w14:paraId="1E6BB221" w14:textId="77777777" w:rsidR="00E54E83" w:rsidRPr="002E3196" w:rsidRDefault="00E54E83">
            <w:pPr>
              <w:spacing w:line="240" w:lineRule="auto"/>
              <w:rPr>
                <w:rFonts w:cstheme="minorHAnsi"/>
                <w:bCs/>
                <w:sz w:val="16"/>
                <w:szCs w:val="16"/>
              </w:rPr>
            </w:pPr>
            <w:r w:rsidRPr="002E3196">
              <w:rPr>
                <w:rFonts w:cstheme="minorHAnsi"/>
                <w:bCs/>
                <w:sz w:val="16"/>
                <w:szCs w:val="16"/>
              </w:rPr>
              <w:t>Shell Energy UK</w:t>
            </w:r>
          </w:p>
        </w:tc>
        <w:tc>
          <w:tcPr>
            <w:tcW w:w="1918" w:type="dxa"/>
            <w:noWrap/>
            <w:vAlign w:val="center"/>
            <w:hideMark/>
          </w:tcPr>
          <w:p w14:paraId="249D6173" w14:textId="3AEE84B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491</w:t>
            </w:r>
            <w:r w:rsidR="00292EBC">
              <w:rPr>
                <w:rFonts w:cstheme="minorHAnsi"/>
                <w:bCs/>
                <w:sz w:val="16"/>
                <w:szCs w:val="16"/>
              </w:rPr>
              <w:t>,</w:t>
            </w:r>
            <w:r w:rsidRPr="002E3196">
              <w:rPr>
                <w:rFonts w:cstheme="minorHAnsi"/>
                <w:bCs/>
                <w:sz w:val="16"/>
                <w:szCs w:val="16"/>
              </w:rPr>
              <w:t>627</w:t>
            </w:r>
          </w:p>
        </w:tc>
        <w:tc>
          <w:tcPr>
            <w:tcW w:w="1918" w:type="dxa"/>
            <w:noWrap/>
            <w:vAlign w:val="center"/>
            <w:hideMark/>
          </w:tcPr>
          <w:p w14:paraId="44B03ADD" w14:textId="5E8A993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491</w:t>
            </w:r>
            <w:r w:rsidR="00292EBC">
              <w:rPr>
                <w:rFonts w:cstheme="minorHAnsi"/>
                <w:bCs/>
                <w:sz w:val="16"/>
                <w:szCs w:val="16"/>
              </w:rPr>
              <w:t>,</w:t>
            </w:r>
            <w:r w:rsidRPr="002E3196">
              <w:rPr>
                <w:rFonts w:cstheme="minorHAnsi"/>
                <w:bCs/>
                <w:sz w:val="16"/>
                <w:szCs w:val="16"/>
              </w:rPr>
              <w:t>627</w:t>
            </w:r>
          </w:p>
        </w:tc>
        <w:tc>
          <w:tcPr>
            <w:tcW w:w="2138" w:type="dxa"/>
            <w:noWrap/>
            <w:vAlign w:val="center"/>
            <w:hideMark/>
          </w:tcPr>
          <w:p w14:paraId="37CF121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DF4F19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£2,175,848.00</w:t>
            </w:r>
          </w:p>
        </w:tc>
      </w:tr>
      <w:tr w:rsidR="005A04AB" w:rsidRPr="006B3AC6" w14:paraId="3362491F" w14:textId="77777777" w:rsidTr="00780608">
        <w:trPr>
          <w:trHeight w:val="300"/>
        </w:trPr>
        <w:tc>
          <w:tcPr>
            <w:tcW w:w="2414" w:type="dxa"/>
            <w:noWrap/>
            <w:vAlign w:val="center"/>
            <w:hideMark/>
          </w:tcPr>
          <w:p w14:paraId="631AA3B7" w14:textId="77777777" w:rsidR="00E54E83" w:rsidRPr="002E3196" w:rsidRDefault="00E54E83">
            <w:pPr>
              <w:spacing w:line="240" w:lineRule="auto"/>
              <w:rPr>
                <w:rFonts w:cstheme="minorHAnsi"/>
                <w:bCs/>
                <w:sz w:val="16"/>
                <w:szCs w:val="16"/>
              </w:rPr>
            </w:pPr>
            <w:r w:rsidRPr="002E3196">
              <w:rPr>
                <w:rFonts w:cstheme="minorHAnsi"/>
                <w:bCs/>
                <w:sz w:val="16"/>
                <w:szCs w:val="16"/>
              </w:rPr>
              <w:t>Simplicity Energy Limited</w:t>
            </w:r>
          </w:p>
        </w:tc>
        <w:tc>
          <w:tcPr>
            <w:tcW w:w="1918" w:type="dxa"/>
            <w:noWrap/>
            <w:vAlign w:val="center"/>
            <w:hideMark/>
          </w:tcPr>
          <w:p w14:paraId="10079FF1" w14:textId="07A429A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91</w:t>
            </w:r>
            <w:r w:rsidR="00292EBC">
              <w:rPr>
                <w:rFonts w:cstheme="minorHAnsi"/>
                <w:bCs/>
                <w:sz w:val="16"/>
                <w:szCs w:val="16"/>
              </w:rPr>
              <w:t>,</w:t>
            </w:r>
            <w:r w:rsidRPr="002E3196">
              <w:rPr>
                <w:rFonts w:cstheme="minorHAnsi"/>
                <w:bCs/>
                <w:sz w:val="16"/>
                <w:szCs w:val="16"/>
              </w:rPr>
              <w:t>357</w:t>
            </w:r>
          </w:p>
        </w:tc>
        <w:tc>
          <w:tcPr>
            <w:tcW w:w="1918" w:type="dxa"/>
            <w:noWrap/>
            <w:vAlign w:val="center"/>
            <w:hideMark/>
          </w:tcPr>
          <w:p w14:paraId="0F8F88B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07C95B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6897BE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105284E" w14:textId="77777777" w:rsidTr="00780608">
        <w:trPr>
          <w:trHeight w:val="300"/>
        </w:trPr>
        <w:tc>
          <w:tcPr>
            <w:tcW w:w="2414" w:type="dxa"/>
            <w:noWrap/>
            <w:vAlign w:val="center"/>
            <w:hideMark/>
          </w:tcPr>
          <w:p w14:paraId="5C9BF0B1" w14:textId="77777777" w:rsidR="00E54E83" w:rsidRPr="002E3196" w:rsidRDefault="00E54E83">
            <w:pPr>
              <w:spacing w:line="240" w:lineRule="auto"/>
              <w:rPr>
                <w:rFonts w:cstheme="minorHAnsi"/>
                <w:bCs/>
                <w:sz w:val="16"/>
                <w:szCs w:val="16"/>
              </w:rPr>
            </w:pPr>
            <w:r w:rsidRPr="002E3196">
              <w:rPr>
                <w:rFonts w:cstheme="minorHAnsi"/>
                <w:bCs/>
                <w:sz w:val="16"/>
                <w:szCs w:val="16"/>
              </w:rPr>
              <w:t>Simply Your Energy Ltd</w:t>
            </w:r>
          </w:p>
        </w:tc>
        <w:tc>
          <w:tcPr>
            <w:tcW w:w="1918" w:type="dxa"/>
            <w:noWrap/>
            <w:vAlign w:val="center"/>
            <w:hideMark/>
          </w:tcPr>
          <w:p w14:paraId="656DAC9C" w14:textId="6071E91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292EBC">
              <w:rPr>
                <w:rFonts w:cstheme="minorHAnsi"/>
                <w:bCs/>
                <w:sz w:val="16"/>
                <w:szCs w:val="16"/>
              </w:rPr>
              <w:t>,</w:t>
            </w:r>
            <w:r w:rsidRPr="002E3196">
              <w:rPr>
                <w:rFonts w:cstheme="minorHAnsi"/>
                <w:bCs/>
                <w:sz w:val="16"/>
                <w:szCs w:val="16"/>
              </w:rPr>
              <w:t>475</w:t>
            </w:r>
          </w:p>
        </w:tc>
        <w:tc>
          <w:tcPr>
            <w:tcW w:w="1918" w:type="dxa"/>
            <w:noWrap/>
            <w:vAlign w:val="center"/>
            <w:hideMark/>
          </w:tcPr>
          <w:p w14:paraId="3B83D59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BA67B9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CE0395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7FDB3EF" w14:textId="77777777" w:rsidTr="00780608">
        <w:trPr>
          <w:trHeight w:val="550"/>
        </w:trPr>
        <w:tc>
          <w:tcPr>
            <w:tcW w:w="2414" w:type="dxa"/>
            <w:noWrap/>
            <w:vAlign w:val="center"/>
            <w:hideMark/>
          </w:tcPr>
          <w:p w14:paraId="4DE826C8"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SmartestEnergy</w:t>
            </w:r>
            <w:proofErr w:type="spellEnd"/>
            <w:r w:rsidRPr="002E3196">
              <w:rPr>
                <w:rFonts w:cstheme="minorHAnsi"/>
                <w:bCs/>
                <w:sz w:val="16"/>
                <w:szCs w:val="16"/>
              </w:rPr>
              <w:t xml:space="preserve"> Business Ltd</w:t>
            </w:r>
          </w:p>
        </w:tc>
        <w:tc>
          <w:tcPr>
            <w:tcW w:w="1918" w:type="dxa"/>
            <w:noWrap/>
            <w:vAlign w:val="center"/>
            <w:hideMark/>
          </w:tcPr>
          <w:p w14:paraId="5E249674" w14:textId="2A94ADF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213</w:t>
            </w:r>
            <w:r w:rsidR="00292EBC">
              <w:rPr>
                <w:rFonts w:cstheme="minorHAnsi"/>
                <w:bCs/>
                <w:sz w:val="16"/>
                <w:szCs w:val="16"/>
              </w:rPr>
              <w:t>,</w:t>
            </w:r>
            <w:r w:rsidRPr="002E3196">
              <w:rPr>
                <w:rFonts w:cstheme="minorHAnsi"/>
                <w:bCs/>
                <w:sz w:val="16"/>
                <w:szCs w:val="16"/>
              </w:rPr>
              <w:t>952</w:t>
            </w:r>
          </w:p>
        </w:tc>
        <w:tc>
          <w:tcPr>
            <w:tcW w:w="1918" w:type="dxa"/>
            <w:noWrap/>
            <w:vAlign w:val="center"/>
            <w:hideMark/>
          </w:tcPr>
          <w:p w14:paraId="3CACCB24" w14:textId="14EE096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213</w:t>
            </w:r>
            <w:r w:rsidR="00292EBC">
              <w:rPr>
                <w:rFonts w:cstheme="minorHAnsi"/>
                <w:bCs/>
                <w:sz w:val="16"/>
                <w:szCs w:val="16"/>
              </w:rPr>
              <w:t>,</w:t>
            </w:r>
            <w:r w:rsidRPr="002E3196">
              <w:rPr>
                <w:rFonts w:cstheme="minorHAnsi"/>
                <w:bCs/>
                <w:sz w:val="16"/>
                <w:szCs w:val="16"/>
              </w:rPr>
              <w:t>952</w:t>
            </w:r>
          </w:p>
        </w:tc>
        <w:tc>
          <w:tcPr>
            <w:tcW w:w="2138" w:type="dxa"/>
            <w:noWrap/>
            <w:vAlign w:val="center"/>
            <w:hideMark/>
          </w:tcPr>
          <w:p w14:paraId="4BF9E63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D029AE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£946,910.00</w:t>
            </w:r>
          </w:p>
        </w:tc>
      </w:tr>
      <w:tr w:rsidR="005A04AB" w:rsidRPr="006B3AC6" w14:paraId="4D89151A" w14:textId="77777777" w:rsidTr="00780608">
        <w:trPr>
          <w:trHeight w:val="300"/>
        </w:trPr>
        <w:tc>
          <w:tcPr>
            <w:tcW w:w="2414" w:type="dxa"/>
            <w:noWrap/>
            <w:vAlign w:val="center"/>
            <w:hideMark/>
          </w:tcPr>
          <w:p w14:paraId="5AECC91D"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SmartestEnergy</w:t>
            </w:r>
            <w:proofErr w:type="spellEnd"/>
            <w:r w:rsidRPr="002E3196">
              <w:rPr>
                <w:rFonts w:cstheme="minorHAnsi"/>
                <w:bCs/>
                <w:sz w:val="16"/>
                <w:szCs w:val="16"/>
              </w:rPr>
              <w:t xml:space="preserve"> Ltd</w:t>
            </w:r>
          </w:p>
        </w:tc>
        <w:tc>
          <w:tcPr>
            <w:tcW w:w="1918" w:type="dxa"/>
            <w:noWrap/>
            <w:vAlign w:val="center"/>
            <w:hideMark/>
          </w:tcPr>
          <w:p w14:paraId="48EC4FF3" w14:textId="7A3198E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812</w:t>
            </w:r>
            <w:r w:rsidR="00292EBC">
              <w:rPr>
                <w:rFonts w:cstheme="minorHAnsi"/>
                <w:bCs/>
                <w:sz w:val="16"/>
                <w:szCs w:val="16"/>
              </w:rPr>
              <w:t>,</w:t>
            </w:r>
            <w:r w:rsidRPr="002E3196">
              <w:rPr>
                <w:rFonts w:cstheme="minorHAnsi"/>
                <w:bCs/>
                <w:sz w:val="16"/>
                <w:szCs w:val="16"/>
              </w:rPr>
              <w:t>392</w:t>
            </w:r>
          </w:p>
        </w:tc>
        <w:tc>
          <w:tcPr>
            <w:tcW w:w="1918" w:type="dxa"/>
            <w:noWrap/>
            <w:vAlign w:val="center"/>
            <w:hideMark/>
          </w:tcPr>
          <w:p w14:paraId="2CC40521" w14:textId="5025F199"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812</w:t>
            </w:r>
            <w:r w:rsidR="00292EBC">
              <w:rPr>
                <w:rFonts w:cstheme="minorHAnsi"/>
                <w:bCs/>
                <w:sz w:val="16"/>
                <w:szCs w:val="16"/>
              </w:rPr>
              <w:t>,</w:t>
            </w:r>
            <w:r w:rsidRPr="002E3196">
              <w:rPr>
                <w:rFonts w:cstheme="minorHAnsi"/>
                <w:bCs/>
                <w:sz w:val="16"/>
                <w:szCs w:val="16"/>
              </w:rPr>
              <w:t>392</w:t>
            </w:r>
          </w:p>
        </w:tc>
        <w:tc>
          <w:tcPr>
            <w:tcW w:w="2138" w:type="dxa"/>
            <w:noWrap/>
            <w:vAlign w:val="center"/>
            <w:hideMark/>
          </w:tcPr>
          <w:p w14:paraId="7705936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BF412F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£12,447,121.00</w:t>
            </w:r>
          </w:p>
        </w:tc>
      </w:tr>
      <w:tr w:rsidR="005A04AB" w:rsidRPr="006B3AC6" w14:paraId="38E30B19" w14:textId="77777777" w:rsidTr="00780608">
        <w:trPr>
          <w:trHeight w:val="300"/>
        </w:trPr>
        <w:tc>
          <w:tcPr>
            <w:tcW w:w="2414" w:type="dxa"/>
            <w:noWrap/>
            <w:vAlign w:val="center"/>
            <w:hideMark/>
          </w:tcPr>
          <w:p w14:paraId="1EFB7232" w14:textId="77777777" w:rsidR="00E54E83" w:rsidRPr="002E3196" w:rsidRDefault="00E54E83">
            <w:pPr>
              <w:spacing w:line="240" w:lineRule="auto"/>
              <w:rPr>
                <w:rFonts w:cstheme="minorHAnsi"/>
                <w:bCs/>
                <w:sz w:val="16"/>
                <w:szCs w:val="16"/>
              </w:rPr>
            </w:pPr>
            <w:r w:rsidRPr="002E3196">
              <w:rPr>
                <w:rFonts w:cstheme="minorHAnsi"/>
                <w:bCs/>
                <w:sz w:val="16"/>
                <w:szCs w:val="16"/>
              </w:rPr>
              <w:t>SO Energy Trading Ltd</w:t>
            </w:r>
          </w:p>
        </w:tc>
        <w:tc>
          <w:tcPr>
            <w:tcW w:w="1918" w:type="dxa"/>
            <w:noWrap/>
            <w:vAlign w:val="center"/>
            <w:hideMark/>
          </w:tcPr>
          <w:p w14:paraId="2F58A349" w14:textId="569D0FA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451</w:t>
            </w:r>
            <w:r w:rsidR="00292EBC">
              <w:rPr>
                <w:rFonts w:cstheme="minorHAnsi"/>
                <w:bCs/>
                <w:sz w:val="16"/>
                <w:szCs w:val="16"/>
              </w:rPr>
              <w:t>,</w:t>
            </w:r>
            <w:r w:rsidRPr="002E3196">
              <w:rPr>
                <w:rFonts w:cstheme="minorHAnsi"/>
                <w:bCs/>
                <w:sz w:val="16"/>
                <w:szCs w:val="16"/>
              </w:rPr>
              <w:t>609</w:t>
            </w:r>
          </w:p>
        </w:tc>
        <w:tc>
          <w:tcPr>
            <w:tcW w:w="1918" w:type="dxa"/>
            <w:noWrap/>
            <w:vAlign w:val="center"/>
            <w:hideMark/>
          </w:tcPr>
          <w:p w14:paraId="767CE70E" w14:textId="2E3397C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w:t>
            </w:r>
            <w:r w:rsidR="00292EBC">
              <w:rPr>
                <w:rFonts w:cstheme="minorHAnsi"/>
                <w:bCs/>
                <w:sz w:val="16"/>
                <w:szCs w:val="16"/>
              </w:rPr>
              <w:t>,</w:t>
            </w:r>
            <w:r w:rsidRPr="002E3196">
              <w:rPr>
                <w:rFonts w:cstheme="minorHAnsi"/>
                <w:bCs/>
                <w:sz w:val="16"/>
                <w:szCs w:val="16"/>
              </w:rPr>
              <w:t>603</w:t>
            </w:r>
          </w:p>
        </w:tc>
        <w:tc>
          <w:tcPr>
            <w:tcW w:w="2138" w:type="dxa"/>
            <w:noWrap/>
            <w:vAlign w:val="center"/>
            <w:hideMark/>
          </w:tcPr>
          <w:p w14:paraId="30B9057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£22,422,700.30</w:t>
            </w:r>
          </w:p>
        </w:tc>
        <w:tc>
          <w:tcPr>
            <w:tcW w:w="2154" w:type="dxa"/>
            <w:noWrap/>
            <w:vAlign w:val="center"/>
            <w:hideMark/>
          </w:tcPr>
          <w:p w14:paraId="45145A8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£15,944.00</w:t>
            </w:r>
          </w:p>
        </w:tc>
      </w:tr>
      <w:tr w:rsidR="005A04AB" w:rsidRPr="006B3AC6" w14:paraId="729CF0B9" w14:textId="77777777" w:rsidTr="00780608">
        <w:trPr>
          <w:trHeight w:val="300"/>
        </w:trPr>
        <w:tc>
          <w:tcPr>
            <w:tcW w:w="2414" w:type="dxa"/>
            <w:noWrap/>
            <w:vAlign w:val="center"/>
            <w:hideMark/>
          </w:tcPr>
          <w:p w14:paraId="792D8E2D" w14:textId="77777777" w:rsidR="00E54E83" w:rsidRPr="002E3196" w:rsidRDefault="00E54E83">
            <w:pPr>
              <w:spacing w:line="240" w:lineRule="auto"/>
              <w:rPr>
                <w:rFonts w:cstheme="minorHAnsi"/>
                <w:bCs/>
                <w:sz w:val="16"/>
                <w:szCs w:val="16"/>
              </w:rPr>
            </w:pPr>
            <w:r w:rsidRPr="002E3196">
              <w:rPr>
                <w:rFonts w:cstheme="minorHAnsi"/>
                <w:bCs/>
                <w:sz w:val="16"/>
                <w:szCs w:val="16"/>
              </w:rPr>
              <w:t>Social Energy Supply Ltd</w:t>
            </w:r>
          </w:p>
        </w:tc>
        <w:tc>
          <w:tcPr>
            <w:tcW w:w="1918" w:type="dxa"/>
            <w:noWrap/>
            <w:vAlign w:val="center"/>
            <w:hideMark/>
          </w:tcPr>
          <w:p w14:paraId="63B45B37" w14:textId="5268DE7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w:t>
            </w:r>
            <w:r w:rsidR="00292EBC">
              <w:rPr>
                <w:rFonts w:cstheme="minorHAnsi"/>
                <w:bCs/>
                <w:sz w:val="16"/>
                <w:szCs w:val="16"/>
              </w:rPr>
              <w:t>,</w:t>
            </w:r>
            <w:r w:rsidRPr="002E3196">
              <w:rPr>
                <w:rFonts w:cstheme="minorHAnsi"/>
                <w:bCs/>
                <w:sz w:val="16"/>
                <w:szCs w:val="16"/>
              </w:rPr>
              <w:t>550</w:t>
            </w:r>
          </w:p>
        </w:tc>
        <w:tc>
          <w:tcPr>
            <w:tcW w:w="1918" w:type="dxa"/>
            <w:noWrap/>
            <w:vAlign w:val="center"/>
            <w:hideMark/>
          </w:tcPr>
          <w:p w14:paraId="191C4B6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D84D8D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£528,027.50</w:t>
            </w:r>
          </w:p>
        </w:tc>
        <w:tc>
          <w:tcPr>
            <w:tcW w:w="2154" w:type="dxa"/>
            <w:noWrap/>
            <w:vAlign w:val="center"/>
            <w:hideMark/>
          </w:tcPr>
          <w:p w14:paraId="1C7FEC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50F5526" w14:textId="77777777" w:rsidTr="00780608">
        <w:trPr>
          <w:trHeight w:val="300"/>
        </w:trPr>
        <w:tc>
          <w:tcPr>
            <w:tcW w:w="2414" w:type="dxa"/>
            <w:noWrap/>
            <w:vAlign w:val="center"/>
            <w:hideMark/>
          </w:tcPr>
          <w:p w14:paraId="09CBEA16" w14:textId="77777777" w:rsidR="00E54E83" w:rsidRPr="002E3196" w:rsidRDefault="00E54E83">
            <w:pPr>
              <w:spacing w:line="240" w:lineRule="auto"/>
              <w:rPr>
                <w:rFonts w:cstheme="minorHAnsi"/>
                <w:bCs/>
                <w:sz w:val="16"/>
                <w:szCs w:val="16"/>
              </w:rPr>
            </w:pPr>
            <w:r w:rsidRPr="002E3196">
              <w:rPr>
                <w:rFonts w:cstheme="minorHAnsi"/>
                <w:bCs/>
                <w:sz w:val="16"/>
                <w:szCs w:val="16"/>
              </w:rPr>
              <w:t>Square1 Energy</w:t>
            </w:r>
          </w:p>
        </w:tc>
        <w:tc>
          <w:tcPr>
            <w:tcW w:w="1918" w:type="dxa"/>
            <w:noWrap/>
            <w:vAlign w:val="center"/>
            <w:hideMark/>
          </w:tcPr>
          <w:p w14:paraId="6EE011A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35</w:t>
            </w:r>
          </w:p>
        </w:tc>
        <w:tc>
          <w:tcPr>
            <w:tcW w:w="1918" w:type="dxa"/>
            <w:noWrap/>
            <w:vAlign w:val="center"/>
            <w:hideMark/>
          </w:tcPr>
          <w:p w14:paraId="25120E5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40BCA4A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£1,751.75</w:t>
            </w:r>
          </w:p>
        </w:tc>
        <w:tc>
          <w:tcPr>
            <w:tcW w:w="2154" w:type="dxa"/>
            <w:noWrap/>
            <w:vAlign w:val="center"/>
            <w:hideMark/>
          </w:tcPr>
          <w:p w14:paraId="20046E7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33891D9" w14:textId="77777777" w:rsidTr="00780608">
        <w:trPr>
          <w:trHeight w:val="300"/>
        </w:trPr>
        <w:tc>
          <w:tcPr>
            <w:tcW w:w="2414" w:type="dxa"/>
            <w:noWrap/>
            <w:vAlign w:val="center"/>
            <w:hideMark/>
          </w:tcPr>
          <w:p w14:paraId="1842854C" w14:textId="77777777" w:rsidR="00E54E83" w:rsidRPr="002E3196" w:rsidRDefault="00E54E83">
            <w:pPr>
              <w:spacing w:line="240" w:lineRule="auto"/>
              <w:rPr>
                <w:rFonts w:cstheme="minorHAnsi"/>
                <w:bCs/>
                <w:sz w:val="16"/>
                <w:szCs w:val="16"/>
              </w:rPr>
            </w:pPr>
            <w:r w:rsidRPr="002E3196">
              <w:rPr>
                <w:rFonts w:cstheme="minorHAnsi"/>
                <w:bCs/>
                <w:sz w:val="16"/>
                <w:szCs w:val="16"/>
              </w:rPr>
              <w:t>Squeaky Clean Energy Ltd</w:t>
            </w:r>
          </w:p>
        </w:tc>
        <w:tc>
          <w:tcPr>
            <w:tcW w:w="1918" w:type="dxa"/>
            <w:noWrap/>
            <w:vAlign w:val="center"/>
            <w:hideMark/>
          </w:tcPr>
          <w:p w14:paraId="4B007D11" w14:textId="2B80BA75"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119</w:t>
            </w:r>
            <w:r w:rsidR="00292EBC">
              <w:rPr>
                <w:rFonts w:cstheme="minorHAnsi"/>
                <w:bCs/>
                <w:sz w:val="16"/>
                <w:szCs w:val="16"/>
              </w:rPr>
              <w:t>,</w:t>
            </w:r>
            <w:r w:rsidRPr="002E3196">
              <w:rPr>
                <w:rFonts w:cstheme="minorHAnsi"/>
                <w:bCs/>
                <w:sz w:val="16"/>
                <w:szCs w:val="16"/>
              </w:rPr>
              <w:t>743</w:t>
            </w:r>
          </w:p>
        </w:tc>
        <w:tc>
          <w:tcPr>
            <w:tcW w:w="1918" w:type="dxa"/>
            <w:noWrap/>
            <w:vAlign w:val="center"/>
            <w:hideMark/>
          </w:tcPr>
          <w:p w14:paraId="6CCAC173" w14:textId="74C1C08A"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119</w:t>
            </w:r>
            <w:r w:rsidR="00292EBC">
              <w:rPr>
                <w:rFonts w:cstheme="minorHAnsi"/>
                <w:bCs/>
                <w:sz w:val="16"/>
                <w:szCs w:val="16"/>
              </w:rPr>
              <w:t>,</w:t>
            </w:r>
            <w:r w:rsidRPr="002E3196">
              <w:rPr>
                <w:rFonts w:cstheme="minorHAnsi"/>
                <w:bCs/>
                <w:sz w:val="16"/>
                <w:szCs w:val="16"/>
              </w:rPr>
              <w:t>654</w:t>
            </w:r>
          </w:p>
        </w:tc>
        <w:tc>
          <w:tcPr>
            <w:tcW w:w="2138" w:type="dxa"/>
            <w:noWrap/>
            <w:vAlign w:val="center"/>
            <w:hideMark/>
          </w:tcPr>
          <w:p w14:paraId="396C558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£4,454.54</w:t>
            </w:r>
          </w:p>
        </w:tc>
        <w:tc>
          <w:tcPr>
            <w:tcW w:w="2154" w:type="dxa"/>
            <w:noWrap/>
            <w:vAlign w:val="center"/>
            <w:hideMark/>
          </w:tcPr>
          <w:p w14:paraId="0C1A2CE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£529,565.00</w:t>
            </w:r>
          </w:p>
        </w:tc>
      </w:tr>
      <w:tr w:rsidR="005A04AB" w:rsidRPr="006B3AC6" w14:paraId="34E3E481" w14:textId="77777777" w:rsidTr="00780608">
        <w:trPr>
          <w:trHeight w:val="550"/>
        </w:trPr>
        <w:tc>
          <w:tcPr>
            <w:tcW w:w="2414" w:type="dxa"/>
            <w:noWrap/>
            <w:vAlign w:val="center"/>
            <w:hideMark/>
          </w:tcPr>
          <w:p w14:paraId="0C401112" w14:textId="77777777" w:rsidR="00E54E83" w:rsidRPr="002E3196" w:rsidRDefault="00E54E83">
            <w:pPr>
              <w:spacing w:line="240" w:lineRule="auto"/>
              <w:rPr>
                <w:rFonts w:cstheme="minorHAnsi"/>
                <w:bCs/>
                <w:sz w:val="16"/>
                <w:szCs w:val="16"/>
              </w:rPr>
            </w:pPr>
            <w:r w:rsidRPr="002E3196">
              <w:rPr>
                <w:rFonts w:cstheme="minorHAnsi"/>
                <w:bCs/>
                <w:sz w:val="16"/>
                <w:szCs w:val="16"/>
              </w:rPr>
              <w:t>SSE Airtricity Energy Supply Limited</w:t>
            </w:r>
          </w:p>
        </w:tc>
        <w:tc>
          <w:tcPr>
            <w:tcW w:w="1918" w:type="dxa"/>
            <w:noWrap/>
            <w:vAlign w:val="center"/>
            <w:hideMark/>
          </w:tcPr>
          <w:p w14:paraId="10DB8DD9" w14:textId="0194365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259</w:t>
            </w:r>
            <w:r w:rsidR="00292EBC">
              <w:rPr>
                <w:rFonts w:cstheme="minorHAnsi"/>
                <w:bCs/>
                <w:sz w:val="16"/>
                <w:szCs w:val="16"/>
              </w:rPr>
              <w:t>,</w:t>
            </w:r>
            <w:r w:rsidRPr="002E3196">
              <w:rPr>
                <w:rFonts w:cstheme="minorHAnsi"/>
                <w:bCs/>
                <w:sz w:val="16"/>
                <w:szCs w:val="16"/>
              </w:rPr>
              <w:t>692</w:t>
            </w:r>
          </w:p>
        </w:tc>
        <w:tc>
          <w:tcPr>
            <w:tcW w:w="1918" w:type="dxa"/>
            <w:noWrap/>
            <w:vAlign w:val="center"/>
            <w:hideMark/>
          </w:tcPr>
          <w:p w14:paraId="51DD7B0C" w14:textId="3361592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259</w:t>
            </w:r>
            <w:r w:rsidR="00292EBC">
              <w:rPr>
                <w:rFonts w:cstheme="minorHAnsi"/>
                <w:bCs/>
                <w:sz w:val="16"/>
                <w:szCs w:val="16"/>
              </w:rPr>
              <w:t>,</w:t>
            </w:r>
            <w:r w:rsidRPr="002E3196">
              <w:rPr>
                <w:rFonts w:cstheme="minorHAnsi"/>
                <w:bCs/>
                <w:sz w:val="16"/>
                <w:szCs w:val="16"/>
              </w:rPr>
              <w:t>692</w:t>
            </w:r>
          </w:p>
        </w:tc>
        <w:tc>
          <w:tcPr>
            <w:tcW w:w="2138" w:type="dxa"/>
            <w:noWrap/>
            <w:vAlign w:val="center"/>
            <w:hideMark/>
          </w:tcPr>
          <w:p w14:paraId="38C6648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E0C9CB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£1,149,345.00</w:t>
            </w:r>
          </w:p>
        </w:tc>
      </w:tr>
      <w:tr w:rsidR="005A04AB" w:rsidRPr="006B3AC6" w14:paraId="48C8660E" w14:textId="77777777" w:rsidTr="00780608">
        <w:trPr>
          <w:trHeight w:val="300"/>
        </w:trPr>
        <w:tc>
          <w:tcPr>
            <w:tcW w:w="2414" w:type="dxa"/>
            <w:noWrap/>
            <w:vAlign w:val="center"/>
            <w:hideMark/>
          </w:tcPr>
          <w:p w14:paraId="25C1F72A" w14:textId="77777777" w:rsidR="00E54E83" w:rsidRPr="002E3196" w:rsidRDefault="00E54E83">
            <w:pPr>
              <w:spacing w:line="240" w:lineRule="auto"/>
              <w:rPr>
                <w:rFonts w:cstheme="minorHAnsi"/>
                <w:bCs/>
                <w:sz w:val="16"/>
                <w:szCs w:val="16"/>
              </w:rPr>
            </w:pPr>
            <w:r w:rsidRPr="002E3196">
              <w:rPr>
                <w:rFonts w:cstheme="minorHAnsi"/>
                <w:bCs/>
                <w:sz w:val="16"/>
                <w:szCs w:val="16"/>
              </w:rPr>
              <w:t>SSE Energy Supply Ltd</w:t>
            </w:r>
          </w:p>
        </w:tc>
        <w:tc>
          <w:tcPr>
            <w:tcW w:w="1918" w:type="dxa"/>
            <w:noWrap/>
            <w:vAlign w:val="center"/>
            <w:hideMark/>
          </w:tcPr>
          <w:p w14:paraId="1D33D8FB" w14:textId="0909A1D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w:t>
            </w:r>
            <w:r w:rsidR="00292EBC">
              <w:rPr>
                <w:rFonts w:cstheme="minorHAnsi"/>
                <w:bCs/>
                <w:sz w:val="16"/>
                <w:szCs w:val="16"/>
              </w:rPr>
              <w:t>,</w:t>
            </w:r>
            <w:r w:rsidRPr="002E3196">
              <w:rPr>
                <w:rFonts w:cstheme="minorHAnsi"/>
                <w:bCs/>
                <w:sz w:val="16"/>
                <w:szCs w:val="16"/>
              </w:rPr>
              <w:t>084</w:t>
            </w:r>
            <w:r w:rsidR="00292EBC">
              <w:rPr>
                <w:rFonts w:cstheme="minorHAnsi"/>
                <w:bCs/>
                <w:sz w:val="16"/>
                <w:szCs w:val="16"/>
              </w:rPr>
              <w:t>,</w:t>
            </w:r>
            <w:r w:rsidRPr="002E3196">
              <w:rPr>
                <w:rFonts w:cstheme="minorHAnsi"/>
                <w:bCs/>
                <w:sz w:val="16"/>
                <w:szCs w:val="16"/>
              </w:rPr>
              <w:t>386</w:t>
            </w:r>
          </w:p>
        </w:tc>
        <w:tc>
          <w:tcPr>
            <w:tcW w:w="1918" w:type="dxa"/>
            <w:noWrap/>
            <w:vAlign w:val="center"/>
            <w:hideMark/>
          </w:tcPr>
          <w:p w14:paraId="6917DD0A" w14:textId="3B8A37B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292EBC">
              <w:rPr>
                <w:rFonts w:cstheme="minorHAnsi"/>
                <w:bCs/>
                <w:sz w:val="16"/>
                <w:szCs w:val="16"/>
              </w:rPr>
              <w:t>,</w:t>
            </w:r>
            <w:r w:rsidRPr="002E3196">
              <w:rPr>
                <w:rFonts w:cstheme="minorHAnsi"/>
                <w:bCs/>
                <w:sz w:val="16"/>
                <w:szCs w:val="16"/>
              </w:rPr>
              <w:t>845</w:t>
            </w:r>
            <w:r w:rsidR="00292EBC">
              <w:rPr>
                <w:rFonts w:cstheme="minorHAnsi"/>
                <w:bCs/>
                <w:sz w:val="16"/>
                <w:szCs w:val="16"/>
              </w:rPr>
              <w:t>,</w:t>
            </w:r>
            <w:r w:rsidRPr="002E3196">
              <w:rPr>
                <w:rFonts w:cstheme="minorHAnsi"/>
                <w:bCs/>
                <w:sz w:val="16"/>
                <w:szCs w:val="16"/>
              </w:rPr>
              <w:t>522</w:t>
            </w:r>
          </w:p>
        </w:tc>
        <w:tc>
          <w:tcPr>
            <w:tcW w:w="2138" w:type="dxa"/>
            <w:noWrap/>
            <w:vAlign w:val="center"/>
            <w:hideMark/>
          </w:tcPr>
          <w:p w14:paraId="5387A9E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£62,005,143.20</w:t>
            </w:r>
          </w:p>
        </w:tc>
        <w:tc>
          <w:tcPr>
            <w:tcW w:w="2154" w:type="dxa"/>
            <w:noWrap/>
            <w:vAlign w:val="center"/>
            <w:hideMark/>
          </w:tcPr>
          <w:p w14:paraId="168D60D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£21,445,378.00</w:t>
            </w:r>
          </w:p>
        </w:tc>
      </w:tr>
      <w:tr w:rsidR="005A04AB" w:rsidRPr="006B3AC6" w14:paraId="766BE894" w14:textId="77777777" w:rsidTr="00780608">
        <w:trPr>
          <w:trHeight w:val="300"/>
        </w:trPr>
        <w:tc>
          <w:tcPr>
            <w:tcW w:w="2414" w:type="dxa"/>
            <w:noWrap/>
            <w:vAlign w:val="center"/>
            <w:hideMark/>
          </w:tcPr>
          <w:p w14:paraId="4AFFF409"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lastRenderedPageBreak/>
              <w:t>Statkraft</w:t>
            </w:r>
            <w:proofErr w:type="spellEnd"/>
            <w:r w:rsidRPr="002E3196">
              <w:rPr>
                <w:rFonts w:cstheme="minorHAnsi"/>
                <w:bCs/>
                <w:sz w:val="16"/>
                <w:szCs w:val="16"/>
              </w:rPr>
              <w:t xml:space="preserve"> Markets GmbH</w:t>
            </w:r>
          </w:p>
        </w:tc>
        <w:tc>
          <w:tcPr>
            <w:tcW w:w="1918" w:type="dxa"/>
            <w:noWrap/>
            <w:vAlign w:val="center"/>
            <w:hideMark/>
          </w:tcPr>
          <w:p w14:paraId="5841EC03" w14:textId="26487B6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192</w:t>
            </w:r>
          </w:p>
        </w:tc>
        <w:tc>
          <w:tcPr>
            <w:tcW w:w="1918" w:type="dxa"/>
            <w:noWrap/>
            <w:vAlign w:val="center"/>
            <w:hideMark/>
          </w:tcPr>
          <w:p w14:paraId="74081AC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5F7855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£109,709.60</w:t>
            </w:r>
          </w:p>
        </w:tc>
        <w:tc>
          <w:tcPr>
            <w:tcW w:w="2154" w:type="dxa"/>
            <w:noWrap/>
            <w:vAlign w:val="center"/>
            <w:hideMark/>
          </w:tcPr>
          <w:p w14:paraId="33C3B7B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94D5CB5" w14:textId="77777777" w:rsidTr="00780608">
        <w:trPr>
          <w:trHeight w:val="550"/>
        </w:trPr>
        <w:tc>
          <w:tcPr>
            <w:tcW w:w="2414" w:type="dxa"/>
            <w:noWrap/>
            <w:vAlign w:val="center"/>
            <w:hideMark/>
          </w:tcPr>
          <w:p w14:paraId="24C674B2" w14:textId="77777777" w:rsidR="00E54E83" w:rsidRPr="002E3196" w:rsidRDefault="00E54E83">
            <w:pPr>
              <w:spacing w:line="240" w:lineRule="auto"/>
              <w:rPr>
                <w:rFonts w:cstheme="minorHAnsi"/>
                <w:bCs/>
                <w:sz w:val="16"/>
                <w:szCs w:val="16"/>
              </w:rPr>
            </w:pPr>
            <w:r w:rsidRPr="002E3196">
              <w:rPr>
                <w:rFonts w:cstheme="minorHAnsi"/>
                <w:bCs/>
                <w:sz w:val="16"/>
                <w:szCs w:val="16"/>
              </w:rPr>
              <w:t>Switch Business Gas and Power Ltd</w:t>
            </w:r>
          </w:p>
        </w:tc>
        <w:tc>
          <w:tcPr>
            <w:tcW w:w="1918" w:type="dxa"/>
            <w:noWrap/>
            <w:vAlign w:val="center"/>
            <w:hideMark/>
          </w:tcPr>
          <w:p w14:paraId="6C779F1D" w14:textId="4A44EBC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099</w:t>
            </w:r>
          </w:p>
        </w:tc>
        <w:tc>
          <w:tcPr>
            <w:tcW w:w="1918" w:type="dxa"/>
            <w:noWrap/>
            <w:vAlign w:val="center"/>
            <w:hideMark/>
          </w:tcPr>
          <w:p w14:paraId="441FFC3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A1AC9E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£105,054.95</w:t>
            </w:r>
          </w:p>
        </w:tc>
        <w:tc>
          <w:tcPr>
            <w:tcW w:w="2154" w:type="dxa"/>
            <w:noWrap/>
            <w:vAlign w:val="center"/>
            <w:hideMark/>
          </w:tcPr>
          <w:p w14:paraId="10C1790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E659F69" w14:textId="77777777" w:rsidTr="00780608">
        <w:trPr>
          <w:trHeight w:val="300"/>
        </w:trPr>
        <w:tc>
          <w:tcPr>
            <w:tcW w:w="2414" w:type="dxa"/>
            <w:noWrap/>
            <w:vAlign w:val="center"/>
            <w:hideMark/>
          </w:tcPr>
          <w:p w14:paraId="57EA710E"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Symbio</w:t>
            </w:r>
            <w:proofErr w:type="spellEnd"/>
            <w:r w:rsidRPr="002E3196">
              <w:rPr>
                <w:rFonts w:cstheme="minorHAnsi"/>
                <w:bCs/>
                <w:sz w:val="16"/>
                <w:szCs w:val="16"/>
              </w:rPr>
              <w:t xml:space="preserve"> Energy Ltd</w:t>
            </w:r>
          </w:p>
        </w:tc>
        <w:tc>
          <w:tcPr>
            <w:tcW w:w="1918" w:type="dxa"/>
            <w:noWrap/>
            <w:vAlign w:val="center"/>
            <w:hideMark/>
          </w:tcPr>
          <w:p w14:paraId="5800161A" w14:textId="3A64EA70"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105</w:t>
            </w:r>
            <w:r w:rsidR="00292EBC">
              <w:rPr>
                <w:rFonts w:cstheme="minorHAnsi"/>
                <w:bCs/>
                <w:sz w:val="16"/>
                <w:szCs w:val="16"/>
              </w:rPr>
              <w:t>,</w:t>
            </w:r>
            <w:r w:rsidRPr="002E3196">
              <w:rPr>
                <w:rFonts w:cstheme="minorHAnsi"/>
                <w:bCs/>
                <w:sz w:val="16"/>
                <w:szCs w:val="16"/>
              </w:rPr>
              <w:t>668</w:t>
            </w:r>
          </w:p>
        </w:tc>
        <w:tc>
          <w:tcPr>
            <w:tcW w:w="1918" w:type="dxa"/>
            <w:noWrap/>
            <w:vAlign w:val="center"/>
            <w:hideMark/>
          </w:tcPr>
          <w:p w14:paraId="165CD27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0203E69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6AB21F3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7A4A6023" w14:textId="77777777" w:rsidTr="00780608">
        <w:trPr>
          <w:trHeight w:val="300"/>
        </w:trPr>
        <w:tc>
          <w:tcPr>
            <w:tcW w:w="2414" w:type="dxa"/>
            <w:noWrap/>
            <w:vAlign w:val="center"/>
            <w:hideMark/>
          </w:tcPr>
          <w:p w14:paraId="2BA162BA" w14:textId="77777777" w:rsidR="00E54E83" w:rsidRPr="002E3196" w:rsidRDefault="00E54E83">
            <w:pPr>
              <w:spacing w:line="240" w:lineRule="auto"/>
              <w:rPr>
                <w:rFonts w:cstheme="minorHAnsi"/>
                <w:bCs/>
                <w:sz w:val="16"/>
                <w:szCs w:val="16"/>
              </w:rPr>
            </w:pPr>
            <w:r w:rsidRPr="002E3196">
              <w:rPr>
                <w:rFonts w:cstheme="minorHAnsi"/>
                <w:bCs/>
                <w:sz w:val="16"/>
                <w:szCs w:val="16"/>
              </w:rPr>
              <w:t>Together Energy Ltd</w:t>
            </w:r>
          </w:p>
        </w:tc>
        <w:tc>
          <w:tcPr>
            <w:tcW w:w="1918" w:type="dxa"/>
            <w:noWrap/>
            <w:vAlign w:val="center"/>
            <w:hideMark/>
          </w:tcPr>
          <w:p w14:paraId="69553C67" w14:textId="74DA66C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247</w:t>
            </w:r>
            <w:r w:rsidR="00292EBC">
              <w:rPr>
                <w:rFonts w:cstheme="minorHAnsi"/>
                <w:bCs/>
                <w:sz w:val="16"/>
                <w:szCs w:val="16"/>
              </w:rPr>
              <w:t>,</w:t>
            </w:r>
            <w:r w:rsidRPr="002E3196">
              <w:rPr>
                <w:rFonts w:cstheme="minorHAnsi"/>
                <w:bCs/>
                <w:sz w:val="16"/>
                <w:szCs w:val="16"/>
              </w:rPr>
              <w:t>800</w:t>
            </w:r>
          </w:p>
        </w:tc>
        <w:tc>
          <w:tcPr>
            <w:tcW w:w="1918" w:type="dxa"/>
            <w:noWrap/>
            <w:vAlign w:val="center"/>
            <w:hideMark/>
          </w:tcPr>
          <w:p w14:paraId="05FB3C8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24D92E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508B6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28344663" w14:textId="77777777" w:rsidTr="00780608">
        <w:trPr>
          <w:trHeight w:val="300"/>
        </w:trPr>
        <w:tc>
          <w:tcPr>
            <w:tcW w:w="2414" w:type="dxa"/>
            <w:noWrap/>
            <w:vAlign w:val="center"/>
            <w:hideMark/>
          </w:tcPr>
          <w:p w14:paraId="12570CF0"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Tonik</w:t>
            </w:r>
            <w:proofErr w:type="spellEnd"/>
            <w:r w:rsidRPr="002E3196">
              <w:rPr>
                <w:rFonts w:cstheme="minorHAnsi"/>
                <w:bCs/>
                <w:sz w:val="16"/>
                <w:szCs w:val="16"/>
              </w:rPr>
              <w:t xml:space="preserve"> Energy Limited</w:t>
            </w:r>
          </w:p>
        </w:tc>
        <w:tc>
          <w:tcPr>
            <w:tcW w:w="1918" w:type="dxa"/>
            <w:noWrap/>
            <w:vAlign w:val="center"/>
            <w:hideMark/>
          </w:tcPr>
          <w:p w14:paraId="30980E28" w14:textId="6DD4F43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99</w:t>
            </w:r>
            <w:r w:rsidR="00292EBC">
              <w:rPr>
                <w:rFonts w:cstheme="minorHAnsi"/>
                <w:bCs/>
                <w:sz w:val="16"/>
                <w:szCs w:val="16"/>
              </w:rPr>
              <w:t>,</w:t>
            </w:r>
            <w:r w:rsidRPr="002E3196">
              <w:rPr>
                <w:rFonts w:cstheme="minorHAnsi"/>
                <w:bCs/>
                <w:sz w:val="16"/>
                <w:szCs w:val="16"/>
              </w:rPr>
              <w:t>756</w:t>
            </w:r>
          </w:p>
        </w:tc>
        <w:tc>
          <w:tcPr>
            <w:tcW w:w="1918" w:type="dxa"/>
            <w:noWrap/>
            <w:vAlign w:val="center"/>
            <w:hideMark/>
          </w:tcPr>
          <w:p w14:paraId="5463EC7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1874A76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E47813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55E2E345" w14:textId="77777777" w:rsidTr="00780608">
        <w:trPr>
          <w:trHeight w:val="300"/>
        </w:trPr>
        <w:tc>
          <w:tcPr>
            <w:tcW w:w="2414" w:type="dxa"/>
            <w:noWrap/>
            <w:vAlign w:val="center"/>
            <w:hideMark/>
          </w:tcPr>
          <w:p w14:paraId="787D1B07" w14:textId="77777777" w:rsidR="00E54E83" w:rsidRPr="002E3196" w:rsidRDefault="00E54E83">
            <w:pPr>
              <w:spacing w:line="240" w:lineRule="auto"/>
              <w:rPr>
                <w:rFonts w:cstheme="minorHAnsi"/>
                <w:bCs/>
                <w:sz w:val="16"/>
                <w:szCs w:val="16"/>
              </w:rPr>
            </w:pPr>
            <w:r w:rsidRPr="002E3196">
              <w:rPr>
                <w:rFonts w:cstheme="minorHAnsi"/>
                <w:bCs/>
                <w:sz w:val="16"/>
                <w:szCs w:val="16"/>
              </w:rPr>
              <w:t>Total Gas &amp; Power Ltd</w:t>
            </w:r>
          </w:p>
        </w:tc>
        <w:tc>
          <w:tcPr>
            <w:tcW w:w="1918" w:type="dxa"/>
            <w:noWrap/>
            <w:vAlign w:val="center"/>
            <w:hideMark/>
          </w:tcPr>
          <w:p w14:paraId="7282DE4A" w14:textId="1B59307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292EBC">
              <w:rPr>
                <w:rFonts w:cstheme="minorHAnsi"/>
                <w:bCs/>
                <w:sz w:val="16"/>
                <w:szCs w:val="16"/>
              </w:rPr>
              <w:t>,</w:t>
            </w:r>
            <w:r w:rsidRPr="002E3196">
              <w:rPr>
                <w:rFonts w:cstheme="minorHAnsi"/>
                <w:bCs/>
                <w:sz w:val="16"/>
                <w:szCs w:val="16"/>
              </w:rPr>
              <w:t>273</w:t>
            </w:r>
            <w:r w:rsidR="00292EBC">
              <w:rPr>
                <w:rFonts w:cstheme="minorHAnsi"/>
                <w:bCs/>
                <w:sz w:val="16"/>
                <w:szCs w:val="16"/>
              </w:rPr>
              <w:t>,</w:t>
            </w:r>
            <w:r w:rsidRPr="002E3196">
              <w:rPr>
                <w:rFonts w:cstheme="minorHAnsi"/>
                <w:bCs/>
                <w:sz w:val="16"/>
                <w:szCs w:val="16"/>
              </w:rPr>
              <w:t>637</w:t>
            </w:r>
          </w:p>
        </w:tc>
        <w:tc>
          <w:tcPr>
            <w:tcW w:w="1918" w:type="dxa"/>
            <w:noWrap/>
            <w:vAlign w:val="center"/>
            <w:hideMark/>
          </w:tcPr>
          <w:p w14:paraId="2196BBBD" w14:textId="18F9668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w:t>
            </w:r>
            <w:r w:rsidR="00292EBC">
              <w:rPr>
                <w:rFonts w:cstheme="minorHAnsi"/>
                <w:bCs/>
                <w:sz w:val="16"/>
                <w:szCs w:val="16"/>
              </w:rPr>
              <w:t>,</w:t>
            </w:r>
            <w:r w:rsidRPr="002E3196">
              <w:rPr>
                <w:rFonts w:cstheme="minorHAnsi"/>
                <w:bCs/>
                <w:sz w:val="16"/>
                <w:szCs w:val="16"/>
              </w:rPr>
              <w:t>273</w:t>
            </w:r>
            <w:r w:rsidR="00292EBC">
              <w:rPr>
                <w:rFonts w:cstheme="minorHAnsi"/>
                <w:bCs/>
                <w:sz w:val="16"/>
                <w:szCs w:val="16"/>
              </w:rPr>
              <w:t>,</w:t>
            </w:r>
            <w:r w:rsidRPr="002E3196">
              <w:rPr>
                <w:rFonts w:cstheme="minorHAnsi"/>
                <w:bCs/>
                <w:sz w:val="16"/>
                <w:szCs w:val="16"/>
              </w:rPr>
              <w:t>637</w:t>
            </w:r>
          </w:p>
        </w:tc>
        <w:tc>
          <w:tcPr>
            <w:tcW w:w="2138" w:type="dxa"/>
            <w:noWrap/>
            <w:vAlign w:val="center"/>
            <w:hideMark/>
          </w:tcPr>
          <w:p w14:paraId="2EAD091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3F41AEF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£18,914,321.00</w:t>
            </w:r>
          </w:p>
        </w:tc>
      </w:tr>
      <w:tr w:rsidR="005A04AB" w:rsidRPr="006B3AC6" w14:paraId="01A48DDE" w14:textId="77777777" w:rsidTr="00780608">
        <w:trPr>
          <w:trHeight w:val="300"/>
        </w:trPr>
        <w:tc>
          <w:tcPr>
            <w:tcW w:w="2414" w:type="dxa"/>
            <w:noWrap/>
            <w:vAlign w:val="center"/>
            <w:hideMark/>
          </w:tcPr>
          <w:p w14:paraId="7C35B337" w14:textId="77777777" w:rsidR="00E54E83" w:rsidRPr="002E3196" w:rsidRDefault="00E54E83">
            <w:pPr>
              <w:spacing w:line="240" w:lineRule="auto"/>
              <w:rPr>
                <w:rFonts w:cstheme="minorHAnsi"/>
                <w:bCs/>
                <w:sz w:val="16"/>
                <w:szCs w:val="16"/>
              </w:rPr>
            </w:pPr>
            <w:r w:rsidRPr="002E3196">
              <w:rPr>
                <w:rFonts w:cstheme="minorHAnsi"/>
                <w:bCs/>
                <w:sz w:val="16"/>
                <w:szCs w:val="16"/>
              </w:rPr>
              <w:t>Tradelink Solutions Ltd</w:t>
            </w:r>
          </w:p>
        </w:tc>
        <w:tc>
          <w:tcPr>
            <w:tcW w:w="1918" w:type="dxa"/>
            <w:noWrap/>
            <w:vAlign w:val="center"/>
            <w:hideMark/>
          </w:tcPr>
          <w:p w14:paraId="33294D6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233</w:t>
            </w:r>
          </w:p>
        </w:tc>
        <w:tc>
          <w:tcPr>
            <w:tcW w:w="1918" w:type="dxa"/>
            <w:noWrap/>
            <w:vAlign w:val="center"/>
            <w:hideMark/>
          </w:tcPr>
          <w:p w14:paraId="528C1F9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233</w:t>
            </w:r>
          </w:p>
        </w:tc>
        <w:tc>
          <w:tcPr>
            <w:tcW w:w="2138" w:type="dxa"/>
            <w:noWrap/>
            <w:vAlign w:val="center"/>
            <w:hideMark/>
          </w:tcPr>
          <w:p w14:paraId="64A4F19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6D62DB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£1,028.00</w:t>
            </w:r>
          </w:p>
        </w:tc>
      </w:tr>
      <w:tr w:rsidR="005A04AB" w:rsidRPr="006B3AC6" w14:paraId="1F759F69" w14:textId="77777777" w:rsidTr="00780608">
        <w:trPr>
          <w:trHeight w:val="300"/>
        </w:trPr>
        <w:tc>
          <w:tcPr>
            <w:tcW w:w="2414" w:type="dxa"/>
            <w:noWrap/>
            <w:vAlign w:val="center"/>
            <w:hideMark/>
          </w:tcPr>
          <w:p w14:paraId="20E31C99"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Tru</w:t>
            </w:r>
            <w:proofErr w:type="spellEnd"/>
            <w:r w:rsidRPr="002E3196">
              <w:rPr>
                <w:rFonts w:cstheme="minorHAnsi"/>
                <w:bCs/>
                <w:sz w:val="16"/>
                <w:szCs w:val="16"/>
              </w:rPr>
              <w:t xml:space="preserve"> Energy Ltd</w:t>
            </w:r>
          </w:p>
        </w:tc>
        <w:tc>
          <w:tcPr>
            <w:tcW w:w="1918" w:type="dxa"/>
            <w:noWrap/>
            <w:vAlign w:val="center"/>
            <w:hideMark/>
          </w:tcPr>
          <w:p w14:paraId="43CCCDBC" w14:textId="29EAB4D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16</w:t>
            </w:r>
            <w:r w:rsidR="00292EBC">
              <w:rPr>
                <w:rFonts w:cstheme="minorHAnsi"/>
                <w:bCs/>
                <w:sz w:val="16"/>
                <w:szCs w:val="16"/>
              </w:rPr>
              <w:t>,</w:t>
            </w:r>
            <w:r w:rsidRPr="002E3196">
              <w:rPr>
                <w:rFonts w:cstheme="minorHAnsi"/>
                <w:bCs/>
                <w:sz w:val="16"/>
                <w:szCs w:val="16"/>
              </w:rPr>
              <w:t>121</w:t>
            </w:r>
          </w:p>
        </w:tc>
        <w:tc>
          <w:tcPr>
            <w:tcW w:w="1918" w:type="dxa"/>
            <w:noWrap/>
            <w:vAlign w:val="center"/>
            <w:hideMark/>
          </w:tcPr>
          <w:p w14:paraId="22FD747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06995DA"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£806,856.05</w:t>
            </w:r>
          </w:p>
        </w:tc>
        <w:tc>
          <w:tcPr>
            <w:tcW w:w="2154" w:type="dxa"/>
            <w:noWrap/>
            <w:vAlign w:val="center"/>
            <w:hideMark/>
          </w:tcPr>
          <w:p w14:paraId="1DA6B4D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37D96247" w14:textId="77777777" w:rsidTr="00780608">
        <w:trPr>
          <w:trHeight w:val="300"/>
        </w:trPr>
        <w:tc>
          <w:tcPr>
            <w:tcW w:w="2414" w:type="dxa"/>
            <w:noWrap/>
            <w:vAlign w:val="center"/>
            <w:hideMark/>
          </w:tcPr>
          <w:p w14:paraId="7E715529" w14:textId="77777777" w:rsidR="00E54E83" w:rsidRPr="002E3196" w:rsidRDefault="00E54E83">
            <w:pPr>
              <w:spacing w:line="240" w:lineRule="auto"/>
              <w:rPr>
                <w:rFonts w:cstheme="minorHAnsi"/>
                <w:bCs/>
                <w:sz w:val="16"/>
                <w:szCs w:val="16"/>
              </w:rPr>
            </w:pPr>
            <w:r w:rsidRPr="002E3196">
              <w:rPr>
                <w:rFonts w:cstheme="minorHAnsi"/>
                <w:bCs/>
                <w:sz w:val="16"/>
                <w:szCs w:val="16"/>
              </w:rPr>
              <w:t>UK Power Reserve Ltd</w:t>
            </w:r>
          </w:p>
        </w:tc>
        <w:tc>
          <w:tcPr>
            <w:tcW w:w="1918" w:type="dxa"/>
            <w:noWrap/>
            <w:vAlign w:val="center"/>
            <w:hideMark/>
          </w:tcPr>
          <w:p w14:paraId="5CDCF3D0" w14:textId="74A883D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298</w:t>
            </w:r>
          </w:p>
        </w:tc>
        <w:tc>
          <w:tcPr>
            <w:tcW w:w="1918" w:type="dxa"/>
            <w:noWrap/>
            <w:vAlign w:val="center"/>
            <w:hideMark/>
          </w:tcPr>
          <w:p w14:paraId="23825E63" w14:textId="501C0D4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w:t>
            </w:r>
            <w:r w:rsidR="00292EBC">
              <w:rPr>
                <w:rFonts w:cstheme="minorHAnsi"/>
                <w:bCs/>
                <w:sz w:val="16"/>
                <w:szCs w:val="16"/>
              </w:rPr>
              <w:t>,</w:t>
            </w:r>
            <w:r w:rsidRPr="002E3196">
              <w:rPr>
                <w:rFonts w:cstheme="minorHAnsi"/>
                <w:bCs/>
                <w:sz w:val="16"/>
                <w:szCs w:val="16"/>
              </w:rPr>
              <w:t>298</w:t>
            </w:r>
          </w:p>
        </w:tc>
        <w:tc>
          <w:tcPr>
            <w:tcW w:w="2138" w:type="dxa"/>
            <w:noWrap/>
            <w:vAlign w:val="center"/>
            <w:hideMark/>
          </w:tcPr>
          <w:p w14:paraId="5B6BBE0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4F66DA8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£10,167.00</w:t>
            </w:r>
          </w:p>
        </w:tc>
      </w:tr>
      <w:tr w:rsidR="005A04AB" w:rsidRPr="006B3AC6" w14:paraId="04D77D12" w14:textId="77777777" w:rsidTr="00780608">
        <w:trPr>
          <w:trHeight w:val="300"/>
        </w:trPr>
        <w:tc>
          <w:tcPr>
            <w:tcW w:w="2414" w:type="dxa"/>
            <w:noWrap/>
            <w:vAlign w:val="center"/>
            <w:hideMark/>
          </w:tcPr>
          <w:p w14:paraId="299C0859" w14:textId="77777777" w:rsidR="00E54E83" w:rsidRPr="002E3196" w:rsidRDefault="00E54E83">
            <w:pPr>
              <w:spacing w:line="240" w:lineRule="auto"/>
              <w:rPr>
                <w:rFonts w:cstheme="minorHAnsi"/>
                <w:bCs/>
                <w:sz w:val="16"/>
                <w:szCs w:val="16"/>
              </w:rPr>
            </w:pPr>
            <w:r w:rsidRPr="002E3196">
              <w:rPr>
                <w:rFonts w:cstheme="minorHAnsi"/>
                <w:bCs/>
                <w:sz w:val="16"/>
                <w:szCs w:val="16"/>
              </w:rPr>
              <w:t>Unify Energy Ltd</w:t>
            </w:r>
          </w:p>
        </w:tc>
        <w:tc>
          <w:tcPr>
            <w:tcW w:w="1918" w:type="dxa"/>
            <w:noWrap/>
            <w:vAlign w:val="center"/>
            <w:hideMark/>
          </w:tcPr>
          <w:p w14:paraId="61F90DE7" w14:textId="3AF4A1A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46</w:t>
            </w:r>
            <w:r w:rsidR="00292EBC">
              <w:rPr>
                <w:rFonts w:cstheme="minorHAnsi"/>
                <w:bCs/>
                <w:sz w:val="16"/>
                <w:szCs w:val="16"/>
              </w:rPr>
              <w:t>,</w:t>
            </w:r>
            <w:r w:rsidRPr="002E3196">
              <w:rPr>
                <w:rFonts w:cstheme="minorHAnsi"/>
                <w:bCs/>
                <w:sz w:val="16"/>
                <w:szCs w:val="16"/>
              </w:rPr>
              <w:t>100</w:t>
            </w:r>
          </w:p>
        </w:tc>
        <w:tc>
          <w:tcPr>
            <w:tcW w:w="1918" w:type="dxa"/>
            <w:noWrap/>
            <w:vAlign w:val="center"/>
            <w:hideMark/>
          </w:tcPr>
          <w:p w14:paraId="2A975360" w14:textId="2C6CCE9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292EBC">
              <w:rPr>
                <w:rFonts w:cstheme="minorHAnsi"/>
                <w:bCs/>
                <w:sz w:val="16"/>
                <w:szCs w:val="16"/>
              </w:rPr>
              <w:t>,</w:t>
            </w:r>
            <w:r w:rsidRPr="002E3196">
              <w:rPr>
                <w:rFonts w:cstheme="minorHAnsi"/>
                <w:bCs/>
                <w:sz w:val="16"/>
                <w:szCs w:val="16"/>
              </w:rPr>
              <w:t>509</w:t>
            </w:r>
          </w:p>
        </w:tc>
        <w:tc>
          <w:tcPr>
            <w:tcW w:w="2138" w:type="dxa"/>
            <w:noWrap/>
            <w:vAlign w:val="center"/>
            <w:hideMark/>
          </w:tcPr>
          <w:p w14:paraId="0A66586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£2,031,579.55</w:t>
            </w:r>
          </w:p>
        </w:tc>
        <w:tc>
          <w:tcPr>
            <w:tcW w:w="2154" w:type="dxa"/>
            <w:noWrap/>
            <w:vAlign w:val="center"/>
            <w:hideMark/>
          </w:tcPr>
          <w:p w14:paraId="135A28AF"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£24,378.00</w:t>
            </w:r>
          </w:p>
        </w:tc>
      </w:tr>
      <w:tr w:rsidR="005A04AB" w:rsidRPr="006B3AC6" w14:paraId="5165570B" w14:textId="77777777" w:rsidTr="00780608">
        <w:trPr>
          <w:trHeight w:val="300"/>
        </w:trPr>
        <w:tc>
          <w:tcPr>
            <w:tcW w:w="2414" w:type="dxa"/>
            <w:noWrap/>
            <w:vAlign w:val="center"/>
            <w:hideMark/>
          </w:tcPr>
          <w:p w14:paraId="59E5D78E" w14:textId="77777777" w:rsidR="00E54E83" w:rsidRPr="002E3196" w:rsidRDefault="00E54E83">
            <w:pPr>
              <w:spacing w:line="240" w:lineRule="auto"/>
              <w:rPr>
                <w:rFonts w:cstheme="minorHAnsi"/>
                <w:bCs/>
                <w:sz w:val="16"/>
                <w:szCs w:val="16"/>
              </w:rPr>
            </w:pPr>
            <w:r w:rsidRPr="002E3196">
              <w:rPr>
                <w:rFonts w:cstheme="minorHAnsi"/>
                <w:bCs/>
                <w:sz w:val="16"/>
                <w:szCs w:val="16"/>
              </w:rPr>
              <w:t>United Gas &amp; Power Ltd</w:t>
            </w:r>
          </w:p>
        </w:tc>
        <w:tc>
          <w:tcPr>
            <w:tcW w:w="1918" w:type="dxa"/>
            <w:noWrap/>
            <w:vAlign w:val="center"/>
            <w:hideMark/>
          </w:tcPr>
          <w:p w14:paraId="618B4F61" w14:textId="45F0F4A8"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75</w:t>
            </w:r>
            <w:r w:rsidR="00292EBC">
              <w:rPr>
                <w:rFonts w:cstheme="minorHAnsi"/>
                <w:bCs/>
                <w:sz w:val="16"/>
                <w:szCs w:val="16"/>
              </w:rPr>
              <w:t>,</w:t>
            </w:r>
            <w:r w:rsidRPr="002E3196">
              <w:rPr>
                <w:rFonts w:cstheme="minorHAnsi"/>
                <w:bCs/>
                <w:sz w:val="16"/>
                <w:szCs w:val="16"/>
              </w:rPr>
              <w:t>885</w:t>
            </w:r>
          </w:p>
        </w:tc>
        <w:tc>
          <w:tcPr>
            <w:tcW w:w="1918" w:type="dxa"/>
            <w:noWrap/>
            <w:vAlign w:val="center"/>
            <w:hideMark/>
          </w:tcPr>
          <w:p w14:paraId="3871328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9AD1DCB"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£3,798,044.25</w:t>
            </w:r>
          </w:p>
        </w:tc>
        <w:tc>
          <w:tcPr>
            <w:tcW w:w="2154" w:type="dxa"/>
            <w:noWrap/>
            <w:vAlign w:val="center"/>
            <w:hideMark/>
          </w:tcPr>
          <w:p w14:paraId="315CD508"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1291811A" w14:textId="77777777" w:rsidTr="00780608">
        <w:trPr>
          <w:trHeight w:val="300"/>
        </w:trPr>
        <w:tc>
          <w:tcPr>
            <w:tcW w:w="2414" w:type="dxa"/>
            <w:noWrap/>
            <w:vAlign w:val="center"/>
            <w:hideMark/>
          </w:tcPr>
          <w:p w14:paraId="37C9113F"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Utilita</w:t>
            </w:r>
            <w:proofErr w:type="spellEnd"/>
            <w:r w:rsidRPr="002E3196">
              <w:rPr>
                <w:rFonts w:cstheme="minorHAnsi"/>
                <w:bCs/>
                <w:sz w:val="16"/>
                <w:szCs w:val="16"/>
              </w:rPr>
              <w:t xml:space="preserve"> Energy Ltd</w:t>
            </w:r>
          </w:p>
        </w:tc>
        <w:tc>
          <w:tcPr>
            <w:tcW w:w="1918" w:type="dxa"/>
            <w:noWrap/>
            <w:vAlign w:val="center"/>
            <w:hideMark/>
          </w:tcPr>
          <w:p w14:paraId="37A765F8" w14:textId="6E6BF74C"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r w:rsidR="00292EBC">
              <w:rPr>
                <w:rFonts w:cstheme="minorHAnsi"/>
                <w:bCs/>
                <w:sz w:val="16"/>
                <w:szCs w:val="16"/>
              </w:rPr>
              <w:t>,</w:t>
            </w:r>
            <w:r w:rsidRPr="002E3196">
              <w:rPr>
                <w:rFonts w:cstheme="minorHAnsi"/>
                <w:bCs/>
                <w:sz w:val="16"/>
                <w:szCs w:val="16"/>
              </w:rPr>
              <w:t>346</w:t>
            </w:r>
            <w:r w:rsidR="00292EBC">
              <w:rPr>
                <w:rFonts w:cstheme="minorHAnsi"/>
                <w:bCs/>
                <w:sz w:val="16"/>
                <w:szCs w:val="16"/>
              </w:rPr>
              <w:t>,</w:t>
            </w:r>
            <w:r w:rsidRPr="002E3196">
              <w:rPr>
                <w:rFonts w:cstheme="minorHAnsi"/>
                <w:bCs/>
                <w:sz w:val="16"/>
                <w:szCs w:val="16"/>
              </w:rPr>
              <w:t>995</w:t>
            </w:r>
          </w:p>
        </w:tc>
        <w:tc>
          <w:tcPr>
            <w:tcW w:w="1918" w:type="dxa"/>
            <w:noWrap/>
            <w:vAlign w:val="center"/>
            <w:hideMark/>
          </w:tcPr>
          <w:p w14:paraId="2BFFAAE5" w14:textId="111CFD63"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610</w:t>
            </w:r>
            <w:r w:rsidR="00292EBC">
              <w:rPr>
                <w:rFonts w:cstheme="minorHAnsi"/>
                <w:bCs/>
                <w:sz w:val="16"/>
                <w:szCs w:val="16"/>
              </w:rPr>
              <w:t>,</w:t>
            </w:r>
            <w:r w:rsidRPr="002E3196">
              <w:rPr>
                <w:rFonts w:cstheme="minorHAnsi"/>
                <w:bCs/>
                <w:sz w:val="16"/>
                <w:szCs w:val="16"/>
              </w:rPr>
              <w:t>000</w:t>
            </w:r>
          </w:p>
        </w:tc>
        <w:tc>
          <w:tcPr>
            <w:tcW w:w="2138" w:type="dxa"/>
            <w:noWrap/>
            <w:vAlign w:val="center"/>
            <w:hideMark/>
          </w:tcPr>
          <w:p w14:paraId="0A4BD7D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£36,979,377.83</w:t>
            </w:r>
          </w:p>
        </w:tc>
        <w:tc>
          <w:tcPr>
            <w:tcW w:w="2154" w:type="dxa"/>
            <w:noWrap/>
            <w:vAlign w:val="center"/>
            <w:hideMark/>
          </w:tcPr>
          <w:p w14:paraId="1AA3A22E"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£2,699,744.00</w:t>
            </w:r>
          </w:p>
        </w:tc>
      </w:tr>
      <w:tr w:rsidR="005A04AB" w:rsidRPr="006B3AC6" w14:paraId="68DF8DAB" w14:textId="77777777" w:rsidTr="00780608">
        <w:trPr>
          <w:trHeight w:val="300"/>
        </w:trPr>
        <w:tc>
          <w:tcPr>
            <w:tcW w:w="2414" w:type="dxa"/>
            <w:noWrap/>
            <w:vAlign w:val="center"/>
            <w:hideMark/>
          </w:tcPr>
          <w:p w14:paraId="7312735F" w14:textId="77777777" w:rsidR="00E54E83" w:rsidRPr="002E3196" w:rsidRDefault="00E54E83">
            <w:pPr>
              <w:spacing w:line="240" w:lineRule="auto"/>
              <w:rPr>
                <w:rFonts w:cstheme="minorHAnsi"/>
                <w:bCs/>
                <w:sz w:val="16"/>
                <w:szCs w:val="16"/>
              </w:rPr>
            </w:pPr>
            <w:r w:rsidRPr="002E3196">
              <w:rPr>
                <w:rFonts w:cstheme="minorHAnsi"/>
                <w:bCs/>
                <w:sz w:val="16"/>
                <w:szCs w:val="16"/>
              </w:rPr>
              <w:t>Utility Point Ltd</w:t>
            </w:r>
          </w:p>
        </w:tc>
        <w:tc>
          <w:tcPr>
            <w:tcW w:w="1918" w:type="dxa"/>
            <w:noWrap/>
            <w:vAlign w:val="center"/>
            <w:hideMark/>
          </w:tcPr>
          <w:p w14:paraId="25E0F4CE" w14:textId="468648B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300</w:t>
            </w:r>
            <w:r w:rsidR="00292EBC">
              <w:rPr>
                <w:rFonts w:cstheme="minorHAnsi"/>
                <w:bCs/>
                <w:sz w:val="16"/>
                <w:szCs w:val="16"/>
              </w:rPr>
              <w:t>,</w:t>
            </w:r>
            <w:r w:rsidRPr="002E3196">
              <w:rPr>
                <w:rFonts w:cstheme="minorHAnsi"/>
                <w:bCs/>
                <w:sz w:val="16"/>
                <w:szCs w:val="16"/>
              </w:rPr>
              <w:t>593</w:t>
            </w:r>
          </w:p>
        </w:tc>
        <w:tc>
          <w:tcPr>
            <w:tcW w:w="1918" w:type="dxa"/>
            <w:noWrap/>
            <w:vAlign w:val="center"/>
            <w:hideMark/>
          </w:tcPr>
          <w:p w14:paraId="421C4EE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530B4251"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£13,191.11</w:t>
            </w:r>
          </w:p>
        </w:tc>
        <w:tc>
          <w:tcPr>
            <w:tcW w:w="2154" w:type="dxa"/>
            <w:noWrap/>
            <w:vAlign w:val="center"/>
            <w:hideMark/>
          </w:tcPr>
          <w:p w14:paraId="71FBEDD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093255AD" w14:textId="77777777" w:rsidTr="00780608">
        <w:trPr>
          <w:trHeight w:val="300"/>
        </w:trPr>
        <w:tc>
          <w:tcPr>
            <w:tcW w:w="2414" w:type="dxa"/>
            <w:noWrap/>
            <w:vAlign w:val="center"/>
            <w:hideMark/>
          </w:tcPr>
          <w:p w14:paraId="634AC70A" w14:textId="77777777" w:rsidR="00E54E83" w:rsidRPr="002E3196" w:rsidRDefault="00E54E83">
            <w:pPr>
              <w:spacing w:line="240" w:lineRule="auto"/>
              <w:rPr>
                <w:rFonts w:cstheme="minorHAnsi"/>
                <w:bCs/>
                <w:sz w:val="16"/>
                <w:szCs w:val="16"/>
              </w:rPr>
            </w:pPr>
            <w:r w:rsidRPr="002E3196">
              <w:rPr>
                <w:rFonts w:cstheme="minorHAnsi"/>
                <w:bCs/>
                <w:sz w:val="16"/>
                <w:szCs w:val="16"/>
              </w:rPr>
              <w:t>Valda Energy Ltd</w:t>
            </w:r>
          </w:p>
        </w:tc>
        <w:tc>
          <w:tcPr>
            <w:tcW w:w="1918" w:type="dxa"/>
            <w:noWrap/>
            <w:vAlign w:val="center"/>
            <w:hideMark/>
          </w:tcPr>
          <w:p w14:paraId="46C2B661" w14:textId="6F7E6984"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w:t>
            </w:r>
            <w:r w:rsidR="00292EBC">
              <w:rPr>
                <w:rFonts w:cstheme="minorHAnsi"/>
                <w:bCs/>
                <w:sz w:val="16"/>
                <w:szCs w:val="16"/>
              </w:rPr>
              <w:t>,</w:t>
            </w:r>
            <w:r w:rsidRPr="002E3196">
              <w:rPr>
                <w:rFonts w:cstheme="minorHAnsi"/>
                <w:bCs/>
                <w:sz w:val="16"/>
                <w:szCs w:val="16"/>
              </w:rPr>
              <w:t>543</w:t>
            </w:r>
          </w:p>
        </w:tc>
        <w:tc>
          <w:tcPr>
            <w:tcW w:w="1918" w:type="dxa"/>
            <w:noWrap/>
            <w:vAlign w:val="center"/>
            <w:hideMark/>
          </w:tcPr>
          <w:p w14:paraId="36DB88B9" w14:textId="57875986"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9</w:t>
            </w:r>
            <w:r w:rsidR="00292EBC">
              <w:rPr>
                <w:rFonts w:cstheme="minorHAnsi"/>
                <w:bCs/>
                <w:sz w:val="16"/>
                <w:szCs w:val="16"/>
              </w:rPr>
              <w:t>,</w:t>
            </w:r>
            <w:r w:rsidRPr="002E3196">
              <w:rPr>
                <w:rFonts w:cstheme="minorHAnsi"/>
                <w:bCs/>
                <w:sz w:val="16"/>
                <w:szCs w:val="16"/>
              </w:rPr>
              <w:t>543</w:t>
            </w:r>
          </w:p>
        </w:tc>
        <w:tc>
          <w:tcPr>
            <w:tcW w:w="2138" w:type="dxa"/>
            <w:noWrap/>
            <w:vAlign w:val="center"/>
            <w:hideMark/>
          </w:tcPr>
          <w:p w14:paraId="1F18E0C0"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1872DA6D"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£42,233.00</w:t>
            </w:r>
          </w:p>
        </w:tc>
      </w:tr>
      <w:tr w:rsidR="005A04AB" w:rsidRPr="006B3AC6" w14:paraId="67D22C3A" w14:textId="77777777" w:rsidTr="00780608">
        <w:trPr>
          <w:trHeight w:val="550"/>
        </w:trPr>
        <w:tc>
          <w:tcPr>
            <w:tcW w:w="2414" w:type="dxa"/>
            <w:noWrap/>
            <w:vAlign w:val="center"/>
            <w:hideMark/>
          </w:tcPr>
          <w:p w14:paraId="6B0D8BA9" w14:textId="77777777" w:rsidR="00E54E83" w:rsidRPr="002E3196" w:rsidRDefault="00E54E83">
            <w:pPr>
              <w:spacing w:line="240" w:lineRule="auto"/>
              <w:rPr>
                <w:rFonts w:cstheme="minorHAnsi"/>
                <w:bCs/>
                <w:sz w:val="16"/>
                <w:szCs w:val="16"/>
              </w:rPr>
            </w:pPr>
            <w:r w:rsidRPr="002E3196">
              <w:rPr>
                <w:rFonts w:cstheme="minorHAnsi"/>
                <w:bCs/>
                <w:sz w:val="16"/>
                <w:szCs w:val="16"/>
              </w:rPr>
              <w:t xml:space="preserve">Vattenfall Energy Trading GmbH </w:t>
            </w:r>
          </w:p>
        </w:tc>
        <w:tc>
          <w:tcPr>
            <w:tcW w:w="1918" w:type="dxa"/>
            <w:noWrap/>
            <w:vAlign w:val="center"/>
            <w:hideMark/>
          </w:tcPr>
          <w:p w14:paraId="01B3CCFB" w14:textId="6A1AA652"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w:t>
            </w:r>
            <w:r w:rsidR="00292EBC">
              <w:rPr>
                <w:rFonts w:cstheme="minorHAnsi"/>
                <w:bCs/>
                <w:sz w:val="16"/>
                <w:szCs w:val="16"/>
              </w:rPr>
              <w:t>,</w:t>
            </w:r>
            <w:r w:rsidRPr="002E3196">
              <w:rPr>
                <w:rFonts w:cstheme="minorHAnsi"/>
                <w:bCs/>
                <w:sz w:val="16"/>
                <w:szCs w:val="16"/>
              </w:rPr>
              <w:t>431</w:t>
            </w:r>
          </w:p>
        </w:tc>
        <w:tc>
          <w:tcPr>
            <w:tcW w:w="1918" w:type="dxa"/>
            <w:noWrap/>
            <w:vAlign w:val="center"/>
            <w:hideMark/>
          </w:tcPr>
          <w:p w14:paraId="69CB72F3" w14:textId="1EC6386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w:t>
            </w:r>
            <w:r w:rsidR="00292EBC">
              <w:rPr>
                <w:rFonts w:cstheme="minorHAnsi"/>
                <w:bCs/>
                <w:sz w:val="16"/>
                <w:szCs w:val="16"/>
              </w:rPr>
              <w:t>,</w:t>
            </w:r>
            <w:r w:rsidRPr="002E3196">
              <w:rPr>
                <w:rFonts w:cstheme="minorHAnsi"/>
                <w:bCs/>
                <w:sz w:val="16"/>
                <w:szCs w:val="16"/>
              </w:rPr>
              <w:t>431</w:t>
            </w:r>
          </w:p>
        </w:tc>
        <w:tc>
          <w:tcPr>
            <w:tcW w:w="2138" w:type="dxa"/>
            <w:noWrap/>
            <w:vAlign w:val="center"/>
            <w:hideMark/>
          </w:tcPr>
          <w:p w14:paraId="3D05D63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23F77863"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£63,866.00</w:t>
            </w:r>
          </w:p>
        </w:tc>
      </w:tr>
      <w:tr w:rsidR="005A04AB" w:rsidRPr="006B3AC6" w14:paraId="31E53286" w14:textId="77777777" w:rsidTr="00780608">
        <w:trPr>
          <w:trHeight w:val="300"/>
        </w:trPr>
        <w:tc>
          <w:tcPr>
            <w:tcW w:w="2414" w:type="dxa"/>
            <w:noWrap/>
            <w:vAlign w:val="center"/>
            <w:hideMark/>
          </w:tcPr>
          <w:p w14:paraId="04F7AB1B" w14:textId="77777777" w:rsidR="00E54E83" w:rsidRPr="002E3196" w:rsidRDefault="00E54E83">
            <w:pPr>
              <w:spacing w:line="240" w:lineRule="auto"/>
              <w:rPr>
                <w:rFonts w:cstheme="minorHAnsi"/>
                <w:bCs/>
                <w:sz w:val="16"/>
                <w:szCs w:val="16"/>
              </w:rPr>
            </w:pPr>
            <w:proofErr w:type="spellStart"/>
            <w:r w:rsidRPr="002E3196">
              <w:rPr>
                <w:rFonts w:cstheme="minorHAnsi"/>
                <w:bCs/>
                <w:sz w:val="16"/>
                <w:szCs w:val="16"/>
              </w:rPr>
              <w:t>Verastar</w:t>
            </w:r>
            <w:proofErr w:type="spellEnd"/>
            <w:r w:rsidRPr="002E3196">
              <w:rPr>
                <w:rFonts w:cstheme="minorHAnsi"/>
                <w:bCs/>
                <w:sz w:val="16"/>
                <w:szCs w:val="16"/>
              </w:rPr>
              <w:t xml:space="preserve"> Ltd</w:t>
            </w:r>
          </w:p>
        </w:tc>
        <w:tc>
          <w:tcPr>
            <w:tcW w:w="1918" w:type="dxa"/>
            <w:noWrap/>
            <w:vAlign w:val="center"/>
            <w:hideMark/>
          </w:tcPr>
          <w:p w14:paraId="2C6BCBDA" w14:textId="2487648F"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103</w:t>
            </w:r>
            <w:r w:rsidR="00292EBC">
              <w:rPr>
                <w:rFonts w:cstheme="minorHAnsi"/>
                <w:bCs/>
                <w:sz w:val="16"/>
                <w:szCs w:val="16"/>
              </w:rPr>
              <w:t>,</w:t>
            </w:r>
            <w:r w:rsidRPr="002E3196">
              <w:rPr>
                <w:rFonts w:cstheme="minorHAnsi"/>
                <w:bCs/>
                <w:sz w:val="16"/>
                <w:szCs w:val="16"/>
              </w:rPr>
              <w:t>527</w:t>
            </w:r>
          </w:p>
        </w:tc>
        <w:tc>
          <w:tcPr>
            <w:tcW w:w="1918" w:type="dxa"/>
            <w:noWrap/>
            <w:vAlign w:val="center"/>
            <w:hideMark/>
          </w:tcPr>
          <w:p w14:paraId="3E784802" w14:textId="09F0AAED"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103</w:t>
            </w:r>
            <w:r w:rsidR="00292EBC">
              <w:rPr>
                <w:rFonts w:cstheme="minorHAnsi"/>
                <w:bCs/>
                <w:sz w:val="16"/>
                <w:szCs w:val="16"/>
              </w:rPr>
              <w:t>,</w:t>
            </w:r>
            <w:r w:rsidRPr="002E3196">
              <w:rPr>
                <w:rFonts w:cstheme="minorHAnsi"/>
                <w:bCs/>
                <w:sz w:val="16"/>
                <w:szCs w:val="16"/>
              </w:rPr>
              <w:t>527</w:t>
            </w:r>
          </w:p>
        </w:tc>
        <w:tc>
          <w:tcPr>
            <w:tcW w:w="2138" w:type="dxa"/>
            <w:noWrap/>
            <w:vAlign w:val="center"/>
            <w:hideMark/>
          </w:tcPr>
          <w:p w14:paraId="276F381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70C78925"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£458,188.00</w:t>
            </w:r>
          </w:p>
        </w:tc>
      </w:tr>
      <w:tr w:rsidR="005A04AB" w:rsidRPr="006B3AC6" w14:paraId="404D3CEA" w14:textId="77777777" w:rsidTr="00780608">
        <w:trPr>
          <w:trHeight w:val="300"/>
        </w:trPr>
        <w:tc>
          <w:tcPr>
            <w:tcW w:w="2414" w:type="dxa"/>
            <w:noWrap/>
            <w:vAlign w:val="center"/>
            <w:hideMark/>
          </w:tcPr>
          <w:p w14:paraId="40D00FAD" w14:textId="77777777" w:rsidR="00E54E83" w:rsidRPr="002E3196" w:rsidRDefault="00E54E83">
            <w:pPr>
              <w:spacing w:line="240" w:lineRule="auto"/>
              <w:rPr>
                <w:rFonts w:cstheme="minorHAnsi"/>
                <w:bCs/>
                <w:sz w:val="16"/>
                <w:szCs w:val="16"/>
              </w:rPr>
            </w:pPr>
            <w:r w:rsidRPr="002E3196">
              <w:rPr>
                <w:rFonts w:cstheme="minorHAnsi"/>
                <w:bCs/>
                <w:sz w:val="16"/>
                <w:szCs w:val="16"/>
              </w:rPr>
              <w:t>Wilton Energy Ltd</w:t>
            </w:r>
          </w:p>
        </w:tc>
        <w:tc>
          <w:tcPr>
            <w:tcW w:w="1918" w:type="dxa"/>
            <w:noWrap/>
            <w:vAlign w:val="center"/>
            <w:hideMark/>
          </w:tcPr>
          <w:p w14:paraId="08F64741" w14:textId="62C50D31"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292EBC">
              <w:rPr>
                <w:rFonts w:cstheme="minorHAnsi"/>
                <w:bCs/>
                <w:sz w:val="16"/>
                <w:szCs w:val="16"/>
              </w:rPr>
              <w:t>,</w:t>
            </w:r>
            <w:r w:rsidRPr="002E3196">
              <w:rPr>
                <w:rFonts w:cstheme="minorHAnsi"/>
                <w:bCs/>
                <w:sz w:val="16"/>
                <w:szCs w:val="16"/>
              </w:rPr>
              <w:t>693</w:t>
            </w:r>
          </w:p>
        </w:tc>
        <w:tc>
          <w:tcPr>
            <w:tcW w:w="1918" w:type="dxa"/>
            <w:noWrap/>
            <w:vAlign w:val="center"/>
            <w:hideMark/>
          </w:tcPr>
          <w:p w14:paraId="6B182F33" w14:textId="38B3254E"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w:t>
            </w:r>
            <w:r w:rsidR="00292EBC">
              <w:rPr>
                <w:rFonts w:cstheme="minorHAnsi"/>
                <w:bCs/>
                <w:sz w:val="16"/>
                <w:szCs w:val="16"/>
              </w:rPr>
              <w:t>,</w:t>
            </w:r>
            <w:r w:rsidRPr="002E3196">
              <w:rPr>
                <w:rFonts w:cstheme="minorHAnsi"/>
                <w:bCs/>
                <w:sz w:val="16"/>
                <w:szCs w:val="16"/>
              </w:rPr>
              <w:t>693</w:t>
            </w:r>
          </w:p>
        </w:tc>
        <w:tc>
          <w:tcPr>
            <w:tcW w:w="2138" w:type="dxa"/>
            <w:noWrap/>
            <w:vAlign w:val="center"/>
            <w:hideMark/>
          </w:tcPr>
          <w:p w14:paraId="19D7A64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c>
          <w:tcPr>
            <w:tcW w:w="2154" w:type="dxa"/>
            <w:noWrap/>
            <w:vAlign w:val="center"/>
            <w:hideMark/>
          </w:tcPr>
          <w:p w14:paraId="011290E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£25,194.00</w:t>
            </w:r>
          </w:p>
        </w:tc>
      </w:tr>
      <w:tr w:rsidR="005A04AB" w:rsidRPr="006B3AC6" w14:paraId="19BD53A5" w14:textId="77777777" w:rsidTr="00780608">
        <w:trPr>
          <w:trHeight w:val="300"/>
        </w:trPr>
        <w:tc>
          <w:tcPr>
            <w:tcW w:w="2414" w:type="dxa"/>
            <w:noWrap/>
            <w:vAlign w:val="center"/>
            <w:hideMark/>
          </w:tcPr>
          <w:p w14:paraId="6E26BECA" w14:textId="77777777" w:rsidR="00E54E83" w:rsidRPr="002E3196" w:rsidRDefault="00E54E83">
            <w:pPr>
              <w:spacing w:line="240" w:lineRule="auto"/>
              <w:rPr>
                <w:rFonts w:cstheme="minorHAnsi"/>
                <w:bCs/>
                <w:sz w:val="16"/>
                <w:szCs w:val="16"/>
              </w:rPr>
            </w:pPr>
            <w:r w:rsidRPr="002E3196">
              <w:rPr>
                <w:rFonts w:cstheme="minorHAnsi"/>
                <w:bCs/>
                <w:sz w:val="16"/>
                <w:szCs w:val="16"/>
              </w:rPr>
              <w:t>Zebra Power Ltd</w:t>
            </w:r>
          </w:p>
        </w:tc>
        <w:tc>
          <w:tcPr>
            <w:tcW w:w="1918" w:type="dxa"/>
            <w:noWrap/>
            <w:vAlign w:val="center"/>
            <w:hideMark/>
          </w:tcPr>
          <w:p w14:paraId="5F723242" w14:textId="15B6E9AB"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29</w:t>
            </w:r>
            <w:r w:rsidR="00292EBC">
              <w:rPr>
                <w:rFonts w:cstheme="minorHAnsi"/>
                <w:bCs/>
                <w:sz w:val="16"/>
                <w:szCs w:val="16"/>
              </w:rPr>
              <w:t>,</w:t>
            </w:r>
            <w:r w:rsidRPr="002E3196">
              <w:rPr>
                <w:rFonts w:cstheme="minorHAnsi"/>
                <w:bCs/>
                <w:sz w:val="16"/>
                <w:szCs w:val="16"/>
              </w:rPr>
              <w:t>083</w:t>
            </w:r>
          </w:p>
        </w:tc>
        <w:tc>
          <w:tcPr>
            <w:tcW w:w="1918" w:type="dxa"/>
            <w:noWrap/>
            <w:vAlign w:val="center"/>
            <w:hideMark/>
          </w:tcPr>
          <w:p w14:paraId="3AFEF6F4"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6254B479"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£1,455,604.12</w:t>
            </w:r>
          </w:p>
        </w:tc>
        <w:tc>
          <w:tcPr>
            <w:tcW w:w="2154" w:type="dxa"/>
            <w:noWrap/>
            <w:vAlign w:val="center"/>
            <w:hideMark/>
          </w:tcPr>
          <w:p w14:paraId="669C6AE2"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6BAA5FCC" w14:textId="77777777" w:rsidTr="00780608">
        <w:trPr>
          <w:trHeight w:val="300"/>
        </w:trPr>
        <w:tc>
          <w:tcPr>
            <w:tcW w:w="2414" w:type="dxa"/>
            <w:noWrap/>
            <w:vAlign w:val="center"/>
            <w:hideMark/>
          </w:tcPr>
          <w:p w14:paraId="0F3E97DE" w14:textId="77777777" w:rsidR="00E54E83" w:rsidRPr="002E3196" w:rsidRDefault="00E54E83">
            <w:pPr>
              <w:spacing w:line="240" w:lineRule="auto"/>
              <w:rPr>
                <w:rFonts w:cstheme="minorHAnsi"/>
                <w:bCs/>
                <w:sz w:val="16"/>
                <w:szCs w:val="16"/>
              </w:rPr>
            </w:pPr>
            <w:r w:rsidRPr="002E3196">
              <w:rPr>
                <w:rFonts w:cstheme="minorHAnsi"/>
                <w:bCs/>
                <w:sz w:val="16"/>
                <w:szCs w:val="16"/>
              </w:rPr>
              <w:t>Zog Energy Ltd</w:t>
            </w:r>
          </w:p>
        </w:tc>
        <w:tc>
          <w:tcPr>
            <w:tcW w:w="1918" w:type="dxa"/>
            <w:noWrap/>
            <w:vAlign w:val="center"/>
            <w:hideMark/>
          </w:tcPr>
          <w:p w14:paraId="6F54D89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1</w:t>
            </w:r>
          </w:p>
        </w:tc>
        <w:tc>
          <w:tcPr>
            <w:tcW w:w="1918" w:type="dxa"/>
            <w:noWrap/>
            <w:vAlign w:val="center"/>
            <w:hideMark/>
          </w:tcPr>
          <w:p w14:paraId="25061ADC"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w:t>
            </w:r>
          </w:p>
        </w:tc>
        <w:tc>
          <w:tcPr>
            <w:tcW w:w="2138" w:type="dxa"/>
            <w:noWrap/>
            <w:vAlign w:val="center"/>
            <w:hideMark/>
          </w:tcPr>
          <w:p w14:paraId="76412317"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£50.05</w:t>
            </w:r>
          </w:p>
        </w:tc>
        <w:tc>
          <w:tcPr>
            <w:tcW w:w="2154" w:type="dxa"/>
            <w:noWrap/>
            <w:vAlign w:val="center"/>
            <w:hideMark/>
          </w:tcPr>
          <w:p w14:paraId="3BEC19E6" w14:textId="77777777" w:rsidR="00E54E83" w:rsidRPr="002E3196" w:rsidRDefault="00E54E83" w:rsidP="00780608">
            <w:pPr>
              <w:spacing w:line="240" w:lineRule="auto"/>
              <w:jc w:val="right"/>
              <w:rPr>
                <w:rFonts w:cstheme="minorHAnsi"/>
                <w:bCs/>
                <w:sz w:val="16"/>
                <w:szCs w:val="16"/>
              </w:rPr>
            </w:pPr>
            <w:r w:rsidRPr="002E3196">
              <w:rPr>
                <w:rFonts w:cstheme="minorHAnsi"/>
                <w:bCs/>
                <w:sz w:val="16"/>
                <w:szCs w:val="16"/>
              </w:rPr>
              <w:t>£0.00</w:t>
            </w:r>
          </w:p>
        </w:tc>
      </w:tr>
      <w:tr w:rsidR="005A04AB" w:rsidRPr="006B3AC6" w14:paraId="4DB2B5B0" w14:textId="77777777" w:rsidTr="00780608">
        <w:trPr>
          <w:trHeight w:val="300"/>
        </w:trPr>
        <w:tc>
          <w:tcPr>
            <w:tcW w:w="2414" w:type="dxa"/>
            <w:shd w:val="clear" w:color="auto" w:fill="2363AF"/>
            <w:noWrap/>
            <w:vAlign w:val="center"/>
            <w:hideMark/>
          </w:tcPr>
          <w:p w14:paraId="022A0DBF" w14:textId="41D8602A" w:rsidR="00E54E83" w:rsidRPr="00780608" w:rsidRDefault="00E54E83" w:rsidP="00780608">
            <w:pPr>
              <w:spacing w:line="240" w:lineRule="auto"/>
              <w:rPr>
                <w:rFonts w:eastAsia="Times New Roman" w:cs="Calibri"/>
                <w:color w:val="FFFFFF" w:themeColor="background1"/>
                <w:sz w:val="16"/>
                <w:szCs w:val="16"/>
              </w:rPr>
            </w:pPr>
            <w:r w:rsidRPr="00780608">
              <w:rPr>
                <w:rFonts w:eastAsia="Times New Roman" w:cs="Calibri"/>
                <w:color w:val="FFFFFF" w:themeColor="background1"/>
                <w:sz w:val="16"/>
                <w:szCs w:val="16"/>
              </w:rPr>
              <w:t>Total</w:t>
            </w:r>
          </w:p>
        </w:tc>
        <w:tc>
          <w:tcPr>
            <w:tcW w:w="1918" w:type="dxa"/>
            <w:shd w:val="clear" w:color="auto" w:fill="2363AF"/>
            <w:noWrap/>
            <w:vAlign w:val="center"/>
            <w:hideMark/>
          </w:tcPr>
          <w:p w14:paraId="225E1CF3" w14:textId="7E45536D" w:rsidR="00E54E83" w:rsidRPr="00780608" w:rsidRDefault="00E54E83" w:rsidP="00780608">
            <w:pPr>
              <w:spacing w:line="240" w:lineRule="auto"/>
              <w:jc w:val="right"/>
              <w:rPr>
                <w:rFonts w:eastAsia="Times New Roman" w:cs="Calibri"/>
                <w:color w:val="FFFFFF" w:themeColor="background1"/>
                <w:sz w:val="16"/>
                <w:szCs w:val="16"/>
              </w:rPr>
            </w:pPr>
            <w:r w:rsidRPr="00780608">
              <w:rPr>
                <w:rFonts w:eastAsia="Times New Roman" w:cs="Calibri"/>
                <w:color w:val="FFFFFF" w:themeColor="background1"/>
                <w:sz w:val="16"/>
                <w:szCs w:val="16"/>
              </w:rPr>
              <w:t>119,090,744</w:t>
            </w:r>
          </w:p>
        </w:tc>
        <w:tc>
          <w:tcPr>
            <w:tcW w:w="1918" w:type="dxa"/>
            <w:shd w:val="clear" w:color="auto" w:fill="2363AF"/>
            <w:noWrap/>
            <w:vAlign w:val="center"/>
            <w:hideMark/>
          </w:tcPr>
          <w:p w14:paraId="0F89517A" w14:textId="449E7947" w:rsidR="00E54E83" w:rsidRPr="00780608" w:rsidRDefault="00E54E83" w:rsidP="00780608">
            <w:pPr>
              <w:spacing w:line="240" w:lineRule="auto"/>
              <w:jc w:val="right"/>
              <w:rPr>
                <w:rFonts w:eastAsia="Times New Roman" w:cs="Calibri"/>
                <w:color w:val="FFFFFF" w:themeColor="background1"/>
                <w:sz w:val="16"/>
                <w:szCs w:val="16"/>
              </w:rPr>
            </w:pPr>
            <w:r w:rsidRPr="00780608">
              <w:rPr>
                <w:rFonts w:eastAsia="Times New Roman" w:cs="Calibri"/>
                <w:color w:val="FFFFFF" w:themeColor="background1"/>
                <w:sz w:val="16"/>
                <w:szCs w:val="16"/>
              </w:rPr>
              <w:t>105,263,447</w:t>
            </w:r>
          </w:p>
        </w:tc>
        <w:tc>
          <w:tcPr>
            <w:tcW w:w="2138" w:type="dxa"/>
            <w:shd w:val="clear" w:color="auto" w:fill="2363AF"/>
            <w:noWrap/>
            <w:vAlign w:val="center"/>
            <w:hideMark/>
          </w:tcPr>
          <w:p w14:paraId="22076C78" w14:textId="77777777" w:rsidR="00E54E83" w:rsidRPr="00780608" w:rsidRDefault="00E54E83" w:rsidP="00780608">
            <w:pPr>
              <w:spacing w:line="240" w:lineRule="auto"/>
              <w:jc w:val="right"/>
              <w:rPr>
                <w:rFonts w:eastAsia="Times New Roman" w:cs="Calibri"/>
                <w:color w:val="FFFFFF" w:themeColor="background1"/>
                <w:sz w:val="16"/>
                <w:szCs w:val="16"/>
              </w:rPr>
            </w:pPr>
            <w:r w:rsidRPr="00780608">
              <w:rPr>
                <w:rFonts w:eastAsia="Times New Roman" w:cs="Calibri"/>
                <w:color w:val="FFFFFF" w:themeColor="background1"/>
                <w:sz w:val="16"/>
                <w:szCs w:val="16"/>
              </w:rPr>
              <w:t>£474,388,274.39</w:t>
            </w:r>
          </w:p>
        </w:tc>
        <w:tc>
          <w:tcPr>
            <w:tcW w:w="2154" w:type="dxa"/>
            <w:shd w:val="clear" w:color="auto" w:fill="2363AF"/>
            <w:noWrap/>
            <w:vAlign w:val="center"/>
            <w:hideMark/>
          </w:tcPr>
          <w:p w14:paraId="11D90573" w14:textId="77777777" w:rsidR="00E54E83" w:rsidRPr="00780608" w:rsidRDefault="00E54E83" w:rsidP="00780608">
            <w:pPr>
              <w:spacing w:line="240" w:lineRule="auto"/>
              <w:jc w:val="right"/>
              <w:rPr>
                <w:rFonts w:eastAsia="Times New Roman" w:cs="Calibri"/>
                <w:color w:val="FFFFFF" w:themeColor="background1"/>
                <w:sz w:val="16"/>
                <w:szCs w:val="16"/>
              </w:rPr>
            </w:pPr>
            <w:r w:rsidRPr="00780608">
              <w:rPr>
                <w:rFonts w:eastAsia="Times New Roman" w:cs="Calibri"/>
                <w:color w:val="FFFFFF" w:themeColor="background1"/>
                <w:sz w:val="16"/>
                <w:szCs w:val="16"/>
              </w:rPr>
              <w:t>£465,872,811.00</w:t>
            </w:r>
          </w:p>
        </w:tc>
      </w:tr>
    </w:tbl>
    <w:p w14:paraId="5BF10185" w14:textId="77777777" w:rsidR="00E54E83" w:rsidRDefault="00E54E83" w:rsidP="00E54E83">
      <w:pPr>
        <w:spacing w:after="0" w:line="240" w:lineRule="auto"/>
        <w:rPr>
          <w:rFonts w:eastAsia="Times New Roman" w:cstheme="minorHAnsi"/>
          <w:b/>
          <w:bCs/>
          <w:color w:val="000000"/>
        </w:rPr>
      </w:pPr>
    </w:p>
    <w:p w14:paraId="4081C9C6" w14:textId="77777777" w:rsidR="005F046C" w:rsidRDefault="005F046C">
      <w:pPr>
        <w:spacing w:line="276" w:lineRule="auto"/>
        <w:rPr>
          <w:rFonts w:eastAsia="Times New Roman" w:cstheme="minorHAnsi"/>
          <w:b/>
          <w:bCs/>
          <w:color w:val="000000"/>
        </w:rPr>
      </w:pPr>
      <w:r>
        <w:rPr>
          <w:rFonts w:eastAsia="Times New Roman" w:cstheme="minorHAnsi"/>
          <w:b/>
          <w:bCs/>
          <w:color w:val="000000"/>
        </w:rPr>
        <w:br w:type="page"/>
      </w:r>
    </w:p>
    <w:p w14:paraId="47D42A53" w14:textId="085A70B6" w:rsidR="00E54E83" w:rsidRPr="006B3AC6" w:rsidRDefault="00E54E83" w:rsidP="00780608">
      <w:pPr>
        <w:spacing w:after="120" w:line="240" w:lineRule="auto"/>
        <w:rPr>
          <w:rFonts w:eastAsia="Times New Roman" w:cstheme="minorHAnsi"/>
          <w:b/>
          <w:bCs/>
          <w:color w:val="000000"/>
        </w:rPr>
      </w:pPr>
      <w:r w:rsidRPr="006B3AC6">
        <w:rPr>
          <w:rFonts w:eastAsia="Times New Roman" w:cstheme="minorHAnsi"/>
          <w:b/>
          <w:bCs/>
          <w:color w:val="000000"/>
        </w:rPr>
        <w:lastRenderedPageBreak/>
        <w:t>Table A</w:t>
      </w:r>
      <w:r>
        <w:rPr>
          <w:rFonts w:eastAsia="Times New Roman" w:cstheme="minorHAnsi"/>
          <w:b/>
          <w:bCs/>
          <w:color w:val="000000"/>
        </w:rPr>
        <w:t>1</w:t>
      </w:r>
      <w:r w:rsidRPr="006B3AC6">
        <w:rPr>
          <w:rFonts w:eastAsia="Times New Roman" w:cstheme="minorHAnsi"/>
          <w:b/>
          <w:bCs/>
          <w:color w:val="000000"/>
        </w:rPr>
        <w:t>.</w:t>
      </w:r>
      <w:r>
        <w:rPr>
          <w:rFonts w:eastAsia="Times New Roman" w:cstheme="minorHAnsi"/>
          <w:b/>
          <w:bCs/>
          <w:color w:val="000000"/>
        </w:rPr>
        <w:t>2</w:t>
      </w:r>
      <w:r w:rsidRPr="006B3AC6">
        <w:rPr>
          <w:rFonts w:eastAsia="Times New Roman" w:cstheme="minorHAnsi"/>
          <w:b/>
          <w:bCs/>
          <w:color w:val="000000"/>
        </w:rPr>
        <w:t>: Compliance by licensee</w:t>
      </w:r>
      <w:r w:rsidRPr="006B3AC6">
        <w:rPr>
          <w:rStyle w:val="FootnoteReference"/>
          <w:rFonts w:eastAsia="Times New Roman" w:cstheme="minorHAnsi"/>
          <w:b/>
          <w:bCs/>
          <w:color w:val="000000"/>
        </w:rPr>
        <w:footnoteReference w:id="101"/>
      </w:r>
      <w:r w:rsidRPr="006B3AC6">
        <w:rPr>
          <w:rFonts w:eastAsia="Times New Roman" w:cstheme="minorHAnsi"/>
          <w:b/>
          <w:bCs/>
          <w:color w:val="000000"/>
        </w:rPr>
        <w:t xml:space="preserve"> with an obligation in </w:t>
      </w:r>
      <w:r>
        <w:rPr>
          <w:rFonts w:eastAsia="Times New Roman" w:cstheme="minorHAnsi"/>
          <w:b/>
          <w:bCs/>
          <w:color w:val="000000"/>
        </w:rPr>
        <w:t>England &amp; Wales</w:t>
      </w:r>
    </w:p>
    <w:tbl>
      <w:tblPr>
        <w:tblW w:w="10632"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275"/>
        <w:gridCol w:w="1276"/>
        <w:gridCol w:w="1418"/>
        <w:gridCol w:w="1417"/>
        <w:gridCol w:w="1701"/>
        <w:gridCol w:w="1561"/>
      </w:tblGrid>
      <w:tr w:rsidR="00036B8A" w:rsidRPr="006B3AC6" w14:paraId="6A827DBD" w14:textId="77777777" w:rsidTr="00780608">
        <w:trPr>
          <w:trHeight w:val="624"/>
          <w:tblHeader/>
        </w:trPr>
        <w:tc>
          <w:tcPr>
            <w:tcW w:w="1984" w:type="dxa"/>
            <w:shd w:val="clear" w:color="auto" w:fill="2363AF"/>
            <w:vAlign w:val="center"/>
            <w:hideMark/>
          </w:tcPr>
          <w:p w14:paraId="31689848" w14:textId="24EE05C6" w:rsidR="00036B8A" w:rsidRPr="008650ED" w:rsidRDefault="00036B8A" w:rsidP="00780608">
            <w:pPr>
              <w:spacing w:after="0" w:line="240" w:lineRule="auto"/>
              <w:rPr>
                <w:rFonts w:eastAsia="Times New Roman" w:cs="Calibri"/>
                <w:color w:val="FFFFFF" w:themeColor="background1"/>
                <w:sz w:val="16"/>
                <w:szCs w:val="16"/>
              </w:rPr>
            </w:pPr>
            <w:r w:rsidRPr="008650ED">
              <w:rPr>
                <w:rFonts w:eastAsia="Times New Roman" w:cs="Calibri"/>
                <w:color w:val="FFFFFF" w:themeColor="background1"/>
                <w:sz w:val="16"/>
                <w:szCs w:val="16"/>
              </w:rPr>
              <w:t>Licen</w:t>
            </w:r>
            <w:r>
              <w:rPr>
                <w:rFonts w:eastAsia="Times New Roman" w:cs="Calibri"/>
                <w:color w:val="FFFFFF" w:themeColor="background1"/>
                <w:sz w:val="16"/>
                <w:szCs w:val="16"/>
              </w:rPr>
              <w:t>c</w:t>
            </w:r>
            <w:r w:rsidRPr="008650ED">
              <w:rPr>
                <w:rFonts w:eastAsia="Times New Roman" w:cs="Calibri"/>
                <w:color w:val="FFFFFF" w:themeColor="background1"/>
                <w:sz w:val="16"/>
                <w:szCs w:val="16"/>
              </w:rPr>
              <w:t>e</w:t>
            </w:r>
          </w:p>
        </w:tc>
        <w:tc>
          <w:tcPr>
            <w:tcW w:w="1275" w:type="dxa"/>
            <w:shd w:val="clear" w:color="auto" w:fill="2363AF"/>
            <w:vAlign w:val="center"/>
            <w:hideMark/>
          </w:tcPr>
          <w:p w14:paraId="7700E51E" w14:textId="12019D58"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Obligation</w:t>
            </w:r>
          </w:p>
          <w:p w14:paraId="61D3C8D0"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(ROCs)</w:t>
            </w:r>
          </w:p>
        </w:tc>
        <w:tc>
          <w:tcPr>
            <w:tcW w:w="1276" w:type="dxa"/>
            <w:shd w:val="clear" w:color="auto" w:fill="2363AF"/>
            <w:vAlign w:val="center"/>
            <w:hideMark/>
          </w:tcPr>
          <w:p w14:paraId="14CBC395"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Total ROCs presented</w:t>
            </w:r>
          </w:p>
        </w:tc>
        <w:tc>
          <w:tcPr>
            <w:tcW w:w="1418" w:type="dxa"/>
            <w:shd w:val="clear" w:color="auto" w:fill="2363AF"/>
            <w:vAlign w:val="center"/>
            <w:hideMark/>
          </w:tcPr>
          <w:p w14:paraId="681AF3CF"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Bioliquid ROCs presented</w:t>
            </w:r>
          </w:p>
        </w:tc>
        <w:tc>
          <w:tcPr>
            <w:tcW w:w="1417" w:type="dxa"/>
            <w:shd w:val="clear" w:color="auto" w:fill="2363AF"/>
            <w:vAlign w:val="center"/>
            <w:hideMark/>
          </w:tcPr>
          <w:p w14:paraId="6D082D61"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Banked ROCs presented</w:t>
            </w:r>
          </w:p>
        </w:tc>
        <w:tc>
          <w:tcPr>
            <w:tcW w:w="1701" w:type="dxa"/>
            <w:shd w:val="clear" w:color="auto" w:fill="2363AF"/>
            <w:vAlign w:val="center"/>
            <w:hideMark/>
          </w:tcPr>
          <w:p w14:paraId="6DC1D2A1"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Buyout Payments Made</w:t>
            </w:r>
          </w:p>
        </w:tc>
        <w:tc>
          <w:tcPr>
            <w:tcW w:w="1561" w:type="dxa"/>
            <w:shd w:val="clear" w:color="auto" w:fill="2363AF"/>
            <w:vAlign w:val="center"/>
            <w:hideMark/>
          </w:tcPr>
          <w:p w14:paraId="3FBA5603"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Late Payments Made</w:t>
            </w:r>
          </w:p>
        </w:tc>
      </w:tr>
      <w:tr w:rsidR="00036B8A" w:rsidRPr="006B3AC6" w14:paraId="6E3FD78E" w14:textId="77777777" w:rsidTr="00780608">
        <w:trPr>
          <w:trHeight w:val="301"/>
        </w:trPr>
        <w:tc>
          <w:tcPr>
            <w:tcW w:w="1984" w:type="dxa"/>
            <w:shd w:val="clear" w:color="auto" w:fill="auto"/>
            <w:vAlign w:val="center"/>
            <w:hideMark/>
          </w:tcPr>
          <w:p w14:paraId="2B1EB4E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Affect Energy Ltd</w:t>
            </w:r>
          </w:p>
        </w:tc>
        <w:tc>
          <w:tcPr>
            <w:tcW w:w="1275" w:type="dxa"/>
            <w:shd w:val="clear" w:color="auto" w:fill="auto"/>
            <w:vAlign w:val="center"/>
            <w:hideMark/>
          </w:tcPr>
          <w:p w14:paraId="540E8AFC" w14:textId="041A4EA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w:t>
            </w:r>
            <w:r>
              <w:rPr>
                <w:rFonts w:eastAsia="Times New Roman" w:cs="Calibri"/>
                <w:color w:val="000000"/>
                <w:sz w:val="16"/>
                <w:szCs w:val="16"/>
              </w:rPr>
              <w:t>,</w:t>
            </w:r>
            <w:r w:rsidRPr="002E3196">
              <w:rPr>
                <w:rFonts w:eastAsia="Times New Roman" w:cs="Calibri"/>
                <w:color w:val="000000"/>
                <w:sz w:val="16"/>
                <w:szCs w:val="16"/>
              </w:rPr>
              <w:t>797</w:t>
            </w:r>
          </w:p>
        </w:tc>
        <w:tc>
          <w:tcPr>
            <w:tcW w:w="1276" w:type="dxa"/>
            <w:shd w:val="clear" w:color="auto" w:fill="auto"/>
            <w:vAlign w:val="center"/>
            <w:hideMark/>
          </w:tcPr>
          <w:p w14:paraId="4CF6BE90"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0F96C0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BB35BC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AD5DE4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£490,339.85</w:t>
            </w:r>
          </w:p>
        </w:tc>
        <w:tc>
          <w:tcPr>
            <w:tcW w:w="1561" w:type="dxa"/>
            <w:shd w:val="clear" w:color="auto" w:fill="auto"/>
            <w:vAlign w:val="center"/>
            <w:hideMark/>
          </w:tcPr>
          <w:p w14:paraId="59BE228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216F448" w14:textId="77777777" w:rsidTr="00780608">
        <w:trPr>
          <w:trHeight w:val="301"/>
        </w:trPr>
        <w:tc>
          <w:tcPr>
            <w:tcW w:w="1984" w:type="dxa"/>
            <w:shd w:val="clear" w:color="auto" w:fill="auto"/>
            <w:vAlign w:val="center"/>
            <w:hideMark/>
          </w:tcPr>
          <w:p w14:paraId="223D511B"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Ampoweruk</w:t>
            </w:r>
            <w:proofErr w:type="spellEnd"/>
            <w:r w:rsidRPr="002E3196">
              <w:rPr>
                <w:rFonts w:eastAsia="Times New Roman" w:cs="Calibri"/>
                <w:color w:val="000000"/>
                <w:sz w:val="16"/>
                <w:szCs w:val="16"/>
              </w:rPr>
              <w:t xml:space="preserve"> Ltd</w:t>
            </w:r>
          </w:p>
        </w:tc>
        <w:tc>
          <w:tcPr>
            <w:tcW w:w="1275" w:type="dxa"/>
            <w:shd w:val="clear" w:color="auto" w:fill="auto"/>
            <w:vAlign w:val="center"/>
            <w:hideMark/>
          </w:tcPr>
          <w:p w14:paraId="255D4FA7" w14:textId="4CBADC1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70</w:t>
            </w:r>
            <w:r>
              <w:rPr>
                <w:rFonts w:eastAsia="Times New Roman" w:cs="Calibri"/>
                <w:color w:val="000000"/>
                <w:sz w:val="16"/>
                <w:szCs w:val="16"/>
              </w:rPr>
              <w:t>,</w:t>
            </w:r>
            <w:r w:rsidRPr="002E3196">
              <w:rPr>
                <w:rFonts w:eastAsia="Times New Roman" w:cs="Calibri"/>
                <w:color w:val="000000"/>
                <w:sz w:val="16"/>
                <w:szCs w:val="16"/>
              </w:rPr>
              <w:t>942</w:t>
            </w:r>
          </w:p>
        </w:tc>
        <w:tc>
          <w:tcPr>
            <w:tcW w:w="1276" w:type="dxa"/>
            <w:shd w:val="clear" w:color="auto" w:fill="auto"/>
            <w:vAlign w:val="center"/>
            <w:hideMark/>
          </w:tcPr>
          <w:p w14:paraId="07C58127" w14:textId="116F3B2B"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5</w:t>
            </w:r>
            <w:r>
              <w:rPr>
                <w:rFonts w:eastAsia="Times New Roman" w:cs="Calibri"/>
                <w:color w:val="000000"/>
                <w:sz w:val="16"/>
                <w:szCs w:val="16"/>
              </w:rPr>
              <w:t>,</w:t>
            </w:r>
            <w:r w:rsidRPr="005A4A5A">
              <w:rPr>
                <w:rFonts w:eastAsia="Times New Roman" w:cs="Calibri"/>
                <w:color w:val="000000"/>
                <w:sz w:val="16"/>
                <w:szCs w:val="16"/>
              </w:rPr>
              <w:t>099</w:t>
            </w:r>
          </w:p>
        </w:tc>
        <w:tc>
          <w:tcPr>
            <w:tcW w:w="1418" w:type="dxa"/>
            <w:shd w:val="clear" w:color="auto" w:fill="auto"/>
            <w:vAlign w:val="center"/>
            <w:hideMark/>
          </w:tcPr>
          <w:p w14:paraId="3EF8739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C7700BB" w14:textId="3591C30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760</w:t>
            </w:r>
          </w:p>
        </w:tc>
        <w:tc>
          <w:tcPr>
            <w:tcW w:w="1701" w:type="dxa"/>
            <w:shd w:val="clear" w:color="auto" w:fill="auto"/>
            <w:vAlign w:val="center"/>
            <w:hideMark/>
          </w:tcPr>
          <w:p w14:paraId="5C63EB7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04CEC6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96D5FAA" w14:textId="77777777" w:rsidTr="00780608">
        <w:trPr>
          <w:trHeight w:val="301"/>
        </w:trPr>
        <w:tc>
          <w:tcPr>
            <w:tcW w:w="1984" w:type="dxa"/>
            <w:shd w:val="clear" w:color="auto" w:fill="auto"/>
            <w:vAlign w:val="center"/>
            <w:hideMark/>
          </w:tcPr>
          <w:p w14:paraId="65A62A1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Avro Energy Ltd</w:t>
            </w:r>
          </w:p>
        </w:tc>
        <w:tc>
          <w:tcPr>
            <w:tcW w:w="1275" w:type="dxa"/>
            <w:shd w:val="clear" w:color="auto" w:fill="auto"/>
            <w:vAlign w:val="center"/>
            <w:hideMark/>
          </w:tcPr>
          <w:p w14:paraId="32A9F54C" w14:textId="34DE41B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092</w:t>
            </w:r>
            <w:r>
              <w:rPr>
                <w:rFonts w:eastAsia="Times New Roman" w:cs="Calibri"/>
                <w:color w:val="000000"/>
                <w:sz w:val="16"/>
                <w:szCs w:val="16"/>
              </w:rPr>
              <w:t>,</w:t>
            </w:r>
            <w:r w:rsidRPr="002E3196">
              <w:rPr>
                <w:rFonts w:eastAsia="Times New Roman" w:cs="Calibri"/>
                <w:color w:val="000000"/>
                <w:sz w:val="16"/>
                <w:szCs w:val="16"/>
              </w:rPr>
              <w:t>765</w:t>
            </w:r>
          </w:p>
        </w:tc>
        <w:tc>
          <w:tcPr>
            <w:tcW w:w="1276" w:type="dxa"/>
            <w:shd w:val="clear" w:color="auto" w:fill="auto"/>
            <w:vAlign w:val="center"/>
            <w:hideMark/>
          </w:tcPr>
          <w:p w14:paraId="3D3433E2"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16B745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FF9299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4BD1F4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664F08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F567F90" w14:textId="77777777" w:rsidTr="00780608">
        <w:trPr>
          <w:trHeight w:val="301"/>
        </w:trPr>
        <w:tc>
          <w:tcPr>
            <w:tcW w:w="1984" w:type="dxa"/>
            <w:shd w:val="clear" w:color="auto" w:fill="auto"/>
            <w:vAlign w:val="center"/>
            <w:hideMark/>
          </w:tcPr>
          <w:p w14:paraId="63FBBBB2"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AXPO UK Ltd</w:t>
            </w:r>
          </w:p>
        </w:tc>
        <w:tc>
          <w:tcPr>
            <w:tcW w:w="1275" w:type="dxa"/>
            <w:shd w:val="clear" w:color="auto" w:fill="auto"/>
            <w:vAlign w:val="center"/>
            <w:hideMark/>
          </w:tcPr>
          <w:p w14:paraId="4B5C8BAE" w14:textId="655B9C1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321</w:t>
            </w:r>
            <w:r>
              <w:rPr>
                <w:rFonts w:eastAsia="Times New Roman" w:cs="Calibri"/>
                <w:color w:val="000000"/>
                <w:sz w:val="16"/>
                <w:szCs w:val="16"/>
              </w:rPr>
              <w:t>,</w:t>
            </w:r>
            <w:r w:rsidRPr="002E3196">
              <w:rPr>
                <w:rFonts w:eastAsia="Times New Roman" w:cs="Calibri"/>
                <w:color w:val="000000"/>
                <w:sz w:val="16"/>
                <w:szCs w:val="16"/>
              </w:rPr>
              <w:t>971</w:t>
            </w:r>
          </w:p>
        </w:tc>
        <w:tc>
          <w:tcPr>
            <w:tcW w:w="1276" w:type="dxa"/>
            <w:shd w:val="clear" w:color="auto" w:fill="auto"/>
            <w:vAlign w:val="center"/>
            <w:hideMark/>
          </w:tcPr>
          <w:p w14:paraId="38678141" w14:textId="565A13A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321</w:t>
            </w:r>
            <w:r>
              <w:rPr>
                <w:rFonts w:eastAsia="Times New Roman" w:cs="Calibri"/>
                <w:color w:val="000000"/>
                <w:sz w:val="16"/>
                <w:szCs w:val="16"/>
              </w:rPr>
              <w:t>,</w:t>
            </w:r>
            <w:r w:rsidRPr="005A4A5A">
              <w:rPr>
                <w:rFonts w:eastAsia="Times New Roman" w:cs="Calibri"/>
                <w:color w:val="000000"/>
                <w:sz w:val="16"/>
                <w:szCs w:val="16"/>
              </w:rPr>
              <w:t>971</w:t>
            </w:r>
          </w:p>
        </w:tc>
        <w:tc>
          <w:tcPr>
            <w:tcW w:w="1418" w:type="dxa"/>
            <w:shd w:val="clear" w:color="auto" w:fill="auto"/>
            <w:vAlign w:val="center"/>
            <w:hideMark/>
          </w:tcPr>
          <w:p w14:paraId="75D67BCB" w14:textId="3C196F0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300</w:t>
            </w:r>
          </w:p>
        </w:tc>
        <w:tc>
          <w:tcPr>
            <w:tcW w:w="1417" w:type="dxa"/>
            <w:shd w:val="clear" w:color="auto" w:fill="auto"/>
            <w:vAlign w:val="center"/>
            <w:hideMark/>
          </w:tcPr>
          <w:p w14:paraId="40580B24" w14:textId="3D42E0A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21</w:t>
            </w:r>
            <w:r>
              <w:rPr>
                <w:rFonts w:eastAsia="Times New Roman" w:cs="Calibri"/>
                <w:color w:val="000000"/>
                <w:sz w:val="16"/>
                <w:szCs w:val="16"/>
              </w:rPr>
              <w:t>,</w:t>
            </w:r>
            <w:r w:rsidRPr="002E3196">
              <w:rPr>
                <w:rFonts w:eastAsia="Times New Roman" w:cs="Calibri"/>
                <w:color w:val="000000"/>
                <w:sz w:val="16"/>
                <w:szCs w:val="16"/>
              </w:rPr>
              <w:t>399</w:t>
            </w:r>
          </w:p>
        </w:tc>
        <w:tc>
          <w:tcPr>
            <w:tcW w:w="1701" w:type="dxa"/>
            <w:shd w:val="clear" w:color="auto" w:fill="auto"/>
            <w:vAlign w:val="center"/>
            <w:hideMark/>
          </w:tcPr>
          <w:p w14:paraId="0CB0293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D2AD5B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6235A23" w14:textId="77777777" w:rsidTr="00780608">
        <w:trPr>
          <w:trHeight w:val="552"/>
        </w:trPr>
        <w:tc>
          <w:tcPr>
            <w:tcW w:w="1984" w:type="dxa"/>
            <w:shd w:val="clear" w:color="auto" w:fill="auto"/>
            <w:vAlign w:val="center"/>
            <w:hideMark/>
          </w:tcPr>
          <w:p w14:paraId="4468913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BES Commercial Electricity Ltd</w:t>
            </w:r>
          </w:p>
        </w:tc>
        <w:tc>
          <w:tcPr>
            <w:tcW w:w="1275" w:type="dxa"/>
            <w:shd w:val="clear" w:color="auto" w:fill="auto"/>
            <w:vAlign w:val="center"/>
            <w:hideMark/>
          </w:tcPr>
          <w:p w14:paraId="7A9836B5" w14:textId="1AFED2C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127</w:t>
            </w:r>
            <w:r>
              <w:rPr>
                <w:rFonts w:eastAsia="Times New Roman" w:cs="Calibri"/>
                <w:color w:val="000000"/>
                <w:sz w:val="16"/>
                <w:szCs w:val="16"/>
              </w:rPr>
              <w:t>,</w:t>
            </w:r>
            <w:r w:rsidRPr="002E3196">
              <w:rPr>
                <w:rFonts w:eastAsia="Times New Roman" w:cs="Calibri"/>
                <w:color w:val="000000"/>
                <w:sz w:val="16"/>
                <w:szCs w:val="16"/>
              </w:rPr>
              <w:t>186</w:t>
            </w:r>
          </w:p>
        </w:tc>
        <w:tc>
          <w:tcPr>
            <w:tcW w:w="1276" w:type="dxa"/>
            <w:shd w:val="clear" w:color="auto" w:fill="auto"/>
            <w:vAlign w:val="center"/>
            <w:hideMark/>
          </w:tcPr>
          <w:p w14:paraId="3C77B963" w14:textId="7B2E4ED9"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127</w:t>
            </w:r>
            <w:r>
              <w:rPr>
                <w:rFonts w:eastAsia="Times New Roman" w:cs="Calibri"/>
                <w:color w:val="000000"/>
                <w:sz w:val="16"/>
                <w:szCs w:val="16"/>
              </w:rPr>
              <w:t>,</w:t>
            </w:r>
            <w:r w:rsidRPr="005A4A5A">
              <w:rPr>
                <w:rFonts w:eastAsia="Times New Roman" w:cs="Calibri"/>
                <w:color w:val="000000"/>
                <w:sz w:val="16"/>
                <w:szCs w:val="16"/>
              </w:rPr>
              <w:t>186</w:t>
            </w:r>
          </w:p>
        </w:tc>
        <w:tc>
          <w:tcPr>
            <w:tcW w:w="1418" w:type="dxa"/>
            <w:shd w:val="clear" w:color="auto" w:fill="auto"/>
            <w:vAlign w:val="center"/>
            <w:hideMark/>
          </w:tcPr>
          <w:p w14:paraId="580FD9B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32017A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13810C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EE945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4C98738" w14:textId="77777777" w:rsidTr="00780608">
        <w:trPr>
          <w:trHeight w:val="301"/>
        </w:trPr>
        <w:tc>
          <w:tcPr>
            <w:tcW w:w="1984" w:type="dxa"/>
            <w:shd w:val="clear" w:color="auto" w:fill="auto"/>
            <w:vAlign w:val="center"/>
            <w:hideMark/>
          </w:tcPr>
          <w:p w14:paraId="7545CB7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Blue Green Energy</w:t>
            </w:r>
          </w:p>
        </w:tc>
        <w:tc>
          <w:tcPr>
            <w:tcW w:w="1275" w:type="dxa"/>
            <w:shd w:val="clear" w:color="auto" w:fill="auto"/>
            <w:vAlign w:val="center"/>
            <w:hideMark/>
          </w:tcPr>
          <w:p w14:paraId="119AF9B6" w14:textId="559C8CB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w:t>
            </w:r>
            <w:r>
              <w:rPr>
                <w:rFonts w:eastAsia="Times New Roman" w:cs="Calibri"/>
                <w:color w:val="000000"/>
                <w:sz w:val="16"/>
                <w:szCs w:val="16"/>
              </w:rPr>
              <w:t>,</w:t>
            </w:r>
            <w:r w:rsidRPr="002E3196">
              <w:rPr>
                <w:rFonts w:eastAsia="Times New Roman" w:cs="Calibri"/>
                <w:color w:val="000000"/>
                <w:sz w:val="16"/>
                <w:szCs w:val="16"/>
              </w:rPr>
              <w:t>775</w:t>
            </w:r>
          </w:p>
        </w:tc>
        <w:tc>
          <w:tcPr>
            <w:tcW w:w="1276" w:type="dxa"/>
            <w:shd w:val="clear" w:color="auto" w:fill="auto"/>
            <w:vAlign w:val="center"/>
            <w:hideMark/>
          </w:tcPr>
          <w:p w14:paraId="016A6335"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96CA28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7A4BAD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5A0913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£539,288.75</w:t>
            </w:r>
          </w:p>
        </w:tc>
        <w:tc>
          <w:tcPr>
            <w:tcW w:w="1561" w:type="dxa"/>
            <w:shd w:val="clear" w:color="auto" w:fill="auto"/>
            <w:vAlign w:val="center"/>
            <w:hideMark/>
          </w:tcPr>
          <w:p w14:paraId="0BEFACE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4B05390" w14:textId="77777777" w:rsidTr="00780608">
        <w:trPr>
          <w:trHeight w:val="720"/>
        </w:trPr>
        <w:tc>
          <w:tcPr>
            <w:tcW w:w="1984" w:type="dxa"/>
            <w:shd w:val="clear" w:color="auto" w:fill="auto"/>
            <w:vAlign w:val="center"/>
            <w:hideMark/>
          </w:tcPr>
          <w:p w14:paraId="42552CA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Bristol Energy Technology &amp; Services (Supply) Ltd</w:t>
            </w:r>
          </w:p>
        </w:tc>
        <w:tc>
          <w:tcPr>
            <w:tcW w:w="1275" w:type="dxa"/>
            <w:shd w:val="clear" w:color="auto" w:fill="auto"/>
            <w:vAlign w:val="center"/>
            <w:hideMark/>
          </w:tcPr>
          <w:p w14:paraId="589E3305" w14:textId="50C31D4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59</w:t>
            </w:r>
            <w:r>
              <w:rPr>
                <w:rFonts w:eastAsia="Times New Roman" w:cs="Calibri"/>
                <w:color w:val="000000"/>
                <w:sz w:val="16"/>
                <w:szCs w:val="16"/>
              </w:rPr>
              <w:t>,</w:t>
            </w:r>
            <w:r w:rsidRPr="002E3196">
              <w:rPr>
                <w:rFonts w:eastAsia="Times New Roman" w:cs="Calibri"/>
                <w:color w:val="000000"/>
                <w:sz w:val="16"/>
                <w:szCs w:val="16"/>
              </w:rPr>
              <w:t>566</w:t>
            </w:r>
          </w:p>
        </w:tc>
        <w:tc>
          <w:tcPr>
            <w:tcW w:w="1276" w:type="dxa"/>
            <w:shd w:val="clear" w:color="auto" w:fill="auto"/>
            <w:vAlign w:val="center"/>
            <w:hideMark/>
          </w:tcPr>
          <w:p w14:paraId="48181D6F"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02E044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0666F7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4CFA62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£2,981,278.30</w:t>
            </w:r>
          </w:p>
        </w:tc>
        <w:tc>
          <w:tcPr>
            <w:tcW w:w="1561" w:type="dxa"/>
            <w:shd w:val="clear" w:color="auto" w:fill="auto"/>
            <w:vAlign w:val="center"/>
            <w:hideMark/>
          </w:tcPr>
          <w:p w14:paraId="3D2662F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D225277" w14:textId="77777777" w:rsidTr="00780608">
        <w:trPr>
          <w:trHeight w:val="552"/>
        </w:trPr>
        <w:tc>
          <w:tcPr>
            <w:tcW w:w="1984" w:type="dxa"/>
            <w:shd w:val="clear" w:color="auto" w:fill="auto"/>
            <w:vAlign w:val="center"/>
            <w:hideMark/>
          </w:tcPr>
          <w:p w14:paraId="7B827202"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British Gas Trading Ltd</w:t>
            </w:r>
          </w:p>
        </w:tc>
        <w:tc>
          <w:tcPr>
            <w:tcW w:w="1275" w:type="dxa"/>
            <w:shd w:val="clear" w:color="auto" w:fill="auto"/>
            <w:vAlign w:val="center"/>
            <w:hideMark/>
          </w:tcPr>
          <w:p w14:paraId="565CA77E" w14:textId="68D6034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w:t>
            </w:r>
            <w:r>
              <w:rPr>
                <w:rFonts w:eastAsia="Times New Roman" w:cs="Calibri"/>
                <w:color w:val="000000"/>
                <w:sz w:val="16"/>
                <w:szCs w:val="16"/>
              </w:rPr>
              <w:t>,</w:t>
            </w:r>
            <w:r w:rsidRPr="002E3196">
              <w:rPr>
                <w:rFonts w:eastAsia="Times New Roman" w:cs="Calibri"/>
                <w:color w:val="000000"/>
                <w:sz w:val="16"/>
                <w:szCs w:val="16"/>
              </w:rPr>
              <w:t>019</w:t>
            </w:r>
            <w:r>
              <w:rPr>
                <w:rFonts w:eastAsia="Times New Roman" w:cs="Calibri"/>
                <w:color w:val="000000"/>
                <w:sz w:val="16"/>
                <w:szCs w:val="16"/>
              </w:rPr>
              <w:t>,</w:t>
            </w:r>
            <w:r w:rsidRPr="002E3196">
              <w:rPr>
                <w:rFonts w:eastAsia="Times New Roman" w:cs="Calibri"/>
                <w:color w:val="000000"/>
                <w:sz w:val="16"/>
                <w:szCs w:val="16"/>
              </w:rPr>
              <w:t>315</w:t>
            </w:r>
          </w:p>
        </w:tc>
        <w:tc>
          <w:tcPr>
            <w:tcW w:w="1276" w:type="dxa"/>
            <w:shd w:val="clear" w:color="auto" w:fill="auto"/>
            <w:vAlign w:val="center"/>
            <w:hideMark/>
          </w:tcPr>
          <w:p w14:paraId="3B9274D9" w14:textId="56FAD13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12</w:t>
            </w:r>
            <w:r>
              <w:rPr>
                <w:rFonts w:eastAsia="Times New Roman" w:cs="Calibri"/>
                <w:color w:val="000000"/>
                <w:sz w:val="16"/>
                <w:szCs w:val="16"/>
              </w:rPr>
              <w:t>,</w:t>
            </w:r>
            <w:r w:rsidRPr="005A4A5A">
              <w:rPr>
                <w:rFonts w:eastAsia="Times New Roman" w:cs="Calibri"/>
                <w:color w:val="000000"/>
                <w:sz w:val="16"/>
                <w:szCs w:val="16"/>
              </w:rPr>
              <w:t>019</w:t>
            </w:r>
            <w:r>
              <w:rPr>
                <w:rFonts w:eastAsia="Times New Roman" w:cs="Calibri"/>
                <w:color w:val="000000"/>
                <w:sz w:val="16"/>
                <w:szCs w:val="16"/>
              </w:rPr>
              <w:t>,</w:t>
            </w:r>
            <w:r w:rsidRPr="005A4A5A">
              <w:rPr>
                <w:rFonts w:eastAsia="Times New Roman" w:cs="Calibri"/>
                <w:color w:val="000000"/>
                <w:sz w:val="16"/>
                <w:szCs w:val="16"/>
              </w:rPr>
              <w:t>315</w:t>
            </w:r>
          </w:p>
        </w:tc>
        <w:tc>
          <w:tcPr>
            <w:tcW w:w="1418" w:type="dxa"/>
            <w:shd w:val="clear" w:color="auto" w:fill="auto"/>
            <w:vAlign w:val="center"/>
            <w:hideMark/>
          </w:tcPr>
          <w:p w14:paraId="7C998E22" w14:textId="5C581FF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208</w:t>
            </w:r>
            <w:r>
              <w:rPr>
                <w:rFonts w:eastAsia="Times New Roman" w:cs="Calibri"/>
                <w:color w:val="000000"/>
                <w:sz w:val="16"/>
                <w:szCs w:val="16"/>
              </w:rPr>
              <w:t>,</w:t>
            </w:r>
            <w:r w:rsidRPr="002E3196">
              <w:rPr>
                <w:rFonts w:eastAsia="Times New Roman" w:cs="Calibri"/>
                <w:color w:val="000000"/>
                <w:sz w:val="16"/>
                <w:szCs w:val="16"/>
              </w:rPr>
              <w:t>913</w:t>
            </w:r>
          </w:p>
        </w:tc>
        <w:tc>
          <w:tcPr>
            <w:tcW w:w="1417" w:type="dxa"/>
            <w:shd w:val="clear" w:color="auto" w:fill="auto"/>
            <w:vAlign w:val="center"/>
            <w:hideMark/>
          </w:tcPr>
          <w:p w14:paraId="29EE9E5F" w14:textId="0264807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25</w:t>
            </w:r>
            <w:r>
              <w:rPr>
                <w:rFonts w:eastAsia="Times New Roman" w:cs="Calibri"/>
                <w:color w:val="000000"/>
                <w:sz w:val="16"/>
                <w:szCs w:val="16"/>
              </w:rPr>
              <w:t>,</w:t>
            </w:r>
            <w:r w:rsidRPr="002E3196">
              <w:rPr>
                <w:rFonts w:eastAsia="Times New Roman" w:cs="Calibri"/>
                <w:color w:val="000000"/>
                <w:sz w:val="16"/>
                <w:szCs w:val="16"/>
              </w:rPr>
              <w:t>610</w:t>
            </w:r>
          </w:p>
        </w:tc>
        <w:tc>
          <w:tcPr>
            <w:tcW w:w="1701" w:type="dxa"/>
            <w:shd w:val="clear" w:color="auto" w:fill="auto"/>
            <w:vAlign w:val="center"/>
            <w:hideMark/>
          </w:tcPr>
          <w:p w14:paraId="423E6B4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FA5F7D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5122145" w14:textId="77777777" w:rsidTr="00780608">
        <w:trPr>
          <w:trHeight w:val="552"/>
        </w:trPr>
        <w:tc>
          <w:tcPr>
            <w:tcW w:w="1984" w:type="dxa"/>
            <w:shd w:val="clear" w:color="auto" w:fill="auto"/>
            <w:vAlign w:val="center"/>
            <w:hideMark/>
          </w:tcPr>
          <w:p w14:paraId="38C28B3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Brook Green Trading Ltd</w:t>
            </w:r>
          </w:p>
        </w:tc>
        <w:tc>
          <w:tcPr>
            <w:tcW w:w="1275" w:type="dxa"/>
            <w:shd w:val="clear" w:color="auto" w:fill="auto"/>
            <w:vAlign w:val="center"/>
            <w:hideMark/>
          </w:tcPr>
          <w:p w14:paraId="1A6319EB" w14:textId="73A0A9F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385</w:t>
            </w:r>
            <w:r>
              <w:rPr>
                <w:rFonts w:eastAsia="Times New Roman" w:cs="Calibri"/>
                <w:color w:val="000000"/>
                <w:sz w:val="16"/>
                <w:szCs w:val="16"/>
              </w:rPr>
              <w:t>,</w:t>
            </w:r>
            <w:r w:rsidRPr="002E3196">
              <w:rPr>
                <w:rFonts w:eastAsia="Times New Roman" w:cs="Calibri"/>
                <w:color w:val="000000"/>
                <w:sz w:val="16"/>
                <w:szCs w:val="16"/>
              </w:rPr>
              <w:t>181</w:t>
            </w:r>
          </w:p>
        </w:tc>
        <w:tc>
          <w:tcPr>
            <w:tcW w:w="1276" w:type="dxa"/>
            <w:shd w:val="clear" w:color="auto" w:fill="auto"/>
            <w:vAlign w:val="center"/>
            <w:hideMark/>
          </w:tcPr>
          <w:p w14:paraId="66E5FF8C" w14:textId="7F484CAE"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300</w:t>
            </w:r>
            <w:r>
              <w:rPr>
                <w:rFonts w:eastAsia="Times New Roman" w:cs="Calibri"/>
                <w:color w:val="000000"/>
                <w:sz w:val="16"/>
                <w:szCs w:val="16"/>
              </w:rPr>
              <w:t>,</w:t>
            </w:r>
            <w:r w:rsidRPr="005A4A5A">
              <w:rPr>
                <w:rFonts w:eastAsia="Times New Roman" w:cs="Calibri"/>
                <w:color w:val="000000"/>
                <w:sz w:val="16"/>
                <w:szCs w:val="16"/>
              </w:rPr>
              <w:t>000</w:t>
            </w:r>
          </w:p>
        </w:tc>
        <w:tc>
          <w:tcPr>
            <w:tcW w:w="1418" w:type="dxa"/>
            <w:shd w:val="clear" w:color="auto" w:fill="auto"/>
            <w:vAlign w:val="center"/>
            <w:hideMark/>
          </w:tcPr>
          <w:p w14:paraId="20897A0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51AFB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736820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£4,263,309.05</w:t>
            </w:r>
          </w:p>
        </w:tc>
        <w:tc>
          <w:tcPr>
            <w:tcW w:w="1561" w:type="dxa"/>
            <w:shd w:val="clear" w:color="auto" w:fill="auto"/>
            <w:vAlign w:val="center"/>
            <w:hideMark/>
          </w:tcPr>
          <w:p w14:paraId="5127206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929549B" w14:textId="77777777" w:rsidTr="00780608">
        <w:trPr>
          <w:trHeight w:val="301"/>
        </w:trPr>
        <w:tc>
          <w:tcPr>
            <w:tcW w:w="1984" w:type="dxa"/>
            <w:shd w:val="clear" w:color="auto" w:fill="auto"/>
            <w:vAlign w:val="center"/>
            <w:hideMark/>
          </w:tcPr>
          <w:p w14:paraId="039353D3"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Bryt</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46036D84" w14:textId="4111402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766</w:t>
            </w:r>
            <w:r>
              <w:rPr>
                <w:rFonts w:eastAsia="Times New Roman" w:cs="Calibri"/>
                <w:color w:val="000000"/>
                <w:sz w:val="16"/>
                <w:szCs w:val="16"/>
              </w:rPr>
              <w:t>,</w:t>
            </w:r>
            <w:r w:rsidRPr="002E3196">
              <w:rPr>
                <w:rFonts w:eastAsia="Times New Roman" w:cs="Calibri"/>
                <w:color w:val="000000"/>
                <w:sz w:val="16"/>
                <w:szCs w:val="16"/>
              </w:rPr>
              <w:t>996</w:t>
            </w:r>
          </w:p>
        </w:tc>
        <w:tc>
          <w:tcPr>
            <w:tcW w:w="1276" w:type="dxa"/>
            <w:shd w:val="clear" w:color="auto" w:fill="auto"/>
            <w:vAlign w:val="center"/>
            <w:hideMark/>
          </w:tcPr>
          <w:p w14:paraId="0C8D2CB6" w14:textId="1F1A26BE"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764</w:t>
            </w:r>
            <w:r>
              <w:rPr>
                <w:rFonts w:eastAsia="Times New Roman" w:cs="Calibri"/>
                <w:color w:val="000000"/>
                <w:sz w:val="16"/>
                <w:szCs w:val="16"/>
              </w:rPr>
              <w:t>,</w:t>
            </w:r>
            <w:r w:rsidRPr="005A4A5A">
              <w:rPr>
                <w:rFonts w:eastAsia="Times New Roman" w:cs="Calibri"/>
                <w:color w:val="000000"/>
                <w:sz w:val="16"/>
                <w:szCs w:val="16"/>
              </w:rPr>
              <w:t>126</w:t>
            </w:r>
          </w:p>
        </w:tc>
        <w:tc>
          <w:tcPr>
            <w:tcW w:w="1418" w:type="dxa"/>
            <w:shd w:val="clear" w:color="auto" w:fill="auto"/>
            <w:vAlign w:val="center"/>
            <w:hideMark/>
          </w:tcPr>
          <w:p w14:paraId="1EF8E7B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DDED1D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824137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£143,643.50</w:t>
            </w:r>
          </w:p>
        </w:tc>
        <w:tc>
          <w:tcPr>
            <w:tcW w:w="1561" w:type="dxa"/>
            <w:shd w:val="clear" w:color="auto" w:fill="auto"/>
            <w:vAlign w:val="center"/>
            <w:hideMark/>
          </w:tcPr>
          <w:p w14:paraId="1B0AD20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072B597" w14:textId="77777777" w:rsidTr="00780608">
        <w:trPr>
          <w:trHeight w:val="301"/>
        </w:trPr>
        <w:tc>
          <w:tcPr>
            <w:tcW w:w="1984" w:type="dxa"/>
            <w:shd w:val="clear" w:color="auto" w:fill="auto"/>
            <w:vAlign w:val="center"/>
            <w:hideMark/>
          </w:tcPr>
          <w:p w14:paraId="119F78E8"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Bulb Energy Ltd</w:t>
            </w:r>
          </w:p>
        </w:tc>
        <w:tc>
          <w:tcPr>
            <w:tcW w:w="1275" w:type="dxa"/>
            <w:shd w:val="clear" w:color="auto" w:fill="auto"/>
            <w:vAlign w:val="center"/>
            <w:hideMark/>
          </w:tcPr>
          <w:p w14:paraId="2DEE1168" w14:textId="5628053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219</w:t>
            </w:r>
            <w:r>
              <w:rPr>
                <w:rFonts w:eastAsia="Times New Roman" w:cs="Calibri"/>
                <w:color w:val="000000"/>
                <w:sz w:val="16"/>
                <w:szCs w:val="16"/>
              </w:rPr>
              <w:t>,</w:t>
            </w:r>
            <w:r w:rsidRPr="002E3196">
              <w:rPr>
                <w:rFonts w:eastAsia="Times New Roman" w:cs="Calibri"/>
                <w:color w:val="000000"/>
                <w:sz w:val="16"/>
                <w:szCs w:val="16"/>
              </w:rPr>
              <w:t>034</w:t>
            </w:r>
          </w:p>
        </w:tc>
        <w:tc>
          <w:tcPr>
            <w:tcW w:w="1276" w:type="dxa"/>
            <w:shd w:val="clear" w:color="auto" w:fill="auto"/>
            <w:vAlign w:val="center"/>
            <w:hideMark/>
          </w:tcPr>
          <w:p w14:paraId="211E944E" w14:textId="2C7E829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w:t>
            </w:r>
            <w:r>
              <w:rPr>
                <w:rFonts w:eastAsia="Times New Roman" w:cs="Calibri"/>
                <w:color w:val="000000"/>
                <w:sz w:val="16"/>
                <w:szCs w:val="16"/>
              </w:rPr>
              <w:t>,</w:t>
            </w:r>
            <w:r w:rsidRPr="005A4A5A">
              <w:rPr>
                <w:rFonts w:eastAsia="Times New Roman" w:cs="Calibri"/>
                <w:color w:val="000000"/>
                <w:sz w:val="16"/>
                <w:szCs w:val="16"/>
              </w:rPr>
              <w:t>939</w:t>
            </w:r>
            <w:r>
              <w:rPr>
                <w:rFonts w:eastAsia="Times New Roman" w:cs="Calibri"/>
                <w:color w:val="000000"/>
                <w:sz w:val="16"/>
                <w:szCs w:val="16"/>
              </w:rPr>
              <w:t>,</w:t>
            </w:r>
            <w:r w:rsidRPr="005A4A5A">
              <w:rPr>
                <w:rFonts w:eastAsia="Times New Roman" w:cs="Calibri"/>
                <w:color w:val="000000"/>
                <w:sz w:val="16"/>
                <w:szCs w:val="16"/>
              </w:rPr>
              <w:t>447</w:t>
            </w:r>
          </w:p>
        </w:tc>
        <w:tc>
          <w:tcPr>
            <w:tcW w:w="1418" w:type="dxa"/>
            <w:shd w:val="clear" w:color="auto" w:fill="auto"/>
            <w:vAlign w:val="center"/>
            <w:hideMark/>
          </w:tcPr>
          <w:p w14:paraId="2D2C3FC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597FED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90</w:t>
            </w:r>
          </w:p>
        </w:tc>
        <w:tc>
          <w:tcPr>
            <w:tcW w:w="1701" w:type="dxa"/>
            <w:shd w:val="clear" w:color="auto" w:fill="auto"/>
            <w:vAlign w:val="center"/>
            <w:hideMark/>
          </w:tcPr>
          <w:p w14:paraId="0318BC3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£64,043,329.35</w:t>
            </w:r>
          </w:p>
        </w:tc>
        <w:tc>
          <w:tcPr>
            <w:tcW w:w="1561" w:type="dxa"/>
            <w:shd w:val="clear" w:color="auto" w:fill="auto"/>
            <w:vAlign w:val="center"/>
            <w:hideMark/>
          </w:tcPr>
          <w:p w14:paraId="66F8C38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AB711CF" w14:textId="77777777" w:rsidTr="00780608">
        <w:trPr>
          <w:trHeight w:val="552"/>
        </w:trPr>
        <w:tc>
          <w:tcPr>
            <w:tcW w:w="1984" w:type="dxa"/>
            <w:shd w:val="clear" w:color="auto" w:fill="auto"/>
            <w:vAlign w:val="center"/>
            <w:hideMark/>
          </w:tcPr>
          <w:p w14:paraId="7BAD49A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Business Power and Gas Ltd</w:t>
            </w:r>
          </w:p>
        </w:tc>
        <w:tc>
          <w:tcPr>
            <w:tcW w:w="1275" w:type="dxa"/>
            <w:shd w:val="clear" w:color="auto" w:fill="auto"/>
            <w:vAlign w:val="center"/>
            <w:hideMark/>
          </w:tcPr>
          <w:p w14:paraId="41EE955B" w14:textId="785869F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173</w:t>
            </w:r>
            <w:r>
              <w:rPr>
                <w:rFonts w:eastAsia="Times New Roman" w:cs="Calibri"/>
                <w:color w:val="000000"/>
                <w:sz w:val="16"/>
                <w:szCs w:val="16"/>
              </w:rPr>
              <w:t>,</w:t>
            </w:r>
            <w:r w:rsidRPr="002E3196">
              <w:rPr>
                <w:rFonts w:eastAsia="Times New Roman" w:cs="Calibri"/>
                <w:color w:val="000000"/>
                <w:sz w:val="16"/>
                <w:szCs w:val="16"/>
              </w:rPr>
              <w:t>319</w:t>
            </w:r>
          </w:p>
        </w:tc>
        <w:tc>
          <w:tcPr>
            <w:tcW w:w="1276" w:type="dxa"/>
            <w:shd w:val="clear" w:color="auto" w:fill="auto"/>
            <w:vAlign w:val="center"/>
            <w:hideMark/>
          </w:tcPr>
          <w:p w14:paraId="78E4A53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6A4058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D75DDC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DC8B50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£8,674,616.00</w:t>
            </w:r>
          </w:p>
        </w:tc>
        <w:tc>
          <w:tcPr>
            <w:tcW w:w="1561" w:type="dxa"/>
            <w:shd w:val="clear" w:color="auto" w:fill="auto"/>
            <w:vAlign w:val="center"/>
            <w:hideMark/>
          </w:tcPr>
          <w:p w14:paraId="17D613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A377D04" w14:textId="77777777" w:rsidTr="00780608">
        <w:trPr>
          <w:trHeight w:val="301"/>
        </w:trPr>
        <w:tc>
          <w:tcPr>
            <w:tcW w:w="1984" w:type="dxa"/>
            <w:shd w:val="clear" w:color="auto" w:fill="auto"/>
            <w:vAlign w:val="center"/>
            <w:hideMark/>
          </w:tcPr>
          <w:p w14:paraId="2C32F2C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CNG Electricity Ltd</w:t>
            </w:r>
          </w:p>
        </w:tc>
        <w:tc>
          <w:tcPr>
            <w:tcW w:w="1275" w:type="dxa"/>
            <w:shd w:val="clear" w:color="auto" w:fill="auto"/>
            <w:vAlign w:val="center"/>
            <w:hideMark/>
          </w:tcPr>
          <w:p w14:paraId="3998F8E3" w14:textId="634434A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w:t>
            </w:r>
            <w:r>
              <w:rPr>
                <w:rFonts w:eastAsia="Times New Roman" w:cs="Calibri"/>
                <w:color w:val="000000"/>
                <w:sz w:val="16"/>
                <w:szCs w:val="16"/>
              </w:rPr>
              <w:t>,</w:t>
            </w:r>
            <w:r w:rsidRPr="002E3196">
              <w:rPr>
                <w:rFonts w:eastAsia="Times New Roman" w:cs="Calibri"/>
                <w:color w:val="000000"/>
                <w:sz w:val="16"/>
                <w:szCs w:val="16"/>
              </w:rPr>
              <w:t>443</w:t>
            </w:r>
          </w:p>
        </w:tc>
        <w:tc>
          <w:tcPr>
            <w:tcW w:w="1276" w:type="dxa"/>
            <w:shd w:val="clear" w:color="auto" w:fill="auto"/>
            <w:vAlign w:val="center"/>
            <w:hideMark/>
          </w:tcPr>
          <w:p w14:paraId="3C90FD93"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15CB37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C5DA5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FA35EC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£222,372.15</w:t>
            </w:r>
          </w:p>
        </w:tc>
        <w:tc>
          <w:tcPr>
            <w:tcW w:w="1561" w:type="dxa"/>
            <w:shd w:val="clear" w:color="auto" w:fill="auto"/>
            <w:vAlign w:val="center"/>
            <w:hideMark/>
          </w:tcPr>
          <w:p w14:paraId="2978613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F41B350" w14:textId="77777777" w:rsidTr="00780608">
        <w:trPr>
          <w:trHeight w:val="301"/>
        </w:trPr>
        <w:tc>
          <w:tcPr>
            <w:tcW w:w="1984" w:type="dxa"/>
            <w:shd w:val="clear" w:color="auto" w:fill="auto"/>
            <w:vAlign w:val="center"/>
            <w:hideMark/>
          </w:tcPr>
          <w:p w14:paraId="0DC3AEB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Colorado Energy</w:t>
            </w:r>
          </w:p>
        </w:tc>
        <w:tc>
          <w:tcPr>
            <w:tcW w:w="1275" w:type="dxa"/>
            <w:shd w:val="clear" w:color="auto" w:fill="auto"/>
            <w:vAlign w:val="center"/>
            <w:hideMark/>
          </w:tcPr>
          <w:p w14:paraId="2713498D" w14:textId="25F7499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150</w:t>
            </w:r>
          </w:p>
        </w:tc>
        <w:tc>
          <w:tcPr>
            <w:tcW w:w="1276" w:type="dxa"/>
            <w:shd w:val="clear" w:color="auto" w:fill="auto"/>
            <w:vAlign w:val="center"/>
            <w:hideMark/>
          </w:tcPr>
          <w:p w14:paraId="29F9653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FADA5C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3BDD49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491135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C9F1DA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0D5FE0C" w14:textId="77777777" w:rsidTr="00780608">
        <w:trPr>
          <w:trHeight w:val="552"/>
        </w:trPr>
        <w:tc>
          <w:tcPr>
            <w:tcW w:w="1984" w:type="dxa"/>
            <w:shd w:val="clear" w:color="auto" w:fill="auto"/>
            <w:vAlign w:val="center"/>
            <w:hideMark/>
          </w:tcPr>
          <w:p w14:paraId="2688D28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Conrad Energy (Trading) Ltd</w:t>
            </w:r>
          </w:p>
        </w:tc>
        <w:tc>
          <w:tcPr>
            <w:tcW w:w="1275" w:type="dxa"/>
            <w:shd w:val="clear" w:color="auto" w:fill="auto"/>
            <w:vAlign w:val="center"/>
            <w:hideMark/>
          </w:tcPr>
          <w:p w14:paraId="6A00CC3F" w14:textId="0FA81DE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764</w:t>
            </w:r>
          </w:p>
        </w:tc>
        <w:tc>
          <w:tcPr>
            <w:tcW w:w="1276" w:type="dxa"/>
            <w:shd w:val="clear" w:color="auto" w:fill="auto"/>
            <w:vAlign w:val="center"/>
            <w:hideMark/>
          </w:tcPr>
          <w:p w14:paraId="3BA872D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84B6A4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039893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A514E1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£88,288.20</w:t>
            </w:r>
          </w:p>
        </w:tc>
        <w:tc>
          <w:tcPr>
            <w:tcW w:w="1561" w:type="dxa"/>
            <w:shd w:val="clear" w:color="auto" w:fill="auto"/>
            <w:vAlign w:val="center"/>
            <w:hideMark/>
          </w:tcPr>
          <w:p w14:paraId="6C2D4C5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26E9E03" w14:textId="77777777" w:rsidTr="00780608">
        <w:trPr>
          <w:trHeight w:val="552"/>
        </w:trPr>
        <w:tc>
          <w:tcPr>
            <w:tcW w:w="1984" w:type="dxa"/>
            <w:shd w:val="clear" w:color="auto" w:fill="auto"/>
            <w:vAlign w:val="center"/>
            <w:hideMark/>
          </w:tcPr>
          <w:p w14:paraId="4C7FC96E"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Co-Operative Energy Ltd</w:t>
            </w:r>
          </w:p>
        </w:tc>
        <w:tc>
          <w:tcPr>
            <w:tcW w:w="1275" w:type="dxa"/>
            <w:shd w:val="clear" w:color="auto" w:fill="auto"/>
            <w:vAlign w:val="center"/>
            <w:hideMark/>
          </w:tcPr>
          <w:p w14:paraId="5D5F6E3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249</w:t>
            </w:r>
          </w:p>
        </w:tc>
        <w:tc>
          <w:tcPr>
            <w:tcW w:w="1276" w:type="dxa"/>
            <w:shd w:val="clear" w:color="auto" w:fill="auto"/>
            <w:vAlign w:val="center"/>
            <w:hideMark/>
          </w:tcPr>
          <w:p w14:paraId="3113BAA6"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CEC528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1264E1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58FCFA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£12,462.45</w:t>
            </w:r>
          </w:p>
        </w:tc>
        <w:tc>
          <w:tcPr>
            <w:tcW w:w="1561" w:type="dxa"/>
            <w:shd w:val="clear" w:color="auto" w:fill="auto"/>
            <w:vAlign w:val="center"/>
            <w:hideMark/>
          </w:tcPr>
          <w:p w14:paraId="591D41B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36C9801" w14:textId="77777777" w:rsidTr="00780608">
        <w:trPr>
          <w:trHeight w:val="552"/>
        </w:trPr>
        <w:tc>
          <w:tcPr>
            <w:tcW w:w="1984" w:type="dxa"/>
            <w:shd w:val="clear" w:color="auto" w:fill="auto"/>
            <w:vAlign w:val="center"/>
            <w:hideMark/>
          </w:tcPr>
          <w:p w14:paraId="78B0AA1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Corona Energy Retail 4 Ltd</w:t>
            </w:r>
          </w:p>
        </w:tc>
        <w:tc>
          <w:tcPr>
            <w:tcW w:w="1275" w:type="dxa"/>
            <w:shd w:val="clear" w:color="auto" w:fill="auto"/>
            <w:vAlign w:val="center"/>
            <w:hideMark/>
          </w:tcPr>
          <w:p w14:paraId="2C79F565" w14:textId="5ACD7DF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190</w:t>
            </w:r>
            <w:r>
              <w:rPr>
                <w:rFonts w:eastAsia="Times New Roman" w:cs="Calibri"/>
                <w:color w:val="000000"/>
                <w:sz w:val="16"/>
                <w:szCs w:val="16"/>
              </w:rPr>
              <w:t>,</w:t>
            </w:r>
            <w:r w:rsidRPr="002E3196">
              <w:rPr>
                <w:rFonts w:eastAsia="Times New Roman" w:cs="Calibri"/>
                <w:color w:val="000000"/>
                <w:sz w:val="16"/>
                <w:szCs w:val="16"/>
              </w:rPr>
              <w:t>676</w:t>
            </w:r>
          </w:p>
        </w:tc>
        <w:tc>
          <w:tcPr>
            <w:tcW w:w="1276" w:type="dxa"/>
            <w:shd w:val="clear" w:color="auto" w:fill="auto"/>
            <w:vAlign w:val="center"/>
            <w:hideMark/>
          </w:tcPr>
          <w:p w14:paraId="5DC7F0A4" w14:textId="3C3CC35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190</w:t>
            </w:r>
            <w:r>
              <w:rPr>
                <w:rFonts w:eastAsia="Times New Roman" w:cs="Calibri"/>
                <w:color w:val="000000"/>
                <w:sz w:val="16"/>
                <w:szCs w:val="16"/>
              </w:rPr>
              <w:t>,</w:t>
            </w:r>
            <w:r w:rsidRPr="005A4A5A">
              <w:rPr>
                <w:rFonts w:eastAsia="Times New Roman" w:cs="Calibri"/>
                <w:color w:val="000000"/>
                <w:sz w:val="16"/>
                <w:szCs w:val="16"/>
              </w:rPr>
              <w:t>676</w:t>
            </w:r>
          </w:p>
        </w:tc>
        <w:tc>
          <w:tcPr>
            <w:tcW w:w="1418" w:type="dxa"/>
            <w:shd w:val="clear" w:color="auto" w:fill="auto"/>
            <w:vAlign w:val="center"/>
            <w:hideMark/>
          </w:tcPr>
          <w:p w14:paraId="5A67B25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730DF7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8F98C6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88B4F4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026F206" w14:textId="77777777" w:rsidTr="00780608">
        <w:trPr>
          <w:trHeight w:val="552"/>
        </w:trPr>
        <w:tc>
          <w:tcPr>
            <w:tcW w:w="1984" w:type="dxa"/>
            <w:shd w:val="clear" w:color="auto" w:fill="auto"/>
            <w:vAlign w:val="center"/>
            <w:hideMark/>
          </w:tcPr>
          <w:p w14:paraId="38102FF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Coulomb Energy Supply Ltd</w:t>
            </w:r>
          </w:p>
        </w:tc>
        <w:tc>
          <w:tcPr>
            <w:tcW w:w="1275" w:type="dxa"/>
            <w:shd w:val="clear" w:color="auto" w:fill="auto"/>
            <w:vAlign w:val="center"/>
            <w:hideMark/>
          </w:tcPr>
          <w:p w14:paraId="600CC2C9" w14:textId="0133F74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40</w:t>
            </w:r>
            <w:r>
              <w:rPr>
                <w:rFonts w:eastAsia="Times New Roman" w:cs="Calibri"/>
                <w:color w:val="000000"/>
                <w:sz w:val="16"/>
                <w:szCs w:val="16"/>
              </w:rPr>
              <w:t>,</w:t>
            </w:r>
            <w:r w:rsidRPr="002E3196">
              <w:rPr>
                <w:rFonts w:eastAsia="Times New Roman" w:cs="Calibri"/>
                <w:color w:val="000000"/>
                <w:sz w:val="16"/>
                <w:szCs w:val="16"/>
              </w:rPr>
              <w:t>215</w:t>
            </w:r>
          </w:p>
        </w:tc>
        <w:tc>
          <w:tcPr>
            <w:tcW w:w="1276" w:type="dxa"/>
            <w:shd w:val="clear" w:color="auto" w:fill="auto"/>
            <w:vAlign w:val="center"/>
            <w:hideMark/>
          </w:tcPr>
          <w:p w14:paraId="649991BA"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2787E4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392929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90D6D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£2,012,760.75</w:t>
            </w:r>
          </w:p>
        </w:tc>
        <w:tc>
          <w:tcPr>
            <w:tcW w:w="1561" w:type="dxa"/>
            <w:shd w:val="clear" w:color="auto" w:fill="auto"/>
            <w:vAlign w:val="center"/>
            <w:hideMark/>
          </w:tcPr>
          <w:p w14:paraId="132F143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5E338F6" w14:textId="77777777" w:rsidTr="00780608">
        <w:trPr>
          <w:trHeight w:val="510"/>
        </w:trPr>
        <w:tc>
          <w:tcPr>
            <w:tcW w:w="1984" w:type="dxa"/>
            <w:shd w:val="clear" w:color="auto" w:fill="auto"/>
            <w:vAlign w:val="center"/>
            <w:hideMark/>
          </w:tcPr>
          <w:p w14:paraId="411F8F92"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Daisy Energy Supply Limited</w:t>
            </w:r>
          </w:p>
        </w:tc>
        <w:tc>
          <w:tcPr>
            <w:tcW w:w="1275" w:type="dxa"/>
            <w:shd w:val="clear" w:color="auto" w:fill="auto"/>
            <w:vAlign w:val="center"/>
            <w:hideMark/>
          </w:tcPr>
          <w:p w14:paraId="72D3A123" w14:textId="414C552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103</w:t>
            </w:r>
            <w:r>
              <w:rPr>
                <w:rFonts w:eastAsia="Times New Roman" w:cs="Calibri"/>
                <w:color w:val="000000"/>
                <w:sz w:val="16"/>
                <w:szCs w:val="16"/>
              </w:rPr>
              <w:t>,</w:t>
            </w:r>
            <w:r w:rsidRPr="002E3196">
              <w:rPr>
                <w:rFonts w:eastAsia="Times New Roman" w:cs="Calibri"/>
                <w:color w:val="000000"/>
                <w:sz w:val="16"/>
                <w:szCs w:val="16"/>
              </w:rPr>
              <w:t>171</w:t>
            </w:r>
          </w:p>
        </w:tc>
        <w:tc>
          <w:tcPr>
            <w:tcW w:w="1276" w:type="dxa"/>
            <w:shd w:val="clear" w:color="auto" w:fill="auto"/>
            <w:vAlign w:val="center"/>
            <w:hideMark/>
          </w:tcPr>
          <w:p w14:paraId="3BD9B865"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A83DE1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FED268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7EBC5A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B0ABC3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D45FADD" w14:textId="77777777" w:rsidTr="00780608">
        <w:trPr>
          <w:trHeight w:val="552"/>
        </w:trPr>
        <w:tc>
          <w:tcPr>
            <w:tcW w:w="1984" w:type="dxa"/>
            <w:shd w:val="clear" w:color="auto" w:fill="auto"/>
            <w:vAlign w:val="center"/>
            <w:hideMark/>
          </w:tcPr>
          <w:p w14:paraId="390D0AF0"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Delta Gas And Power Ltd</w:t>
            </w:r>
          </w:p>
        </w:tc>
        <w:tc>
          <w:tcPr>
            <w:tcW w:w="1275" w:type="dxa"/>
            <w:shd w:val="clear" w:color="auto" w:fill="auto"/>
            <w:vAlign w:val="center"/>
            <w:hideMark/>
          </w:tcPr>
          <w:p w14:paraId="44695D4C" w14:textId="1F32C3C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w:t>
            </w:r>
            <w:r>
              <w:rPr>
                <w:rFonts w:eastAsia="Times New Roman" w:cs="Calibri"/>
                <w:color w:val="000000"/>
                <w:sz w:val="16"/>
                <w:szCs w:val="16"/>
              </w:rPr>
              <w:t>,</w:t>
            </w:r>
            <w:r w:rsidRPr="002E3196">
              <w:rPr>
                <w:rFonts w:eastAsia="Times New Roman" w:cs="Calibri"/>
                <w:color w:val="000000"/>
                <w:sz w:val="16"/>
                <w:szCs w:val="16"/>
              </w:rPr>
              <w:t>610</w:t>
            </w:r>
          </w:p>
        </w:tc>
        <w:tc>
          <w:tcPr>
            <w:tcW w:w="1276" w:type="dxa"/>
            <w:shd w:val="clear" w:color="auto" w:fill="auto"/>
            <w:vAlign w:val="center"/>
            <w:hideMark/>
          </w:tcPr>
          <w:p w14:paraId="192D0AB9"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001141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46C17E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1DF0F8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5648B7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C6BE2DA" w14:textId="77777777" w:rsidTr="00780608">
        <w:trPr>
          <w:trHeight w:val="301"/>
        </w:trPr>
        <w:tc>
          <w:tcPr>
            <w:tcW w:w="1984" w:type="dxa"/>
            <w:shd w:val="clear" w:color="auto" w:fill="auto"/>
            <w:vAlign w:val="center"/>
            <w:hideMark/>
          </w:tcPr>
          <w:p w14:paraId="10B5CC7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D-</w:t>
            </w:r>
            <w:proofErr w:type="spellStart"/>
            <w:r w:rsidRPr="002E3196">
              <w:rPr>
                <w:rFonts w:eastAsia="Times New Roman" w:cs="Calibri"/>
                <w:color w:val="000000"/>
                <w:sz w:val="16"/>
                <w:szCs w:val="16"/>
              </w:rPr>
              <w:t>energi</w:t>
            </w:r>
            <w:proofErr w:type="spellEnd"/>
            <w:r w:rsidRPr="002E3196">
              <w:rPr>
                <w:rFonts w:eastAsia="Times New Roman" w:cs="Calibri"/>
                <w:color w:val="000000"/>
                <w:sz w:val="16"/>
                <w:szCs w:val="16"/>
              </w:rPr>
              <w:t xml:space="preserve"> Trading Ltd</w:t>
            </w:r>
          </w:p>
        </w:tc>
        <w:tc>
          <w:tcPr>
            <w:tcW w:w="1275" w:type="dxa"/>
            <w:shd w:val="clear" w:color="auto" w:fill="auto"/>
            <w:vAlign w:val="center"/>
            <w:hideMark/>
          </w:tcPr>
          <w:p w14:paraId="29711B4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27</w:t>
            </w:r>
          </w:p>
        </w:tc>
        <w:tc>
          <w:tcPr>
            <w:tcW w:w="1276" w:type="dxa"/>
            <w:shd w:val="clear" w:color="auto" w:fill="auto"/>
            <w:vAlign w:val="center"/>
            <w:hideMark/>
          </w:tcPr>
          <w:p w14:paraId="7330B29B"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E40E48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A8B475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C3C8E9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£1,351.35</w:t>
            </w:r>
          </w:p>
        </w:tc>
        <w:tc>
          <w:tcPr>
            <w:tcW w:w="1561" w:type="dxa"/>
            <w:shd w:val="clear" w:color="auto" w:fill="auto"/>
            <w:vAlign w:val="center"/>
            <w:hideMark/>
          </w:tcPr>
          <w:p w14:paraId="5A37740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95ACFE0" w14:textId="77777777" w:rsidTr="00780608">
        <w:trPr>
          <w:trHeight w:hRule="exact" w:val="57"/>
        </w:trPr>
        <w:tc>
          <w:tcPr>
            <w:tcW w:w="1984" w:type="dxa"/>
            <w:vMerge w:val="restart"/>
            <w:shd w:val="clear" w:color="auto" w:fill="auto"/>
            <w:vAlign w:val="center"/>
            <w:hideMark/>
          </w:tcPr>
          <w:p w14:paraId="71EA8DA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 (Gas and Electricity) Ltd</w:t>
            </w:r>
          </w:p>
        </w:tc>
        <w:tc>
          <w:tcPr>
            <w:tcW w:w="1275" w:type="dxa"/>
            <w:vMerge w:val="restart"/>
            <w:shd w:val="clear" w:color="auto" w:fill="auto"/>
            <w:vAlign w:val="center"/>
            <w:hideMark/>
          </w:tcPr>
          <w:p w14:paraId="4E490BF2" w14:textId="09DB6DA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238</w:t>
            </w:r>
            <w:r>
              <w:rPr>
                <w:rFonts w:eastAsia="Times New Roman" w:cs="Calibri"/>
                <w:color w:val="000000"/>
                <w:sz w:val="16"/>
                <w:szCs w:val="16"/>
              </w:rPr>
              <w:t>,</w:t>
            </w:r>
            <w:r w:rsidRPr="002E3196">
              <w:rPr>
                <w:rFonts w:eastAsia="Times New Roman" w:cs="Calibri"/>
                <w:color w:val="000000"/>
                <w:sz w:val="16"/>
                <w:szCs w:val="16"/>
              </w:rPr>
              <w:t>435</w:t>
            </w:r>
          </w:p>
        </w:tc>
        <w:tc>
          <w:tcPr>
            <w:tcW w:w="1276" w:type="dxa"/>
            <w:vMerge w:val="restart"/>
            <w:shd w:val="clear" w:color="auto" w:fill="auto"/>
            <w:vAlign w:val="center"/>
            <w:hideMark/>
          </w:tcPr>
          <w:p w14:paraId="635C1974" w14:textId="1A61300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238</w:t>
            </w:r>
            <w:r>
              <w:rPr>
                <w:rFonts w:eastAsia="Times New Roman" w:cs="Calibri"/>
                <w:color w:val="000000"/>
                <w:sz w:val="16"/>
                <w:szCs w:val="16"/>
              </w:rPr>
              <w:t>,</w:t>
            </w:r>
            <w:r w:rsidRPr="005A4A5A">
              <w:rPr>
                <w:rFonts w:eastAsia="Times New Roman" w:cs="Calibri"/>
                <w:color w:val="000000"/>
                <w:sz w:val="16"/>
                <w:szCs w:val="16"/>
              </w:rPr>
              <w:t>435</w:t>
            </w:r>
          </w:p>
        </w:tc>
        <w:tc>
          <w:tcPr>
            <w:tcW w:w="1418" w:type="dxa"/>
            <w:vMerge w:val="restart"/>
            <w:shd w:val="clear" w:color="auto" w:fill="auto"/>
            <w:vAlign w:val="center"/>
            <w:hideMark/>
          </w:tcPr>
          <w:p w14:paraId="5F496F7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vMerge w:val="restart"/>
            <w:shd w:val="clear" w:color="auto" w:fill="auto"/>
            <w:vAlign w:val="center"/>
            <w:hideMark/>
          </w:tcPr>
          <w:p w14:paraId="1F466A3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vMerge w:val="restart"/>
            <w:shd w:val="clear" w:color="auto" w:fill="auto"/>
            <w:vAlign w:val="center"/>
            <w:hideMark/>
          </w:tcPr>
          <w:p w14:paraId="6B65CA7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vMerge w:val="restart"/>
            <w:shd w:val="clear" w:color="auto" w:fill="auto"/>
            <w:vAlign w:val="center"/>
            <w:hideMark/>
          </w:tcPr>
          <w:p w14:paraId="3B146B0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78CB815" w14:textId="77777777" w:rsidTr="00780608">
        <w:trPr>
          <w:trHeight w:val="480"/>
        </w:trPr>
        <w:tc>
          <w:tcPr>
            <w:tcW w:w="1984" w:type="dxa"/>
            <w:vMerge/>
            <w:vAlign w:val="center"/>
            <w:hideMark/>
          </w:tcPr>
          <w:p w14:paraId="4BE5802B" w14:textId="77777777" w:rsidR="00036B8A" w:rsidRPr="002E3196" w:rsidRDefault="00036B8A" w:rsidP="00C3023D">
            <w:pPr>
              <w:spacing w:after="0" w:line="240" w:lineRule="auto"/>
              <w:rPr>
                <w:rFonts w:eastAsia="Times New Roman" w:cs="Calibri"/>
                <w:color w:val="000000"/>
                <w:sz w:val="16"/>
                <w:szCs w:val="16"/>
              </w:rPr>
            </w:pPr>
          </w:p>
        </w:tc>
        <w:tc>
          <w:tcPr>
            <w:tcW w:w="1275" w:type="dxa"/>
            <w:vMerge/>
            <w:vAlign w:val="center"/>
            <w:hideMark/>
          </w:tcPr>
          <w:p w14:paraId="3E72C983" w14:textId="77777777" w:rsidR="00036B8A" w:rsidRPr="002E3196" w:rsidRDefault="00036B8A" w:rsidP="00780608">
            <w:pPr>
              <w:spacing w:after="0" w:line="240" w:lineRule="auto"/>
              <w:jc w:val="right"/>
              <w:rPr>
                <w:rFonts w:eastAsia="Times New Roman" w:cs="Calibri"/>
                <w:color w:val="000000"/>
                <w:sz w:val="16"/>
                <w:szCs w:val="16"/>
              </w:rPr>
            </w:pPr>
          </w:p>
        </w:tc>
        <w:tc>
          <w:tcPr>
            <w:tcW w:w="1276" w:type="dxa"/>
            <w:vMerge/>
            <w:vAlign w:val="center"/>
            <w:hideMark/>
          </w:tcPr>
          <w:p w14:paraId="54A982E7" w14:textId="77777777" w:rsidR="00036B8A" w:rsidRPr="005A4A5A" w:rsidRDefault="00036B8A" w:rsidP="00780608">
            <w:pPr>
              <w:spacing w:after="0" w:line="240" w:lineRule="auto"/>
              <w:jc w:val="right"/>
              <w:rPr>
                <w:rFonts w:eastAsia="Times New Roman" w:cs="Calibri"/>
                <w:color w:val="000000"/>
                <w:sz w:val="16"/>
                <w:szCs w:val="16"/>
              </w:rPr>
            </w:pPr>
          </w:p>
        </w:tc>
        <w:tc>
          <w:tcPr>
            <w:tcW w:w="1418" w:type="dxa"/>
            <w:vMerge/>
            <w:vAlign w:val="center"/>
            <w:hideMark/>
          </w:tcPr>
          <w:p w14:paraId="060FA95E" w14:textId="77777777" w:rsidR="00036B8A" w:rsidRPr="002E3196" w:rsidRDefault="00036B8A" w:rsidP="00780608">
            <w:pPr>
              <w:spacing w:after="0" w:line="240" w:lineRule="auto"/>
              <w:jc w:val="right"/>
              <w:rPr>
                <w:rFonts w:eastAsia="Times New Roman" w:cs="Calibri"/>
                <w:color w:val="000000"/>
                <w:sz w:val="16"/>
                <w:szCs w:val="16"/>
              </w:rPr>
            </w:pPr>
          </w:p>
        </w:tc>
        <w:tc>
          <w:tcPr>
            <w:tcW w:w="1417" w:type="dxa"/>
            <w:vMerge/>
            <w:vAlign w:val="center"/>
            <w:hideMark/>
          </w:tcPr>
          <w:p w14:paraId="21E13FA3" w14:textId="77777777" w:rsidR="00036B8A" w:rsidRPr="002E3196" w:rsidRDefault="00036B8A" w:rsidP="00780608">
            <w:pPr>
              <w:spacing w:after="0" w:line="240" w:lineRule="auto"/>
              <w:jc w:val="right"/>
              <w:rPr>
                <w:rFonts w:eastAsia="Times New Roman" w:cs="Calibri"/>
                <w:color w:val="000000"/>
                <w:sz w:val="16"/>
                <w:szCs w:val="16"/>
              </w:rPr>
            </w:pPr>
          </w:p>
        </w:tc>
        <w:tc>
          <w:tcPr>
            <w:tcW w:w="1701" w:type="dxa"/>
            <w:vMerge/>
            <w:vAlign w:val="center"/>
            <w:hideMark/>
          </w:tcPr>
          <w:p w14:paraId="59530470" w14:textId="77777777" w:rsidR="00036B8A" w:rsidRPr="002E3196" w:rsidRDefault="00036B8A" w:rsidP="00780608">
            <w:pPr>
              <w:spacing w:after="0" w:line="240" w:lineRule="auto"/>
              <w:jc w:val="right"/>
              <w:rPr>
                <w:rFonts w:eastAsia="Times New Roman" w:cs="Calibri"/>
                <w:color w:val="000000"/>
                <w:sz w:val="16"/>
                <w:szCs w:val="16"/>
              </w:rPr>
            </w:pPr>
          </w:p>
        </w:tc>
        <w:tc>
          <w:tcPr>
            <w:tcW w:w="1561" w:type="dxa"/>
            <w:vMerge/>
            <w:vAlign w:val="center"/>
            <w:hideMark/>
          </w:tcPr>
          <w:p w14:paraId="60DE2DAD" w14:textId="77777777" w:rsidR="00036B8A" w:rsidRPr="002E3196" w:rsidRDefault="00036B8A" w:rsidP="00780608">
            <w:pPr>
              <w:spacing w:after="0" w:line="240" w:lineRule="auto"/>
              <w:jc w:val="right"/>
              <w:rPr>
                <w:rFonts w:eastAsia="Times New Roman" w:cs="Calibri"/>
                <w:color w:val="000000"/>
                <w:sz w:val="16"/>
                <w:szCs w:val="16"/>
              </w:rPr>
            </w:pPr>
          </w:p>
        </w:tc>
      </w:tr>
      <w:tr w:rsidR="00036B8A" w:rsidRPr="006B3AC6" w14:paraId="2872611A" w14:textId="77777777" w:rsidTr="00780608">
        <w:trPr>
          <w:trHeight w:val="301"/>
        </w:trPr>
        <w:tc>
          <w:tcPr>
            <w:tcW w:w="1984" w:type="dxa"/>
            <w:shd w:val="clear" w:color="auto" w:fill="auto"/>
            <w:vAlign w:val="center"/>
            <w:hideMark/>
          </w:tcPr>
          <w:p w14:paraId="1C7EF2E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E.ON Energy Ltd</w:t>
            </w:r>
          </w:p>
        </w:tc>
        <w:tc>
          <w:tcPr>
            <w:tcW w:w="1275" w:type="dxa"/>
            <w:shd w:val="clear" w:color="auto" w:fill="auto"/>
            <w:vAlign w:val="center"/>
            <w:hideMark/>
          </w:tcPr>
          <w:p w14:paraId="4D38F8EF" w14:textId="45F9139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w:t>
            </w:r>
            <w:r>
              <w:rPr>
                <w:rFonts w:eastAsia="Times New Roman" w:cs="Calibri"/>
                <w:color w:val="000000"/>
                <w:sz w:val="16"/>
                <w:szCs w:val="16"/>
              </w:rPr>
              <w:t>,</w:t>
            </w:r>
            <w:r w:rsidRPr="002E3196">
              <w:rPr>
                <w:rFonts w:eastAsia="Times New Roman" w:cs="Calibri"/>
                <w:color w:val="000000"/>
                <w:sz w:val="16"/>
                <w:szCs w:val="16"/>
              </w:rPr>
              <w:t>647</w:t>
            </w:r>
            <w:r>
              <w:rPr>
                <w:rFonts w:eastAsia="Times New Roman" w:cs="Calibri"/>
                <w:color w:val="000000"/>
                <w:sz w:val="16"/>
                <w:szCs w:val="16"/>
              </w:rPr>
              <w:t>,</w:t>
            </w:r>
            <w:r w:rsidRPr="002E3196">
              <w:rPr>
                <w:rFonts w:eastAsia="Times New Roman" w:cs="Calibri"/>
                <w:color w:val="000000"/>
                <w:sz w:val="16"/>
                <w:szCs w:val="16"/>
              </w:rPr>
              <w:t>136</w:t>
            </w:r>
          </w:p>
        </w:tc>
        <w:tc>
          <w:tcPr>
            <w:tcW w:w="1276" w:type="dxa"/>
            <w:shd w:val="clear" w:color="auto" w:fill="auto"/>
            <w:vAlign w:val="center"/>
            <w:hideMark/>
          </w:tcPr>
          <w:p w14:paraId="1DB2B614" w14:textId="3FC7E75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6</w:t>
            </w:r>
            <w:r>
              <w:rPr>
                <w:rFonts w:eastAsia="Times New Roman" w:cs="Calibri"/>
                <w:color w:val="000000"/>
                <w:sz w:val="16"/>
                <w:szCs w:val="16"/>
              </w:rPr>
              <w:t>,</w:t>
            </w:r>
            <w:r w:rsidRPr="005A4A5A">
              <w:rPr>
                <w:rFonts w:eastAsia="Times New Roman" w:cs="Calibri"/>
                <w:color w:val="000000"/>
                <w:sz w:val="16"/>
                <w:szCs w:val="16"/>
              </w:rPr>
              <w:t>647</w:t>
            </w:r>
            <w:r>
              <w:rPr>
                <w:rFonts w:eastAsia="Times New Roman" w:cs="Calibri"/>
                <w:color w:val="000000"/>
                <w:sz w:val="16"/>
                <w:szCs w:val="16"/>
              </w:rPr>
              <w:t>,</w:t>
            </w:r>
            <w:r w:rsidRPr="005A4A5A">
              <w:rPr>
                <w:rFonts w:eastAsia="Times New Roman" w:cs="Calibri"/>
                <w:color w:val="000000"/>
                <w:sz w:val="16"/>
                <w:szCs w:val="16"/>
              </w:rPr>
              <w:t>136</w:t>
            </w:r>
          </w:p>
        </w:tc>
        <w:tc>
          <w:tcPr>
            <w:tcW w:w="1418" w:type="dxa"/>
            <w:shd w:val="clear" w:color="auto" w:fill="auto"/>
            <w:vAlign w:val="center"/>
            <w:hideMark/>
          </w:tcPr>
          <w:p w14:paraId="6BFFDB2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18768B8" w14:textId="1A244F8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216</w:t>
            </w:r>
          </w:p>
        </w:tc>
        <w:tc>
          <w:tcPr>
            <w:tcW w:w="1701" w:type="dxa"/>
            <w:shd w:val="clear" w:color="auto" w:fill="auto"/>
            <w:vAlign w:val="center"/>
            <w:hideMark/>
          </w:tcPr>
          <w:p w14:paraId="52C936E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C4D2B5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9555903" w14:textId="77777777" w:rsidTr="00780608">
        <w:trPr>
          <w:trHeight w:val="300"/>
        </w:trPr>
        <w:tc>
          <w:tcPr>
            <w:tcW w:w="1984" w:type="dxa"/>
            <w:shd w:val="clear" w:color="auto" w:fill="auto"/>
            <w:vAlign w:val="center"/>
            <w:hideMark/>
          </w:tcPr>
          <w:p w14:paraId="4703F7A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 xml:space="preserve">E.ON Next Supply Ltd </w:t>
            </w:r>
          </w:p>
        </w:tc>
        <w:tc>
          <w:tcPr>
            <w:tcW w:w="1275" w:type="dxa"/>
            <w:shd w:val="clear" w:color="auto" w:fill="auto"/>
            <w:vAlign w:val="center"/>
            <w:hideMark/>
          </w:tcPr>
          <w:p w14:paraId="7E401635" w14:textId="334CA10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898</w:t>
            </w:r>
            <w:r>
              <w:rPr>
                <w:rFonts w:eastAsia="Times New Roman" w:cs="Calibri"/>
                <w:color w:val="000000"/>
                <w:sz w:val="16"/>
                <w:szCs w:val="16"/>
              </w:rPr>
              <w:t>,</w:t>
            </w:r>
            <w:r w:rsidRPr="002E3196">
              <w:rPr>
                <w:rFonts w:eastAsia="Times New Roman" w:cs="Calibri"/>
                <w:color w:val="000000"/>
                <w:sz w:val="16"/>
                <w:szCs w:val="16"/>
              </w:rPr>
              <w:t>558</w:t>
            </w:r>
          </w:p>
        </w:tc>
        <w:tc>
          <w:tcPr>
            <w:tcW w:w="1276" w:type="dxa"/>
            <w:shd w:val="clear" w:color="auto" w:fill="auto"/>
            <w:vAlign w:val="center"/>
            <w:hideMark/>
          </w:tcPr>
          <w:p w14:paraId="7BA0E1F7" w14:textId="3218E0E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898</w:t>
            </w:r>
            <w:r>
              <w:rPr>
                <w:rFonts w:eastAsia="Times New Roman" w:cs="Calibri"/>
                <w:color w:val="000000"/>
                <w:sz w:val="16"/>
                <w:szCs w:val="16"/>
              </w:rPr>
              <w:t>,</w:t>
            </w:r>
            <w:r w:rsidRPr="005A4A5A">
              <w:rPr>
                <w:rFonts w:eastAsia="Times New Roman" w:cs="Calibri"/>
                <w:color w:val="000000"/>
                <w:sz w:val="16"/>
                <w:szCs w:val="16"/>
              </w:rPr>
              <w:t>558</w:t>
            </w:r>
          </w:p>
        </w:tc>
        <w:tc>
          <w:tcPr>
            <w:tcW w:w="1418" w:type="dxa"/>
            <w:shd w:val="clear" w:color="auto" w:fill="auto"/>
            <w:vAlign w:val="center"/>
            <w:hideMark/>
          </w:tcPr>
          <w:p w14:paraId="6609C48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FC55C5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175362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8AB2BE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D9927B8" w14:textId="77777777" w:rsidTr="00780608">
        <w:trPr>
          <w:trHeight w:val="301"/>
        </w:trPr>
        <w:tc>
          <w:tcPr>
            <w:tcW w:w="1984" w:type="dxa"/>
            <w:shd w:val="clear" w:color="auto" w:fill="auto"/>
            <w:vAlign w:val="center"/>
            <w:hideMark/>
          </w:tcPr>
          <w:p w14:paraId="0A44C3C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E.ON UK Plc</w:t>
            </w:r>
          </w:p>
        </w:tc>
        <w:tc>
          <w:tcPr>
            <w:tcW w:w="1275" w:type="dxa"/>
            <w:shd w:val="clear" w:color="auto" w:fill="auto"/>
            <w:vAlign w:val="center"/>
            <w:hideMark/>
          </w:tcPr>
          <w:p w14:paraId="0B183EAE" w14:textId="67A14A4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w:t>
            </w:r>
            <w:r>
              <w:rPr>
                <w:rFonts w:eastAsia="Times New Roman" w:cs="Calibri"/>
                <w:color w:val="000000"/>
                <w:sz w:val="16"/>
                <w:szCs w:val="16"/>
              </w:rPr>
              <w:t>,</w:t>
            </w:r>
            <w:r w:rsidRPr="002E3196">
              <w:rPr>
                <w:rFonts w:eastAsia="Times New Roman" w:cs="Calibri"/>
                <w:color w:val="000000"/>
                <w:sz w:val="16"/>
                <w:szCs w:val="16"/>
              </w:rPr>
              <w:t>324</w:t>
            </w:r>
            <w:r>
              <w:rPr>
                <w:rFonts w:eastAsia="Times New Roman" w:cs="Calibri"/>
                <w:color w:val="000000"/>
                <w:sz w:val="16"/>
                <w:szCs w:val="16"/>
              </w:rPr>
              <w:t>,</w:t>
            </w:r>
            <w:r w:rsidRPr="002E3196">
              <w:rPr>
                <w:rFonts w:eastAsia="Times New Roman" w:cs="Calibri"/>
                <w:color w:val="000000"/>
                <w:sz w:val="16"/>
                <w:szCs w:val="16"/>
              </w:rPr>
              <w:t>200</w:t>
            </w:r>
          </w:p>
        </w:tc>
        <w:tc>
          <w:tcPr>
            <w:tcW w:w="1276" w:type="dxa"/>
            <w:shd w:val="clear" w:color="auto" w:fill="auto"/>
            <w:vAlign w:val="center"/>
            <w:hideMark/>
          </w:tcPr>
          <w:p w14:paraId="3C295D52" w14:textId="0511352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w:t>
            </w:r>
            <w:r>
              <w:rPr>
                <w:rFonts w:eastAsia="Times New Roman" w:cs="Calibri"/>
                <w:color w:val="000000"/>
                <w:sz w:val="16"/>
                <w:szCs w:val="16"/>
              </w:rPr>
              <w:t>,</w:t>
            </w:r>
            <w:r w:rsidRPr="005A4A5A">
              <w:rPr>
                <w:rFonts w:eastAsia="Times New Roman" w:cs="Calibri"/>
                <w:color w:val="000000"/>
                <w:sz w:val="16"/>
                <w:szCs w:val="16"/>
              </w:rPr>
              <w:t>324</w:t>
            </w:r>
            <w:r>
              <w:rPr>
                <w:rFonts w:eastAsia="Times New Roman" w:cs="Calibri"/>
                <w:color w:val="000000"/>
                <w:sz w:val="16"/>
                <w:szCs w:val="16"/>
              </w:rPr>
              <w:t>,</w:t>
            </w:r>
            <w:r w:rsidRPr="005A4A5A">
              <w:rPr>
                <w:rFonts w:eastAsia="Times New Roman" w:cs="Calibri"/>
                <w:color w:val="000000"/>
                <w:sz w:val="16"/>
                <w:szCs w:val="16"/>
              </w:rPr>
              <w:t>200</w:t>
            </w:r>
          </w:p>
        </w:tc>
        <w:tc>
          <w:tcPr>
            <w:tcW w:w="1418" w:type="dxa"/>
            <w:shd w:val="clear" w:color="auto" w:fill="auto"/>
            <w:vAlign w:val="center"/>
            <w:hideMark/>
          </w:tcPr>
          <w:p w14:paraId="19EDF0E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83F86C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822C80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9617E4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6FEBA20" w14:textId="77777777" w:rsidTr="00780608">
        <w:trPr>
          <w:trHeight w:val="301"/>
        </w:trPr>
        <w:tc>
          <w:tcPr>
            <w:tcW w:w="1984" w:type="dxa"/>
            <w:shd w:val="clear" w:color="auto" w:fill="auto"/>
            <w:vAlign w:val="center"/>
            <w:hideMark/>
          </w:tcPr>
          <w:p w14:paraId="2795BCD9"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Ecotricity</w:t>
            </w:r>
            <w:proofErr w:type="spellEnd"/>
          </w:p>
        </w:tc>
        <w:tc>
          <w:tcPr>
            <w:tcW w:w="1275" w:type="dxa"/>
            <w:shd w:val="clear" w:color="auto" w:fill="auto"/>
            <w:vAlign w:val="center"/>
            <w:hideMark/>
          </w:tcPr>
          <w:p w14:paraId="367AA62D" w14:textId="11BAD3D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508</w:t>
            </w:r>
            <w:r>
              <w:rPr>
                <w:rFonts w:eastAsia="Times New Roman" w:cs="Calibri"/>
                <w:color w:val="000000"/>
                <w:sz w:val="16"/>
                <w:szCs w:val="16"/>
              </w:rPr>
              <w:t>,</w:t>
            </w:r>
            <w:r w:rsidRPr="002E3196">
              <w:rPr>
                <w:rFonts w:eastAsia="Times New Roman" w:cs="Calibri"/>
                <w:color w:val="000000"/>
                <w:sz w:val="16"/>
                <w:szCs w:val="16"/>
              </w:rPr>
              <w:t>237</w:t>
            </w:r>
          </w:p>
        </w:tc>
        <w:tc>
          <w:tcPr>
            <w:tcW w:w="1276" w:type="dxa"/>
            <w:shd w:val="clear" w:color="auto" w:fill="auto"/>
            <w:vAlign w:val="center"/>
            <w:hideMark/>
          </w:tcPr>
          <w:p w14:paraId="1A45E1EB" w14:textId="632027C0"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267</w:t>
            </w:r>
            <w:r>
              <w:rPr>
                <w:rFonts w:eastAsia="Times New Roman" w:cs="Calibri"/>
                <w:color w:val="000000"/>
                <w:sz w:val="16"/>
                <w:szCs w:val="16"/>
              </w:rPr>
              <w:t>,</w:t>
            </w:r>
            <w:r w:rsidRPr="005A4A5A">
              <w:rPr>
                <w:rFonts w:eastAsia="Times New Roman" w:cs="Calibri"/>
                <w:color w:val="000000"/>
                <w:sz w:val="16"/>
                <w:szCs w:val="16"/>
              </w:rPr>
              <w:t>918</w:t>
            </w:r>
          </w:p>
        </w:tc>
        <w:tc>
          <w:tcPr>
            <w:tcW w:w="1418" w:type="dxa"/>
            <w:shd w:val="clear" w:color="auto" w:fill="auto"/>
            <w:vAlign w:val="center"/>
            <w:hideMark/>
          </w:tcPr>
          <w:p w14:paraId="05F8B87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1CA24C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126</w:t>
            </w:r>
          </w:p>
        </w:tc>
        <w:tc>
          <w:tcPr>
            <w:tcW w:w="1701" w:type="dxa"/>
            <w:shd w:val="clear" w:color="auto" w:fill="auto"/>
            <w:vAlign w:val="center"/>
            <w:hideMark/>
          </w:tcPr>
          <w:p w14:paraId="32F25EF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£12,027,965.95</w:t>
            </w:r>
          </w:p>
        </w:tc>
        <w:tc>
          <w:tcPr>
            <w:tcW w:w="1561" w:type="dxa"/>
            <w:shd w:val="clear" w:color="auto" w:fill="auto"/>
            <w:vAlign w:val="center"/>
            <w:hideMark/>
          </w:tcPr>
          <w:p w14:paraId="173297D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72626E8" w14:textId="77777777" w:rsidTr="00780608">
        <w:trPr>
          <w:trHeight w:val="552"/>
        </w:trPr>
        <w:tc>
          <w:tcPr>
            <w:tcW w:w="1984" w:type="dxa"/>
            <w:shd w:val="clear" w:color="auto" w:fill="auto"/>
            <w:vAlign w:val="center"/>
            <w:hideMark/>
          </w:tcPr>
          <w:p w14:paraId="25375EB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EDF Energy Customers Ltd</w:t>
            </w:r>
          </w:p>
        </w:tc>
        <w:tc>
          <w:tcPr>
            <w:tcW w:w="1275" w:type="dxa"/>
            <w:shd w:val="clear" w:color="auto" w:fill="auto"/>
            <w:vAlign w:val="center"/>
            <w:hideMark/>
          </w:tcPr>
          <w:p w14:paraId="5839DE36" w14:textId="3C825CC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075</w:t>
            </w:r>
            <w:r>
              <w:rPr>
                <w:rFonts w:eastAsia="Times New Roman" w:cs="Calibri"/>
                <w:color w:val="000000"/>
                <w:sz w:val="16"/>
                <w:szCs w:val="16"/>
              </w:rPr>
              <w:t>,</w:t>
            </w:r>
            <w:r w:rsidRPr="002E3196">
              <w:rPr>
                <w:rFonts w:eastAsia="Times New Roman" w:cs="Calibri"/>
                <w:color w:val="000000"/>
                <w:sz w:val="16"/>
                <w:szCs w:val="16"/>
              </w:rPr>
              <w:t>920</w:t>
            </w:r>
          </w:p>
        </w:tc>
        <w:tc>
          <w:tcPr>
            <w:tcW w:w="1276" w:type="dxa"/>
            <w:shd w:val="clear" w:color="auto" w:fill="auto"/>
            <w:vAlign w:val="center"/>
            <w:hideMark/>
          </w:tcPr>
          <w:p w14:paraId="3F0E92E3" w14:textId="43E2F9C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16</w:t>
            </w:r>
            <w:r>
              <w:rPr>
                <w:rFonts w:eastAsia="Times New Roman" w:cs="Calibri"/>
                <w:color w:val="000000"/>
                <w:sz w:val="16"/>
                <w:szCs w:val="16"/>
              </w:rPr>
              <w:t>,</w:t>
            </w:r>
            <w:r w:rsidRPr="005A4A5A">
              <w:rPr>
                <w:rFonts w:eastAsia="Times New Roman" w:cs="Calibri"/>
                <w:color w:val="000000"/>
                <w:sz w:val="16"/>
                <w:szCs w:val="16"/>
              </w:rPr>
              <w:t>441</w:t>
            </w:r>
            <w:r>
              <w:rPr>
                <w:rFonts w:eastAsia="Times New Roman" w:cs="Calibri"/>
                <w:color w:val="000000"/>
                <w:sz w:val="16"/>
                <w:szCs w:val="16"/>
              </w:rPr>
              <w:t>,</w:t>
            </w:r>
            <w:r w:rsidRPr="005A4A5A">
              <w:rPr>
                <w:rFonts w:eastAsia="Times New Roman" w:cs="Calibri"/>
                <w:color w:val="000000"/>
                <w:sz w:val="16"/>
                <w:szCs w:val="16"/>
              </w:rPr>
              <w:t>079</w:t>
            </w:r>
          </w:p>
        </w:tc>
        <w:tc>
          <w:tcPr>
            <w:tcW w:w="1418" w:type="dxa"/>
            <w:shd w:val="clear" w:color="auto" w:fill="auto"/>
            <w:vAlign w:val="center"/>
            <w:hideMark/>
          </w:tcPr>
          <w:p w14:paraId="2D25DD11" w14:textId="4CAC72B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w:t>
            </w:r>
            <w:r>
              <w:rPr>
                <w:rFonts w:eastAsia="Times New Roman" w:cs="Calibri"/>
                <w:color w:val="000000"/>
                <w:sz w:val="16"/>
                <w:szCs w:val="16"/>
              </w:rPr>
              <w:t>,</w:t>
            </w:r>
            <w:r w:rsidRPr="002E3196">
              <w:rPr>
                <w:rFonts w:eastAsia="Times New Roman" w:cs="Calibri"/>
                <w:color w:val="000000"/>
                <w:sz w:val="16"/>
                <w:szCs w:val="16"/>
              </w:rPr>
              <w:t>531</w:t>
            </w:r>
          </w:p>
        </w:tc>
        <w:tc>
          <w:tcPr>
            <w:tcW w:w="1417" w:type="dxa"/>
            <w:shd w:val="clear" w:color="auto" w:fill="auto"/>
            <w:vAlign w:val="center"/>
            <w:hideMark/>
          </w:tcPr>
          <w:p w14:paraId="209E9D6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0097C8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£31,773,792.05</w:t>
            </w:r>
          </w:p>
        </w:tc>
        <w:tc>
          <w:tcPr>
            <w:tcW w:w="1561" w:type="dxa"/>
            <w:shd w:val="clear" w:color="auto" w:fill="auto"/>
            <w:vAlign w:val="center"/>
            <w:hideMark/>
          </w:tcPr>
          <w:p w14:paraId="06FAB6B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7D37D75" w14:textId="77777777" w:rsidTr="00780608">
        <w:trPr>
          <w:trHeight w:val="301"/>
        </w:trPr>
        <w:tc>
          <w:tcPr>
            <w:tcW w:w="1984" w:type="dxa"/>
            <w:shd w:val="clear" w:color="auto" w:fill="auto"/>
            <w:vAlign w:val="center"/>
            <w:hideMark/>
          </w:tcPr>
          <w:p w14:paraId="1DAF611C"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lastRenderedPageBreak/>
              <w:t>Effortless Energy Ltd</w:t>
            </w:r>
          </w:p>
        </w:tc>
        <w:tc>
          <w:tcPr>
            <w:tcW w:w="1275" w:type="dxa"/>
            <w:shd w:val="clear" w:color="auto" w:fill="auto"/>
            <w:vAlign w:val="center"/>
            <w:hideMark/>
          </w:tcPr>
          <w:p w14:paraId="6C2D25F1" w14:textId="693FDDC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608</w:t>
            </w:r>
          </w:p>
        </w:tc>
        <w:tc>
          <w:tcPr>
            <w:tcW w:w="1276" w:type="dxa"/>
            <w:shd w:val="clear" w:color="auto" w:fill="auto"/>
            <w:vAlign w:val="center"/>
            <w:hideMark/>
          </w:tcPr>
          <w:p w14:paraId="1B15864A"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3CD828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E1621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2103A3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39710F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926C761" w14:textId="77777777" w:rsidTr="00780608">
        <w:trPr>
          <w:trHeight w:val="301"/>
        </w:trPr>
        <w:tc>
          <w:tcPr>
            <w:tcW w:w="1984" w:type="dxa"/>
            <w:shd w:val="clear" w:color="auto" w:fill="auto"/>
            <w:vAlign w:val="center"/>
            <w:hideMark/>
          </w:tcPr>
          <w:p w14:paraId="57809E3C"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Electraphase</w:t>
            </w:r>
            <w:proofErr w:type="spellEnd"/>
            <w:r w:rsidRPr="002E3196">
              <w:rPr>
                <w:rFonts w:eastAsia="Times New Roman" w:cs="Calibri"/>
                <w:color w:val="000000"/>
                <w:sz w:val="16"/>
                <w:szCs w:val="16"/>
              </w:rPr>
              <w:t xml:space="preserve"> Limited </w:t>
            </w:r>
          </w:p>
        </w:tc>
        <w:tc>
          <w:tcPr>
            <w:tcW w:w="1275" w:type="dxa"/>
            <w:shd w:val="clear" w:color="auto" w:fill="auto"/>
            <w:vAlign w:val="center"/>
            <w:hideMark/>
          </w:tcPr>
          <w:p w14:paraId="7C434E7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w:t>
            </w:r>
          </w:p>
        </w:tc>
        <w:tc>
          <w:tcPr>
            <w:tcW w:w="1276" w:type="dxa"/>
            <w:shd w:val="clear" w:color="auto" w:fill="auto"/>
            <w:vAlign w:val="center"/>
            <w:hideMark/>
          </w:tcPr>
          <w:p w14:paraId="3D272ACA"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2A15A5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313254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089E9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5D6D70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A6D905B" w14:textId="77777777" w:rsidTr="00780608">
        <w:trPr>
          <w:trHeight w:val="552"/>
        </w:trPr>
        <w:tc>
          <w:tcPr>
            <w:tcW w:w="1984" w:type="dxa"/>
            <w:shd w:val="clear" w:color="auto" w:fill="auto"/>
            <w:vAlign w:val="center"/>
            <w:hideMark/>
          </w:tcPr>
          <w:p w14:paraId="5FBBC89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Electricity Plus Supply Ltd</w:t>
            </w:r>
          </w:p>
        </w:tc>
        <w:tc>
          <w:tcPr>
            <w:tcW w:w="1275" w:type="dxa"/>
            <w:shd w:val="clear" w:color="auto" w:fill="auto"/>
            <w:vAlign w:val="center"/>
            <w:hideMark/>
          </w:tcPr>
          <w:p w14:paraId="420B993B" w14:textId="0C532E7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988</w:t>
            </w:r>
            <w:r>
              <w:rPr>
                <w:rFonts w:eastAsia="Times New Roman" w:cs="Calibri"/>
                <w:color w:val="000000"/>
                <w:sz w:val="16"/>
                <w:szCs w:val="16"/>
              </w:rPr>
              <w:t>,</w:t>
            </w:r>
            <w:r w:rsidRPr="002E3196">
              <w:rPr>
                <w:rFonts w:eastAsia="Times New Roman" w:cs="Calibri"/>
                <w:color w:val="000000"/>
                <w:sz w:val="16"/>
                <w:szCs w:val="16"/>
              </w:rPr>
              <w:t>765</w:t>
            </w:r>
          </w:p>
        </w:tc>
        <w:tc>
          <w:tcPr>
            <w:tcW w:w="1276" w:type="dxa"/>
            <w:shd w:val="clear" w:color="auto" w:fill="auto"/>
            <w:vAlign w:val="center"/>
            <w:hideMark/>
          </w:tcPr>
          <w:p w14:paraId="52024BBE" w14:textId="5941F0CF"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988</w:t>
            </w:r>
            <w:r>
              <w:rPr>
                <w:rFonts w:eastAsia="Times New Roman" w:cs="Calibri"/>
                <w:color w:val="000000"/>
                <w:sz w:val="16"/>
                <w:szCs w:val="16"/>
              </w:rPr>
              <w:t>,</w:t>
            </w:r>
            <w:r w:rsidRPr="005A4A5A">
              <w:rPr>
                <w:rFonts w:eastAsia="Times New Roman" w:cs="Calibri"/>
                <w:color w:val="000000"/>
                <w:sz w:val="16"/>
                <w:szCs w:val="16"/>
              </w:rPr>
              <w:t>765</w:t>
            </w:r>
          </w:p>
        </w:tc>
        <w:tc>
          <w:tcPr>
            <w:tcW w:w="1418" w:type="dxa"/>
            <w:shd w:val="clear" w:color="auto" w:fill="auto"/>
            <w:vAlign w:val="center"/>
            <w:hideMark/>
          </w:tcPr>
          <w:p w14:paraId="3D2093A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5CD99D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B9429C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E1341C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0161048" w14:textId="77777777" w:rsidTr="00780608">
        <w:trPr>
          <w:trHeight w:val="552"/>
        </w:trPr>
        <w:tc>
          <w:tcPr>
            <w:tcW w:w="1984" w:type="dxa"/>
            <w:shd w:val="clear" w:color="auto" w:fill="auto"/>
            <w:vAlign w:val="center"/>
            <w:hideMark/>
          </w:tcPr>
          <w:p w14:paraId="0847DA8A"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ElectroRoute</w:t>
            </w:r>
            <w:proofErr w:type="spellEnd"/>
            <w:r w:rsidRPr="002E3196">
              <w:rPr>
                <w:rFonts w:eastAsia="Times New Roman" w:cs="Calibri"/>
                <w:color w:val="000000"/>
                <w:sz w:val="16"/>
                <w:szCs w:val="16"/>
              </w:rPr>
              <w:t xml:space="preserve"> Energy Trading Ltd</w:t>
            </w:r>
          </w:p>
        </w:tc>
        <w:tc>
          <w:tcPr>
            <w:tcW w:w="1275" w:type="dxa"/>
            <w:shd w:val="clear" w:color="auto" w:fill="auto"/>
            <w:vAlign w:val="center"/>
            <w:hideMark/>
          </w:tcPr>
          <w:p w14:paraId="47978DB0" w14:textId="5AB785D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14</w:t>
            </w:r>
            <w:r>
              <w:rPr>
                <w:rFonts w:eastAsia="Times New Roman" w:cs="Calibri"/>
                <w:color w:val="000000"/>
                <w:sz w:val="16"/>
                <w:szCs w:val="16"/>
              </w:rPr>
              <w:t>,</w:t>
            </w:r>
            <w:r w:rsidRPr="002E3196">
              <w:rPr>
                <w:rFonts w:eastAsia="Times New Roman" w:cs="Calibri"/>
                <w:color w:val="000000"/>
                <w:sz w:val="16"/>
                <w:szCs w:val="16"/>
              </w:rPr>
              <w:t>141</w:t>
            </w:r>
          </w:p>
        </w:tc>
        <w:tc>
          <w:tcPr>
            <w:tcW w:w="1276" w:type="dxa"/>
            <w:shd w:val="clear" w:color="auto" w:fill="auto"/>
            <w:vAlign w:val="center"/>
            <w:hideMark/>
          </w:tcPr>
          <w:p w14:paraId="1C238390"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241</w:t>
            </w:r>
          </w:p>
        </w:tc>
        <w:tc>
          <w:tcPr>
            <w:tcW w:w="1418" w:type="dxa"/>
            <w:shd w:val="clear" w:color="auto" w:fill="auto"/>
            <w:vAlign w:val="center"/>
            <w:hideMark/>
          </w:tcPr>
          <w:p w14:paraId="197AF10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C7C3DA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5551EE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£695,695.00</w:t>
            </w:r>
          </w:p>
        </w:tc>
        <w:tc>
          <w:tcPr>
            <w:tcW w:w="1561" w:type="dxa"/>
            <w:shd w:val="clear" w:color="auto" w:fill="auto"/>
            <w:vAlign w:val="center"/>
            <w:hideMark/>
          </w:tcPr>
          <w:p w14:paraId="0D8F86D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A7BB840" w14:textId="77777777" w:rsidTr="00780608">
        <w:trPr>
          <w:trHeight w:val="552"/>
        </w:trPr>
        <w:tc>
          <w:tcPr>
            <w:tcW w:w="1984" w:type="dxa"/>
            <w:shd w:val="clear" w:color="auto" w:fill="auto"/>
            <w:vAlign w:val="center"/>
            <w:hideMark/>
          </w:tcPr>
          <w:p w14:paraId="097B4F82"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Eneco</w:t>
            </w:r>
            <w:proofErr w:type="spellEnd"/>
            <w:r w:rsidRPr="002E3196">
              <w:rPr>
                <w:rFonts w:eastAsia="Times New Roman" w:cs="Calibri"/>
                <w:color w:val="000000"/>
                <w:sz w:val="16"/>
                <w:szCs w:val="16"/>
              </w:rPr>
              <w:t xml:space="preserve"> energy Trade BV</w:t>
            </w:r>
          </w:p>
        </w:tc>
        <w:tc>
          <w:tcPr>
            <w:tcW w:w="1275" w:type="dxa"/>
            <w:shd w:val="clear" w:color="auto" w:fill="auto"/>
            <w:vAlign w:val="center"/>
            <w:hideMark/>
          </w:tcPr>
          <w:p w14:paraId="5AA5EE4A" w14:textId="787F50B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197</w:t>
            </w:r>
            <w:r>
              <w:rPr>
                <w:rFonts w:eastAsia="Times New Roman" w:cs="Calibri"/>
                <w:color w:val="000000"/>
                <w:sz w:val="16"/>
                <w:szCs w:val="16"/>
              </w:rPr>
              <w:t>,</w:t>
            </w:r>
            <w:r w:rsidRPr="002E3196">
              <w:rPr>
                <w:rFonts w:eastAsia="Times New Roman" w:cs="Calibri"/>
                <w:color w:val="000000"/>
                <w:sz w:val="16"/>
                <w:szCs w:val="16"/>
              </w:rPr>
              <w:t>361</w:t>
            </w:r>
          </w:p>
        </w:tc>
        <w:tc>
          <w:tcPr>
            <w:tcW w:w="1276" w:type="dxa"/>
            <w:shd w:val="clear" w:color="auto" w:fill="auto"/>
            <w:vAlign w:val="center"/>
            <w:hideMark/>
          </w:tcPr>
          <w:p w14:paraId="2AB37256" w14:textId="360FFEE2"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197</w:t>
            </w:r>
            <w:r>
              <w:rPr>
                <w:rFonts w:eastAsia="Times New Roman" w:cs="Calibri"/>
                <w:color w:val="000000"/>
                <w:sz w:val="16"/>
                <w:szCs w:val="16"/>
              </w:rPr>
              <w:t>,</w:t>
            </w:r>
            <w:r w:rsidRPr="005A4A5A">
              <w:rPr>
                <w:rFonts w:eastAsia="Times New Roman" w:cs="Calibri"/>
                <w:color w:val="000000"/>
                <w:sz w:val="16"/>
                <w:szCs w:val="16"/>
              </w:rPr>
              <w:t>361</w:t>
            </w:r>
          </w:p>
        </w:tc>
        <w:tc>
          <w:tcPr>
            <w:tcW w:w="1418" w:type="dxa"/>
            <w:shd w:val="clear" w:color="auto" w:fill="auto"/>
            <w:vAlign w:val="center"/>
            <w:hideMark/>
          </w:tcPr>
          <w:p w14:paraId="413624D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52FE62E" w14:textId="231513A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264</w:t>
            </w:r>
          </w:p>
        </w:tc>
        <w:tc>
          <w:tcPr>
            <w:tcW w:w="1701" w:type="dxa"/>
            <w:shd w:val="clear" w:color="auto" w:fill="auto"/>
            <w:vAlign w:val="center"/>
            <w:hideMark/>
          </w:tcPr>
          <w:p w14:paraId="299E54A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A2200E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1C5797D" w14:textId="77777777" w:rsidTr="00780608">
        <w:trPr>
          <w:trHeight w:val="340"/>
        </w:trPr>
        <w:tc>
          <w:tcPr>
            <w:tcW w:w="1984" w:type="dxa"/>
            <w:shd w:val="clear" w:color="auto" w:fill="auto"/>
            <w:vAlign w:val="center"/>
            <w:hideMark/>
          </w:tcPr>
          <w:p w14:paraId="275864A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ENGIE Power Ltd</w:t>
            </w:r>
          </w:p>
        </w:tc>
        <w:tc>
          <w:tcPr>
            <w:tcW w:w="1275" w:type="dxa"/>
            <w:shd w:val="clear" w:color="auto" w:fill="auto"/>
            <w:vAlign w:val="center"/>
            <w:hideMark/>
          </w:tcPr>
          <w:p w14:paraId="051A9970" w14:textId="08F8A1E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591</w:t>
            </w:r>
            <w:r>
              <w:rPr>
                <w:rFonts w:eastAsia="Times New Roman" w:cs="Calibri"/>
                <w:color w:val="000000"/>
                <w:sz w:val="16"/>
                <w:szCs w:val="16"/>
              </w:rPr>
              <w:t>,</w:t>
            </w:r>
            <w:r w:rsidRPr="002E3196">
              <w:rPr>
                <w:rFonts w:eastAsia="Times New Roman" w:cs="Calibri"/>
                <w:color w:val="000000"/>
                <w:sz w:val="16"/>
                <w:szCs w:val="16"/>
              </w:rPr>
              <w:t>846</w:t>
            </w:r>
          </w:p>
        </w:tc>
        <w:tc>
          <w:tcPr>
            <w:tcW w:w="1276" w:type="dxa"/>
            <w:shd w:val="clear" w:color="auto" w:fill="auto"/>
            <w:vAlign w:val="center"/>
            <w:hideMark/>
          </w:tcPr>
          <w:p w14:paraId="687D22B2" w14:textId="1E5D1C3F"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w:t>
            </w:r>
            <w:r>
              <w:rPr>
                <w:rFonts w:eastAsia="Times New Roman" w:cs="Calibri"/>
                <w:color w:val="000000"/>
                <w:sz w:val="16"/>
                <w:szCs w:val="16"/>
              </w:rPr>
              <w:t>,</w:t>
            </w:r>
            <w:r w:rsidRPr="005A4A5A">
              <w:rPr>
                <w:rFonts w:eastAsia="Times New Roman" w:cs="Calibri"/>
                <w:color w:val="000000"/>
                <w:sz w:val="16"/>
                <w:szCs w:val="16"/>
              </w:rPr>
              <w:t>591</w:t>
            </w:r>
            <w:r>
              <w:rPr>
                <w:rFonts w:eastAsia="Times New Roman" w:cs="Calibri"/>
                <w:color w:val="000000"/>
                <w:sz w:val="16"/>
                <w:szCs w:val="16"/>
              </w:rPr>
              <w:t>,</w:t>
            </w:r>
            <w:r w:rsidRPr="005A4A5A">
              <w:rPr>
                <w:rFonts w:eastAsia="Times New Roman" w:cs="Calibri"/>
                <w:color w:val="000000"/>
                <w:sz w:val="16"/>
                <w:szCs w:val="16"/>
              </w:rPr>
              <w:t>846</w:t>
            </w:r>
          </w:p>
        </w:tc>
        <w:tc>
          <w:tcPr>
            <w:tcW w:w="1418" w:type="dxa"/>
            <w:shd w:val="clear" w:color="auto" w:fill="auto"/>
            <w:vAlign w:val="center"/>
            <w:hideMark/>
          </w:tcPr>
          <w:p w14:paraId="23A8EBA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265D345" w14:textId="4759495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w:t>
            </w:r>
            <w:r>
              <w:rPr>
                <w:rFonts w:eastAsia="Times New Roman" w:cs="Calibri"/>
                <w:color w:val="000000"/>
                <w:sz w:val="16"/>
                <w:szCs w:val="16"/>
              </w:rPr>
              <w:t>,</w:t>
            </w:r>
            <w:r w:rsidRPr="002E3196">
              <w:rPr>
                <w:rFonts w:eastAsia="Times New Roman" w:cs="Calibri"/>
                <w:color w:val="000000"/>
                <w:sz w:val="16"/>
                <w:szCs w:val="16"/>
              </w:rPr>
              <w:t>169</w:t>
            </w:r>
          </w:p>
        </w:tc>
        <w:tc>
          <w:tcPr>
            <w:tcW w:w="1701" w:type="dxa"/>
            <w:shd w:val="clear" w:color="auto" w:fill="auto"/>
            <w:vAlign w:val="center"/>
            <w:hideMark/>
          </w:tcPr>
          <w:p w14:paraId="3766B0D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99C145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49B4AC0" w14:textId="77777777" w:rsidTr="00780608">
        <w:trPr>
          <w:trHeight w:val="340"/>
        </w:trPr>
        <w:tc>
          <w:tcPr>
            <w:tcW w:w="1984" w:type="dxa"/>
            <w:shd w:val="clear" w:color="auto" w:fill="auto"/>
            <w:vAlign w:val="center"/>
            <w:hideMark/>
          </w:tcPr>
          <w:p w14:paraId="6FD29BEE"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Enstroga</w:t>
            </w:r>
            <w:proofErr w:type="spellEnd"/>
            <w:r w:rsidRPr="002E3196">
              <w:rPr>
                <w:rFonts w:eastAsia="Times New Roman" w:cs="Calibri"/>
                <w:color w:val="000000"/>
                <w:sz w:val="16"/>
                <w:szCs w:val="16"/>
              </w:rPr>
              <w:t xml:space="preserve"> Ltd </w:t>
            </w:r>
          </w:p>
        </w:tc>
        <w:tc>
          <w:tcPr>
            <w:tcW w:w="1275" w:type="dxa"/>
            <w:shd w:val="clear" w:color="auto" w:fill="auto"/>
            <w:vAlign w:val="center"/>
            <w:hideMark/>
          </w:tcPr>
          <w:p w14:paraId="7DB4EC66" w14:textId="49A6D50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496</w:t>
            </w:r>
          </w:p>
        </w:tc>
        <w:tc>
          <w:tcPr>
            <w:tcW w:w="1276" w:type="dxa"/>
            <w:shd w:val="clear" w:color="auto" w:fill="auto"/>
            <w:vAlign w:val="center"/>
            <w:hideMark/>
          </w:tcPr>
          <w:p w14:paraId="20DDF779"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E6B9E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1AD2B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B71AA9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2AB6BA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7E232E6" w14:textId="77777777" w:rsidTr="00780608">
        <w:trPr>
          <w:trHeight w:val="340"/>
        </w:trPr>
        <w:tc>
          <w:tcPr>
            <w:tcW w:w="1984" w:type="dxa"/>
            <w:shd w:val="clear" w:color="auto" w:fill="auto"/>
            <w:vAlign w:val="center"/>
            <w:hideMark/>
          </w:tcPr>
          <w:p w14:paraId="048F9C2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Entice Energy</w:t>
            </w:r>
          </w:p>
        </w:tc>
        <w:tc>
          <w:tcPr>
            <w:tcW w:w="1275" w:type="dxa"/>
            <w:shd w:val="clear" w:color="auto" w:fill="auto"/>
            <w:vAlign w:val="center"/>
            <w:hideMark/>
          </w:tcPr>
          <w:p w14:paraId="146765C2" w14:textId="2364D19C"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042</w:t>
            </w:r>
          </w:p>
        </w:tc>
        <w:tc>
          <w:tcPr>
            <w:tcW w:w="1276" w:type="dxa"/>
            <w:shd w:val="clear" w:color="auto" w:fill="auto"/>
            <w:vAlign w:val="center"/>
            <w:hideMark/>
          </w:tcPr>
          <w:p w14:paraId="5DB77D2B"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349D59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2936B6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C8B2F3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29E6B8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ACE495D" w14:textId="77777777" w:rsidTr="00780608">
        <w:trPr>
          <w:trHeight w:val="340"/>
        </w:trPr>
        <w:tc>
          <w:tcPr>
            <w:tcW w:w="1984" w:type="dxa"/>
            <w:shd w:val="clear" w:color="auto" w:fill="auto"/>
            <w:vAlign w:val="center"/>
            <w:hideMark/>
          </w:tcPr>
          <w:p w14:paraId="0BC74C0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EPG Energy Ltd</w:t>
            </w:r>
          </w:p>
        </w:tc>
        <w:tc>
          <w:tcPr>
            <w:tcW w:w="1275" w:type="dxa"/>
            <w:shd w:val="clear" w:color="auto" w:fill="auto"/>
            <w:vAlign w:val="center"/>
            <w:hideMark/>
          </w:tcPr>
          <w:p w14:paraId="77BCF518" w14:textId="4654976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823</w:t>
            </w:r>
          </w:p>
        </w:tc>
        <w:tc>
          <w:tcPr>
            <w:tcW w:w="1276" w:type="dxa"/>
            <w:shd w:val="clear" w:color="auto" w:fill="auto"/>
            <w:vAlign w:val="center"/>
            <w:hideMark/>
          </w:tcPr>
          <w:p w14:paraId="2713954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5528C8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AE4DDD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91E9A8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£892,041.15</w:t>
            </w:r>
          </w:p>
        </w:tc>
        <w:tc>
          <w:tcPr>
            <w:tcW w:w="1561" w:type="dxa"/>
            <w:shd w:val="clear" w:color="auto" w:fill="auto"/>
            <w:vAlign w:val="center"/>
            <w:hideMark/>
          </w:tcPr>
          <w:p w14:paraId="261B13B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9CBB3DF" w14:textId="77777777" w:rsidTr="00780608">
        <w:trPr>
          <w:trHeight w:val="340"/>
        </w:trPr>
        <w:tc>
          <w:tcPr>
            <w:tcW w:w="1984" w:type="dxa"/>
            <w:shd w:val="clear" w:color="auto" w:fill="auto"/>
            <w:vAlign w:val="center"/>
            <w:hideMark/>
          </w:tcPr>
          <w:p w14:paraId="06E1549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ESB Energy Ltd</w:t>
            </w:r>
          </w:p>
        </w:tc>
        <w:tc>
          <w:tcPr>
            <w:tcW w:w="1275" w:type="dxa"/>
            <w:shd w:val="clear" w:color="auto" w:fill="auto"/>
            <w:vAlign w:val="center"/>
            <w:hideMark/>
          </w:tcPr>
          <w:p w14:paraId="0D781787" w14:textId="1480105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168</w:t>
            </w:r>
            <w:r>
              <w:rPr>
                <w:rFonts w:eastAsia="Times New Roman" w:cs="Calibri"/>
                <w:color w:val="000000"/>
                <w:sz w:val="16"/>
                <w:szCs w:val="16"/>
              </w:rPr>
              <w:t>,</w:t>
            </w:r>
            <w:r w:rsidRPr="002E3196">
              <w:rPr>
                <w:rFonts w:eastAsia="Times New Roman" w:cs="Calibri"/>
                <w:color w:val="000000"/>
                <w:sz w:val="16"/>
                <w:szCs w:val="16"/>
              </w:rPr>
              <w:t>600</w:t>
            </w:r>
          </w:p>
        </w:tc>
        <w:tc>
          <w:tcPr>
            <w:tcW w:w="1276" w:type="dxa"/>
            <w:shd w:val="clear" w:color="auto" w:fill="auto"/>
            <w:vAlign w:val="center"/>
            <w:hideMark/>
          </w:tcPr>
          <w:p w14:paraId="532B5F9F" w14:textId="09023AAE"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168</w:t>
            </w:r>
            <w:r>
              <w:rPr>
                <w:rFonts w:eastAsia="Times New Roman" w:cs="Calibri"/>
                <w:color w:val="000000"/>
                <w:sz w:val="16"/>
                <w:szCs w:val="16"/>
              </w:rPr>
              <w:t>,</w:t>
            </w:r>
            <w:r w:rsidRPr="005A4A5A">
              <w:rPr>
                <w:rFonts w:eastAsia="Times New Roman" w:cs="Calibri"/>
                <w:color w:val="000000"/>
                <w:sz w:val="16"/>
                <w:szCs w:val="16"/>
              </w:rPr>
              <w:t>600</w:t>
            </w:r>
          </w:p>
        </w:tc>
        <w:tc>
          <w:tcPr>
            <w:tcW w:w="1418" w:type="dxa"/>
            <w:shd w:val="clear" w:color="auto" w:fill="auto"/>
            <w:vAlign w:val="center"/>
            <w:hideMark/>
          </w:tcPr>
          <w:p w14:paraId="42003ED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E777D0C" w14:textId="6B542A2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42</w:t>
            </w:r>
            <w:r>
              <w:rPr>
                <w:rFonts w:eastAsia="Times New Roman" w:cs="Calibri"/>
                <w:color w:val="000000"/>
                <w:sz w:val="16"/>
                <w:szCs w:val="16"/>
              </w:rPr>
              <w:t>,</w:t>
            </w:r>
            <w:r w:rsidRPr="002E3196">
              <w:rPr>
                <w:rFonts w:eastAsia="Times New Roman" w:cs="Calibri"/>
                <w:color w:val="000000"/>
                <w:sz w:val="16"/>
                <w:szCs w:val="16"/>
              </w:rPr>
              <w:t>150</w:t>
            </w:r>
          </w:p>
        </w:tc>
        <w:tc>
          <w:tcPr>
            <w:tcW w:w="1701" w:type="dxa"/>
            <w:shd w:val="clear" w:color="auto" w:fill="auto"/>
            <w:vAlign w:val="center"/>
            <w:hideMark/>
          </w:tcPr>
          <w:p w14:paraId="6904FF0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FB8052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6D62C12" w14:textId="77777777" w:rsidTr="00780608">
        <w:trPr>
          <w:trHeight w:val="340"/>
        </w:trPr>
        <w:tc>
          <w:tcPr>
            <w:tcW w:w="1984" w:type="dxa"/>
            <w:shd w:val="clear" w:color="auto" w:fill="auto"/>
            <w:vAlign w:val="center"/>
            <w:hideMark/>
          </w:tcPr>
          <w:p w14:paraId="16C0648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Euston Energy Ltd</w:t>
            </w:r>
          </w:p>
        </w:tc>
        <w:tc>
          <w:tcPr>
            <w:tcW w:w="1275" w:type="dxa"/>
            <w:shd w:val="clear" w:color="auto" w:fill="auto"/>
            <w:vAlign w:val="center"/>
            <w:hideMark/>
          </w:tcPr>
          <w:p w14:paraId="6DDC7151" w14:textId="262561D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196</w:t>
            </w:r>
          </w:p>
        </w:tc>
        <w:tc>
          <w:tcPr>
            <w:tcW w:w="1276" w:type="dxa"/>
            <w:shd w:val="clear" w:color="auto" w:fill="auto"/>
            <w:vAlign w:val="center"/>
            <w:hideMark/>
          </w:tcPr>
          <w:p w14:paraId="3CF42311"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CF219B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ED179D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53B15F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6C6E39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£110,800.09</w:t>
            </w:r>
          </w:p>
        </w:tc>
      </w:tr>
      <w:tr w:rsidR="00036B8A" w:rsidRPr="006B3AC6" w14:paraId="7B8C00FA" w14:textId="77777777" w:rsidTr="00780608">
        <w:trPr>
          <w:trHeight w:val="340"/>
        </w:trPr>
        <w:tc>
          <w:tcPr>
            <w:tcW w:w="1984" w:type="dxa"/>
            <w:shd w:val="clear" w:color="auto" w:fill="auto"/>
            <w:vAlign w:val="center"/>
            <w:hideMark/>
          </w:tcPr>
          <w:p w14:paraId="31655F8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F &amp; S Energy Ltd</w:t>
            </w:r>
          </w:p>
        </w:tc>
        <w:tc>
          <w:tcPr>
            <w:tcW w:w="1275" w:type="dxa"/>
            <w:shd w:val="clear" w:color="auto" w:fill="auto"/>
            <w:vAlign w:val="center"/>
            <w:hideMark/>
          </w:tcPr>
          <w:p w14:paraId="190F2965" w14:textId="468E2D3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51</w:t>
            </w:r>
            <w:r>
              <w:rPr>
                <w:rFonts w:eastAsia="Times New Roman" w:cs="Calibri"/>
                <w:color w:val="000000"/>
                <w:sz w:val="16"/>
                <w:szCs w:val="16"/>
              </w:rPr>
              <w:t>,</w:t>
            </w:r>
            <w:r w:rsidRPr="002E3196">
              <w:rPr>
                <w:rFonts w:eastAsia="Times New Roman" w:cs="Calibri"/>
                <w:color w:val="000000"/>
                <w:sz w:val="16"/>
                <w:szCs w:val="16"/>
              </w:rPr>
              <w:t>299</w:t>
            </w:r>
          </w:p>
        </w:tc>
        <w:tc>
          <w:tcPr>
            <w:tcW w:w="1276" w:type="dxa"/>
            <w:shd w:val="clear" w:color="auto" w:fill="auto"/>
            <w:vAlign w:val="center"/>
            <w:hideMark/>
          </w:tcPr>
          <w:p w14:paraId="75B3CF9F" w14:textId="7D7067C0"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6</w:t>
            </w:r>
            <w:r>
              <w:rPr>
                <w:rFonts w:eastAsia="Times New Roman" w:cs="Calibri"/>
                <w:color w:val="000000"/>
                <w:sz w:val="16"/>
                <w:szCs w:val="16"/>
              </w:rPr>
              <w:t>,</w:t>
            </w:r>
            <w:r w:rsidRPr="005A4A5A">
              <w:rPr>
                <w:rFonts w:eastAsia="Times New Roman" w:cs="Calibri"/>
                <w:color w:val="000000"/>
                <w:sz w:val="16"/>
                <w:szCs w:val="16"/>
              </w:rPr>
              <w:t>694</w:t>
            </w:r>
          </w:p>
        </w:tc>
        <w:tc>
          <w:tcPr>
            <w:tcW w:w="1418" w:type="dxa"/>
            <w:shd w:val="clear" w:color="auto" w:fill="auto"/>
            <w:vAlign w:val="center"/>
            <w:hideMark/>
          </w:tcPr>
          <w:p w14:paraId="0E30EEF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64D2CD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34</w:t>
            </w:r>
          </w:p>
        </w:tc>
        <w:tc>
          <w:tcPr>
            <w:tcW w:w="1701" w:type="dxa"/>
            <w:shd w:val="clear" w:color="auto" w:fill="auto"/>
            <w:vAlign w:val="center"/>
            <w:hideMark/>
          </w:tcPr>
          <w:p w14:paraId="59BEE2A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£2,238,069.24</w:t>
            </w:r>
          </w:p>
        </w:tc>
        <w:tc>
          <w:tcPr>
            <w:tcW w:w="1561" w:type="dxa"/>
            <w:shd w:val="clear" w:color="auto" w:fill="auto"/>
            <w:vAlign w:val="center"/>
            <w:hideMark/>
          </w:tcPr>
          <w:p w14:paraId="0B0A7F6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DC3F452" w14:textId="77777777" w:rsidTr="00780608">
        <w:trPr>
          <w:trHeight w:val="552"/>
        </w:trPr>
        <w:tc>
          <w:tcPr>
            <w:tcW w:w="1984" w:type="dxa"/>
            <w:shd w:val="clear" w:color="auto" w:fill="auto"/>
            <w:vAlign w:val="center"/>
            <w:hideMark/>
          </w:tcPr>
          <w:p w14:paraId="450E77D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Farringdon Energy Ltd</w:t>
            </w:r>
          </w:p>
        </w:tc>
        <w:tc>
          <w:tcPr>
            <w:tcW w:w="1275" w:type="dxa"/>
            <w:shd w:val="clear" w:color="auto" w:fill="auto"/>
            <w:vAlign w:val="center"/>
            <w:hideMark/>
          </w:tcPr>
          <w:p w14:paraId="5718919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937</w:t>
            </w:r>
          </w:p>
        </w:tc>
        <w:tc>
          <w:tcPr>
            <w:tcW w:w="1276" w:type="dxa"/>
            <w:shd w:val="clear" w:color="auto" w:fill="auto"/>
            <w:vAlign w:val="center"/>
            <w:hideMark/>
          </w:tcPr>
          <w:p w14:paraId="6495BB1F"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F3884B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648C61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0E31C4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£46,846.80</w:t>
            </w:r>
          </w:p>
        </w:tc>
        <w:tc>
          <w:tcPr>
            <w:tcW w:w="1561" w:type="dxa"/>
            <w:shd w:val="clear" w:color="auto" w:fill="auto"/>
            <w:vAlign w:val="center"/>
            <w:hideMark/>
          </w:tcPr>
          <w:p w14:paraId="23C04F5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A406ECD" w14:textId="77777777" w:rsidTr="00780608">
        <w:trPr>
          <w:trHeight w:val="301"/>
        </w:trPr>
        <w:tc>
          <w:tcPr>
            <w:tcW w:w="1984" w:type="dxa"/>
            <w:shd w:val="clear" w:color="auto" w:fill="auto"/>
            <w:vAlign w:val="center"/>
            <w:hideMark/>
          </w:tcPr>
          <w:p w14:paraId="7180D394"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Flexitricity</w:t>
            </w:r>
            <w:proofErr w:type="spellEnd"/>
            <w:r w:rsidRPr="002E3196">
              <w:rPr>
                <w:rFonts w:eastAsia="Times New Roman" w:cs="Calibri"/>
                <w:color w:val="000000"/>
                <w:sz w:val="16"/>
                <w:szCs w:val="16"/>
              </w:rPr>
              <w:t xml:space="preserve"> Ltd</w:t>
            </w:r>
          </w:p>
        </w:tc>
        <w:tc>
          <w:tcPr>
            <w:tcW w:w="1275" w:type="dxa"/>
            <w:shd w:val="clear" w:color="auto" w:fill="auto"/>
            <w:vAlign w:val="center"/>
            <w:hideMark/>
          </w:tcPr>
          <w:p w14:paraId="7641B891" w14:textId="5007E86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615</w:t>
            </w:r>
          </w:p>
        </w:tc>
        <w:tc>
          <w:tcPr>
            <w:tcW w:w="1276" w:type="dxa"/>
            <w:shd w:val="clear" w:color="auto" w:fill="auto"/>
            <w:vAlign w:val="center"/>
            <w:hideMark/>
          </w:tcPr>
          <w:p w14:paraId="525290C8"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489171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A48477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1EA863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D2B814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£131,063.62</w:t>
            </w:r>
          </w:p>
        </w:tc>
      </w:tr>
      <w:tr w:rsidR="00036B8A" w:rsidRPr="006B3AC6" w14:paraId="26385B59" w14:textId="77777777" w:rsidTr="00780608">
        <w:trPr>
          <w:trHeight w:val="301"/>
        </w:trPr>
        <w:tc>
          <w:tcPr>
            <w:tcW w:w="1984" w:type="dxa"/>
            <w:shd w:val="clear" w:color="auto" w:fill="auto"/>
            <w:vAlign w:val="center"/>
            <w:hideMark/>
          </w:tcPr>
          <w:p w14:paraId="54E77F2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Flow Energy Ltd</w:t>
            </w:r>
          </w:p>
        </w:tc>
        <w:tc>
          <w:tcPr>
            <w:tcW w:w="1275" w:type="dxa"/>
            <w:shd w:val="clear" w:color="auto" w:fill="auto"/>
            <w:vAlign w:val="center"/>
            <w:hideMark/>
          </w:tcPr>
          <w:p w14:paraId="5006868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p>
        </w:tc>
        <w:tc>
          <w:tcPr>
            <w:tcW w:w="1276" w:type="dxa"/>
            <w:shd w:val="clear" w:color="auto" w:fill="auto"/>
            <w:vAlign w:val="center"/>
            <w:hideMark/>
          </w:tcPr>
          <w:p w14:paraId="25632D0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8C32C6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28C24F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574047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EDCC53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£100.39</w:t>
            </w:r>
          </w:p>
        </w:tc>
      </w:tr>
      <w:tr w:rsidR="00036B8A" w:rsidRPr="006B3AC6" w14:paraId="5C9588CD" w14:textId="77777777" w:rsidTr="00780608">
        <w:trPr>
          <w:trHeight w:val="552"/>
        </w:trPr>
        <w:tc>
          <w:tcPr>
            <w:tcW w:w="1984" w:type="dxa"/>
            <w:shd w:val="clear" w:color="auto" w:fill="auto"/>
            <w:vAlign w:val="center"/>
            <w:hideMark/>
          </w:tcPr>
          <w:p w14:paraId="5B153B9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Foxglove Energy Supply Ltd</w:t>
            </w:r>
          </w:p>
        </w:tc>
        <w:tc>
          <w:tcPr>
            <w:tcW w:w="1275" w:type="dxa"/>
            <w:shd w:val="clear" w:color="auto" w:fill="auto"/>
            <w:vAlign w:val="center"/>
            <w:hideMark/>
          </w:tcPr>
          <w:p w14:paraId="589B52DD" w14:textId="0623CD3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191</w:t>
            </w:r>
            <w:r>
              <w:rPr>
                <w:rFonts w:eastAsia="Times New Roman" w:cs="Calibri"/>
                <w:color w:val="000000"/>
                <w:sz w:val="16"/>
                <w:szCs w:val="16"/>
              </w:rPr>
              <w:t>,</w:t>
            </w:r>
            <w:r w:rsidRPr="002E3196">
              <w:rPr>
                <w:rFonts w:eastAsia="Times New Roman" w:cs="Calibri"/>
                <w:color w:val="000000"/>
                <w:sz w:val="16"/>
                <w:szCs w:val="16"/>
              </w:rPr>
              <w:t>661</w:t>
            </w:r>
          </w:p>
        </w:tc>
        <w:tc>
          <w:tcPr>
            <w:tcW w:w="1276" w:type="dxa"/>
            <w:shd w:val="clear" w:color="auto" w:fill="auto"/>
            <w:vAlign w:val="center"/>
            <w:hideMark/>
          </w:tcPr>
          <w:p w14:paraId="59C6C7AB"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9E6CDB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66F33E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327353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£6,218,712.10</w:t>
            </w:r>
          </w:p>
        </w:tc>
        <w:tc>
          <w:tcPr>
            <w:tcW w:w="1561" w:type="dxa"/>
            <w:shd w:val="clear" w:color="auto" w:fill="auto"/>
            <w:vAlign w:val="center"/>
            <w:hideMark/>
          </w:tcPr>
          <w:p w14:paraId="2231EC2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£3,388,206.71</w:t>
            </w:r>
          </w:p>
        </w:tc>
      </w:tr>
      <w:tr w:rsidR="00036B8A" w:rsidRPr="006B3AC6" w14:paraId="7729C676" w14:textId="77777777" w:rsidTr="00780608">
        <w:trPr>
          <w:trHeight w:val="552"/>
        </w:trPr>
        <w:tc>
          <w:tcPr>
            <w:tcW w:w="1984" w:type="dxa"/>
            <w:shd w:val="clear" w:color="auto" w:fill="auto"/>
            <w:vAlign w:val="center"/>
            <w:hideMark/>
          </w:tcPr>
          <w:p w14:paraId="6FADF66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Gas and Power Ltd T/A HUB Energy</w:t>
            </w:r>
          </w:p>
        </w:tc>
        <w:tc>
          <w:tcPr>
            <w:tcW w:w="1275" w:type="dxa"/>
            <w:shd w:val="clear" w:color="auto" w:fill="auto"/>
            <w:vAlign w:val="center"/>
            <w:hideMark/>
          </w:tcPr>
          <w:p w14:paraId="7FD32775" w14:textId="6D7DECD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55</w:t>
            </w:r>
            <w:r>
              <w:rPr>
                <w:rFonts w:eastAsia="Times New Roman" w:cs="Calibri"/>
                <w:color w:val="000000"/>
                <w:sz w:val="16"/>
                <w:szCs w:val="16"/>
              </w:rPr>
              <w:t>,</w:t>
            </w:r>
            <w:r w:rsidRPr="002E3196">
              <w:rPr>
                <w:rFonts w:eastAsia="Times New Roman" w:cs="Calibri"/>
                <w:color w:val="000000"/>
                <w:sz w:val="16"/>
                <w:szCs w:val="16"/>
              </w:rPr>
              <w:t>791</w:t>
            </w:r>
          </w:p>
        </w:tc>
        <w:tc>
          <w:tcPr>
            <w:tcW w:w="1276" w:type="dxa"/>
            <w:shd w:val="clear" w:color="auto" w:fill="auto"/>
            <w:vAlign w:val="center"/>
            <w:hideMark/>
          </w:tcPr>
          <w:p w14:paraId="629DA385"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497146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2F7CE7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7B8E43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B1870F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D0B2A4E" w14:textId="77777777" w:rsidTr="00780608">
        <w:trPr>
          <w:trHeight w:val="552"/>
        </w:trPr>
        <w:tc>
          <w:tcPr>
            <w:tcW w:w="1984" w:type="dxa"/>
            <w:shd w:val="clear" w:color="auto" w:fill="auto"/>
            <w:vAlign w:val="center"/>
            <w:hideMark/>
          </w:tcPr>
          <w:p w14:paraId="18AF9F0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Gazprom Marketing &amp; Trading Retail Ltd</w:t>
            </w:r>
          </w:p>
        </w:tc>
        <w:tc>
          <w:tcPr>
            <w:tcW w:w="1275" w:type="dxa"/>
            <w:shd w:val="clear" w:color="auto" w:fill="auto"/>
            <w:vAlign w:val="center"/>
            <w:hideMark/>
          </w:tcPr>
          <w:p w14:paraId="247449ED" w14:textId="0DA152A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185</w:t>
            </w:r>
            <w:r>
              <w:rPr>
                <w:rFonts w:eastAsia="Times New Roman" w:cs="Calibri"/>
                <w:color w:val="000000"/>
                <w:sz w:val="16"/>
                <w:szCs w:val="16"/>
              </w:rPr>
              <w:t>,</w:t>
            </w:r>
            <w:r w:rsidRPr="002E3196">
              <w:rPr>
                <w:rFonts w:eastAsia="Times New Roman" w:cs="Calibri"/>
                <w:color w:val="000000"/>
                <w:sz w:val="16"/>
                <w:szCs w:val="16"/>
              </w:rPr>
              <w:t>225</w:t>
            </w:r>
          </w:p>
        </w:tc>
        <w:tc>
          <w:tcPr>
            <w:tcW w:w="1276" w:type="dxa"/>
            <w:shd w:val="clear" w:color="auto" w:fill="auto"/>
            <w:vAlign w:val="center"/>
            <w:hideMark/>
          </w:tcPr>
          <w:p w14:paraId="1C44CB09" w14:textId="77DC624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185</w:t>
            </w:r>
            <w:r>
              <w:rPr>
                <w:rFonts w:eastAsia="Times New Roman" w:cs="Calibri"/>
                <w:color w:val="000000"/>
                <w:sz w:val="16"/>
                <w:szCs w:val="16"/>
              </w:rPr>
              <w:t>,</w:t>
            </w:r>
            <w:r w:rsidRPr="005A4A5A">
              <w:rPr>
                <w:rFonts w:eastAsia="Times New Roman" w:cs="Calibri"/>
                <w:color w:val="000000"/>
                <w:sz w:val="16"/>
                <w:szCs w:val="16"/>
              </w:rPr>
              <w:t>225</w:t>
            </w:r>
          </w:p>
        </w:tc>
        <w:tc>
          <w:tcPr>
            <w:tcW w:w="1418" w:type="dxa"/>
            <w:shd w:val="clear" w:color="auto" w:fill="auto"/>
            <w:vAlign w:val="center"/>
            <w:hideMark/>
          </w:tcPr>
          <w:p w14:paraId="162DEC1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AC7F830" w14:textId="2F66E9B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870</w:t>
            </w:r>
          </w:p>
        </w:tc>
        <w:tc>
          <w:tcPr>
            <w:tcW w:w="1701" w:type="dxa"/>
            <w:shd w:val="clear" w:color="auto" w:fill="auto"/>
            <w:vAlign w:val="center"/>
            <w:hideMark/>
          </w:tcPr>
          <w:p w14:paraId="6489399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F73C5F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AA48085" w14:textId="77777777" w:rsidTr="00780608">
        <w:trPr>
          <w:trHeight w:val="340"/>
        </w:trPr>
        <w:tc>
          <w:tcPr>
            <w:tcW w:w="1984" w:type="dxa"/>
            <w:shd w:val="clear" w:color="auto" w:fill="auto"/>
            <w:vAlign w:val="center"/>
            <w:hideMark/>
          </w:tcPr>
          <w:p w14:paraId="5062B0D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Go Effortless</w:t>
            </w:r>
          </w:p>
        </w:tc>
        <w:tc>
          <w:tcPr>
            <w:tcW w:w="1275" w:type="dxa"/>
            <w:shd w:val="clear" w:color="auto" w:fill="auto"/>
            <w:vAlign w:val="center"/>
            <w:hideMark/>
          </w:tcPr>
          <w:p w14:paraId="75267B3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550</w:t>
            </w:r>
          </w:p>
        </w:tc>
        <w:tc>
          <w:tcPr>
            <w:tcW w:w="1276" w:type="dxa"/>
            <w:shd w:val="clear" w:color="auto" w:fill="auto"/>
            <w:vAlign w:val="center"/>
            <w:hideMark/>
          </w:tcPr>
          <w:p w14:paraId="60521B1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8E7067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1F008C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08CA1D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E28904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9E53522" w14:textId="77777777" w:rsidTr="00780608">
        <w:trPr>
          <w:trHeight w:val="340"/>
        </w:trPr>
        <w:tc>
          <w:tcPr>
            <w:tcW w:w="1984" w:type="dxa"/>
            <w:shd w:val="clear" w:color="auto" w:fill="auto"/>
            <w:vAlign w:val="center"/>
            <w:hideMark/>
          </w:tcPr>
          <w:p w14:paraId="63E3351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Good Energy Ltd</w:t>
            </w:r>
          </w:p>
        </w:tc>
        <w:tc>
          <w:tcPr>
            <w:tcW w:w="1275" w:type="dxa"/>
            <w:shd w:val="clear" w:color="auto" w:fill="auto"/>
            <w:vAlign w:val="center"/>
            <w:hideMark/>
          </w:tcPr>
          <w:p w14:paraId="1E79D90E" w14:textId="6AC0C7C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245</w:t>
            </w:r>
            <w:r>
              <w:rPr>
                <w:rFonts w:eastAsia="Times New Roman" w:cs="Calibri"/>
                <w:color w:val="000000"/>
                <w:sz w:val="16"/>
                <w:szCs w:val="16"/>
              </w:rPr>
              <w:t>,</w:t>
            </w:r>
            <w:r w:rsidRPr="002E3196">
              <w:rPr>
                <w:rFonts w:eastAsia="Times New Roman" w:cs="Calibri"/>
                <w:color w:val="000000"/>
                <w:sz w:val="16"/>
                <w:szCs w:val="16"/>
              </w:rPr>
              <w:t>882</w:t>
            </w:r>
          </w:p>
        </w:tc>
        <w:tc>
          <w:tcPr>
            <w:tcW w:w="1276" w:type="dxa"/>
            <w:shd w:val="clear" w:color="auto" w:fill="auto"/>
            <w:vAlign w:val="center"/>
            <w:hideMark/>
          </w:tcPr>
          <w:p w14:paraId="4388AC0D" w14:textId="1B9F730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245</w:t>
            </w:r>
            <w:r>
              <w:rPr>
                <w:rFonts w:eastAsia="Times New Roman" w:cs="Calibri"/>
                <w:color w:val="000000"/>
                <w:sz w:val="16"/>
                <w:szCs w:val="16"/>
              </w:rPr>
              <w:t>,</w:t>
            </w:r>
            <w:r w:rsidRPr="005A4A5A">
              <w:rPr>
                <w:rFonts w:eastAsia="Times New Roman" w:cs="Calibri"/>
                <w:color w:val="000000"/>
                <w:sz w:val="16"/>
                <w:szCs w:val="16"/>
              </w:rPr>
              <w:t>882</w:t>
            </w:r>
          </w:p>
        </w:tc>
        <w:tc>
          <w:tcPr>
            <w:tcW w:w="1418" w:type="dxa"/>
            <w:shd w:val="clear" w:color="auto" w:fill="auto"/>
            <w:vAlign w:val="center"/>
            <w:hideMark/>
          </w:tcPr>
          <w:p w14:paraId="6D3D50E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4549FA1" w14:textId="29A3C4A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133</w:t>
            </w:r>
          </w:p>
        </w:tc>
        <w:tc>
          <w:tcPr>
            <w:tcW w:w="1701" w:type="dxa"/>
            <w:shd w:val="clear" w:color="auto" w:fill="auto"/>
            <w:vAlign w:val="center"/>
            <w:hideMark/>
          </w:tcPr>
          <w:p w14:paraId="1D7CBFE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5D9CCC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D2C7D45" w14:textId="77777777" w:rsidTr="00780608">
        <w:trPr>
          <w:trHeight w:val="340"/>
        </w:trPr>
        <w:tc>
          <w:tcPr>
            <w:tcW w:w="1984" w:type="dxa"/>
            <w:shd w:val="clear" w:color="auto" w:fill="auto"/>
            <w:vAlign w:val="center"/>
            <w:hideMark/>
          </w:tcPr>
          <w:p w14:paraId="793446D2"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Goto</w:t>
            </w:r>
            <w:proofErr w:type="spellEnd"/>
            <w:r w:rsidRPr="002E3196">
              <w:rPr>
                <w:rFonts w:eastAsia="Times New Roman" w:cs="Calibri"/>
                <w:color w:val="000000"/>
                <w:sz w:val="16"/>
                <w:szCs w:val="16"/>
              </w:rPr>
              <w:t xml:space="preserve"> Energy (UK) Ltd</w:t>
            </w:r>
          </w:p>
        </w:tc>
        <w:tc>
          <w:tcPr>
            <w:tcW w:w="1275" w:type="dxa"/>
            <w:shd w:val="clear" w:color="auto" w:fill="auto"/>
            <w:vAlign w:val="center"/>
            <w:hideMark/>
          </w:tcPr>
          <w:p w14:paraId="658DCE96" w14:textId="7802833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42</w:t>
            </w:r>
            <w:r>
              <w:rPr>
                <w:rFonts w:eastAsia="Times New Roman" w:cs="Calibri"/>
                <w:color w:val="000000"/>
                <w:sz w:val="16"/>
                <w:szCs w:val="16"/>
              </w:rPr>
              <w:t>,</w:t>
            </w:r>
            <w:r w:rsidRPr="002E3196">
              <w:rPr>
                <w:rFonts w:eastAsia="Times New Roman" w:cs="Calibri"/>
                <w:color w:val="000000"/>
                <w:sz w:val="16"/>
                <w:szCs w:val="16"/>
              </w:rPr>
              <w:t>445</w:t>
            </w:r>
          </w:p>
        </w:tc>
        <w:tc>
          <w:tcPr>
            <w:tcW w:w="1276" w:type="dxa"/>
            <w:shd w:val="clear" w:color="auto" w:fill="auto"/>
            <w:vAlign w:val="center"/>
            <w:hideMark/>
          </w:tcPr>
          <w:p w14:paraId="0C3B4AB4"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9AD98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3C73B6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D3DCED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735808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B8A532D" w14:textId="77777777" w:rsidTr="00780608">
        <w:trPr>
          <w:trHeight w:val="552"/>
        </w:trPr>
        <w:tc>
          <w:tcPr>
            <w:tcW w:w="1984" w:type="dxa"/>
            <w:shd w:val="clear" w:color="auto" w:fill="auto"/>
            <w:vAlign w:val="center"/>
            <w:hideMark/>
          </w:tcPr>
          <w:p w14:paraId="0ECEB02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Green Energy (UK) Plc</w:t>
            </w:r>
          </w:p>
        </w:tc>
        <w:tc>
          <w:tcPr>
            <w:tcW w:w="1275" w:type="dxa"/>
            <w:shd w:val="clear" w:color="auto" w:fill="auto"/>
            <w:vAlign w:val="center"/>
            <w:hideMark/>
          </w:tcPr>
          <w:p w14:paraId="2A48E48C" w14:textId="67F55B9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41</w:t>
            </w:r>
            <w:r>
              <w:rPr>
                <w:rFonts w:eastAsia="Times New Roman" w:cs="Calibri"/>
                <w:color w:val="000000"/>
                <w:sz w:val="16"/>
                <w:szCs w:val="16"/>
              </w:rPr>
              <w:t>,</w:t>
            </w:r>
            <w:r w:rsidRPr="002E3196">
              <w:rPr>
                <w:rFonts w:eastAsia="Times New Roman" w:cs="Calibri"/>
                <w:color w:val="000000"/>
                <w:sz w:val="16"/>
                <w:szCs w:val="16"/>
              </w:rPr>
              <w:t>220</w:t>
            </w:r>
          </w:p>
        </w:tc>
        <w:tc>
          <w:tcPr>
            <w:tcW w:w="1276" w:type="dxa"/>
            <w:shd w:val="clear" w:color="auto" w:fill="auto"/>
            <w:vAlign w:val="center"/>
            <w:hideMark/>
          </w:tcPr>
          <w:p w14:paraId="4974858F" w14:textId="4FD850A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41</w:t>
            </w:r>
            <w:r>
              <w:rPr>
                <w:rFonts w:eastAsia="Times New Roman" w:cs="Calibri"/>
                <w:color w:val="000000"/>
                <w:sz w:val="16"/>
                <w:szCs w:val="16"/>
              </w:rPr>
              <w:t>,</w:t>
            </w:r>
            <w:r w:rsidRPr="005A4A5A">
              <w:rPr>
                <w:rFonts w:eastAsia="Times New Roman" w:cs="Calibri"/>
                <w:color w:val="000000"/>
                <w:sz w:val="16"/>
                <w:szCs w:val="16"/>
              </w:rPr>
              <w:t>220</w:t>
            </w:r>
          </w:p>
        </w:tc>
        <w:tc>
          <w:tcPr>
            <w:tcW w:w="1418" w:type="dxa"/>
            <w:shd w:val="clear" w:color="auto" w:fill="auto"/>
            <w:vAlign w:val="center"/>
            <w:hideMark/>
          </w:tcPr>
          <w:p w14:paraId="1634895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88629B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37</w:t>
            </w:r>
          </w:p>
        </w:tc>
        <w:tc>
          <w:tcPr>
            <w:tcW w:w="1701" w:type="dxa"/>
            <w:shd w:val="clear" w:color="auto" w:fill="auto"/>
            <w:vAlign w:val="center"/>
            <w:hideMark/>
          </w:tcPr>
          <w:p w14:paraId="4DFA700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BA77DD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AC36E19" w14:textId="77777777" w:rsidTr="00780608">
        <w:trPr>
          <w:trHeight w:val="552"/>
        </w:trPr>
        <w:tc>
          <w:tcPr>
            <w:tcW w:w="1984" w:type="dxa"/>
            <w:shd w:val="clear" w:color="auto" w:fill="auto"/>
            <w:vAlign w:val="center"/>
            <w:hideMark/>
          </w:tcPr>
          <w:p w14:paraId="64A5C45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Green Network Energy LTD</w:t>
            </w:r>
          </w:p>
        </w:tc>
        <w:tc>
          <w:tcPr>
            <w:tcW w:w="1275" w:type="dxa"/>
            <w:shd w:val="clear" w:color="auto" w:fill="auto"/>
            <w:vAlign w:val="center"/>
            <w:hideMark/>
          </w:tcPr>
          <w:p w14:paraId="466ABD30" w14:textId="3CB62D9C"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540</w:t>
            </w:r>
            <w:r>
              <w:rPr>
                <w:rFonts w:eastAsia="Times New Roman" w:cs="Calibri"/>
                <w:color w:val="000000"/>
                <w:sz w:val="16"/>
                <w:szCs w:val="16"/>
              </w:rPr>
              <w:t>,</w:t>
            </w:r>
            <w:r w:rsidRPr="002E3196">
              <w:rPr>
                <w:rFonts w:eastAsia="Times New Roman" w:cs="Calibri"/>
                <w:color w:val="000000"/>
                <w:sz w:val="16"/>
                <w:szCs w:val="16"/>
              </w:rPr>
              <w:t>377</w:t>
            </w:r>
          </w:p>
        </w:tc>
        <w:tc>
          <w:tcPr>
            <w:tcW w:w="1276" w:type="dxa"/>
            <w:shd w:val="clear" w:color="auto" w:fill="auto"/>
            <w:vAlign w:val="center"/>
            <w:hideMark/>
          </w:tcPr>
          <w:p w14:paraId="07E8A405"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02E9158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2EBC15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9653CF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£7,497,000.00</w:t>
            </w:r>
          </w:p>
        </w:tc>
        <w:tc>
          <w:tcPr>
            <w:tcW w:w="1561" w:type="dxa"/>
            <w:shd w:val="clear" w:color="auto" w:fill="auto"/>
            <w:vAlign w:val="center"/>
            <w:hideMark/>
          </w:tcPr>
          <w:p w14:paraId="6BE1959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AC620EB" w14:textId="77777777" w:rsidTr="00780608">
        <w:trPr>
          <w:trHeight w:val="301"/>
        </w:trPr>
        <w:tc>
          <w:tcPr>
            <w:tcW w:w="1984" w:type="dxa"/>
            <w:shd w:val="clear" w:color="auto" w:fill="auto"/>
            <w:vAlign w:val="center"/>
            <w:hideMark/>
          </w:tcPr>
          <w:p w14:paraId="26637A2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Green Supplier Ltd</w:t>
            </w:r>
          </w:p>
        </w:tc>
        <w:tc>
          <w:tcPr>
            <w:tcW w:w="1275" w:type="dxa"/>
            <w:shd w:val="clear" w:color="auto" w:fill="auto"/>
            <w:vAlign w:val="center"/>
            <w:hideMark/>
          </w:tcPr>
          <w:p w14:paraId="5152893B" w14:textId="017EA1E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181</w:t>
            </w:r>
            <w:r>
              <w:rPr>
                <w:rFonts w:eastAsia="Times New Roman" w:cs="Calibri"/>
                <w:color w:val="000000"/>
                <w:sz w:val="16"/>
                <w:szCs w:val="16"/>
              </w:rPr>
              <w:t>,</w:t>
            </w:r>
            <w:r w:rsidRPr="002E3196">
              <w:rPr>
                <w:rFonts w:eastAsia="Times New Roman" w:cs="Calibri"/>
                <w:color w:val="000000"/>
                <w:sz w:val="16"/>
                <w:szCs w:val="16"/>
              </w:rPr>
              <w:t>916</w:t>
            </w:r>
          </w:p>
        </w:tc>
        <w:tc>
          <w:tcPr>
            <w:tcW w:w="1276" w:type="dxa"/>
            <w:shd w:val="clear" w:color="auto" w:fill="auto"/>
            <w:vAlign w:val="center"/>
            <w:hideMark/>
          </w:tcPr>
          <w:p w14:paraId="66676C74"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8B89E0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D93E82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E3E306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2D3D28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7123C06" w14:textId="77777777" w:rsidTr="00780608">
        <w:trPr>
          <w:trHeight w:val="552"/>
        </w:trPr>
        <w:tc>
          <w:tcPr>
            <w:tcW w:w="1984" w:type="dxa"/>
            <w:shd w:val="clear" w:color="auto" w:fill="auto"/>
            <w:vAlign w:val="center"/>
            <w:hideMark/>
          </w:tcPr>
          <w:p w14:paraId="1DE9DE18"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HARTREE PARTNERS SUPPLY (UK) Ltd</w:t>
            </w:r>
          </w:p>
        </w:tc>
        <w:tc>
          <w:tcPr>
            <w:tcW w:w="1275" w:type="dxa"/>
            <w:shd w:val="clear" w:color="auto" w:fill="auto"/>
            <w:vAlign w:val="center"/>
            <w:hideMark/>
          </w:tcPr>
          <w:p w14:paraId="2FFA08F9" w14:textId="4098C42C"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437</w:t>
            </w:r>
          </w:p>
        </w:tc>
        <w:tc>
          <w:tcPr>
            <w:tcW w:w="1276" w:type="dxa"/>
            <w:shd w:val="clear" w:color="auto" w:fill="auto"/>
            <w:vAlign w:val="center"/>
            <w:hideMark/>
          </w:tcPr>
          <w:p w14:paraId="26371286" w14:textId="6D9A3A2B"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3</w:t>
            </w:r>
            <w:r>
              <w:rPr>
                <w:rFonts w:eastAsia="Times New Roman" w:cs="Calibri"/>
                <w:color w:val="000000"/>
                <w:sz w:val="16"/>
                <w:szCs w:val="16"/>
              </w:rPr>
              <w:t>,</w:t>
            </w:r>
            <w:r w:rsidRPr="005A4A5A">
              <w:rPr>
                <w:rFonts w:eastAsia="Times New Roman" w:cs="Calibri"/>
                <w:color w:val="000000"/>
                <w:sz w:val="16"/>
                <w:szCs w:val="16"/>
              </w:rPr>
              <w:t>437</w:t>
            </w:r>
          </w:p>
        </w:tc>
        <w:tc>
          <w:tcPr>
            <w:tcW w:w="1418" w:type="dxa"/>
            <w:shd w:val="clear" w:color="auto" w:fill="auto"/>
            <w:vAlign w:val="center"/>
            <w:hideMark/>
          </w:tcPr>
          <w:p w14:paraId="29CE5EE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D1B443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A14E7B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F0958E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DFC8DEE" w14:textId="77777777" w:rsidTr="00780608">
        <w:trPr>
          <w:trHeight w:val="301"/>
        </w:trPr>
        <w:tc>
          <w:tcPr>
            <w:tcW w:w="1984" w:type="dxa"/>
            <w:shd w:val="clear" w:color="auto" w:fill="auto"/>
            <w:vAlign w:val="center"/>
            <w:hideMark/>
          </w:tcPr>
          <w:p w14:paraId="3195789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Haven Power Ltd</w:t>
            </w:r>
          </w:p>
        </w:tc>
        <w:tc>
          <w:tcPr>
            <w:tcW w:w="1275" w:type="dxa"/>
            <w:shd w:val="clear" w:color="auto" w:fill="auto"/>
            <w:vAlign w:val="center"/>
            <w:hideMark/>
          </w:tcPr>
          <w:p w14:paraId="4E40EEFC" w14:textId="3116DEF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w:t>
            </w:r>
            <w:r>
              <w:rPr>
                <w:rFonts w:eastAsia="Times New Roman" w:cs="Calibri"/>
                <w:color w:val="000000"/>
                <w:sz w:val="16"/>
                <w:szCs w:val="16"/>
              </w:rPr>
              <w:t>,</w:t>
            </w:r>
            <w:r w:rsidRPr="002E3196">
              <w:rPr>
                <w:rFonts w:eastAsia="Times New Roman" w:cs="Calibri"/>
                <w:color w:val="000000"/>
                <w:sz w:val="16"/>
                <w:szCs w:val="16"/>
              </w:rPr>
              <w:t>654</w:t>
            </w:r>
            <w:r>
              <w:rPr>
                <w:rFonts w:eastAsia="Times New Roman" w:cs="Calibri"/>
                <w:color w:val="000000"/>
                <w:sz w:val="16"/>
                <w:szCs w:val="16"/>
              </w:rPr>
              <w:t>,</w:t>
            </w:r>
            <w:r w:rsidRPr="002E3196">
              <w:rPr>
                <w:rFonts w:eastAsia="Times New Roman" w:cs="Calibri"/>
                <w:color w:val="000000"/>
                <w:sz w:val="16"/>
                <w:szCs w:val="16"/>
              </w:rPr>
              <w:t>663</w:t>
            </w:r>
          </w:p>
        </w:tc>
        <w:tc>
          <w:tcPr>
            <w:tcW w:w="1276" w:type="dxa"/>
            <w:shd w:val="clear" w:color="auto" w:fill="auto"/>
            <w:vAlign w:val="center"/>
            <w:hideMark/>
          </w:tcPr>
          <w:p w14:paraId="2C1D0C1F" w14:textId="1072F8B0"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w:t>
            </w:r>
            <w:r>
              <w:rPr>
                <w:rFonts w:eastAsia="Times New Roman" w:cs="Calibri"/>
                <w:color w:val="000000"/>
                <w:sz w:val="16"/>
                <w:szCs w:val="16"/>
              </w:rPr>
              <w:t>,</w:t>
            </w:r>
            <w:r w:rsidRPr="005A4A5A">
              <w:rPr>
                <w:rFonts w:eastAsia="Times New Roman" w:cs="Calibri"/>
                <w:color w:val="000000"/>
                <w:sz w:val="16"/>
                <w:szCs w:val="16"/>
              </w:rPr>
              <w:t>654</w:t>
            </w:r>
            <w:r>
              <w:rPr>
                <w:rFonts w:eastAsia="Times New Roman" w:cs="Calibri"/>
                <w:color w:val="000000"/>
                <w:sz w:val="16"/>
                <w:szCs w:val="16"/>
              </w:rPr>
              <w:t>,</w:t>
            </w:r>
            <w:r w:rsidRPr="005A4A5A">
              <w:rPr>
                <w:rFonts w:eastAsia="Times New Roman" w:cs="Calibri"/>
                <w:color w:val="000000"/>
                <w:sz w:val="16"/>
                <w:szCs w:val="16"/>
              </w:rPr>
              <w:t>663</w:t>
            </w:r>
          </w:p>
        </w:tc>
        <w:tc>
          <w:tcPr>
            <w:tcW w:w="1418" w:type="dxa"/>
            <w:shd w:val="clear" w:color="auto" w:fill="auto"/>
            <w:vAlign w:val="center"/>
            <w:hideMark/>
          </w:tcPr>
          <w:p w14:paraId="7166BB2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D27BD3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89290D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9CC5CB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072D10A" w14:textId="77777777" w:rsidTr="00780608">
        <w:trPr>
          <w:trHeight w:val="552"/>
        </w:trPr>
        <w:tc>
          <w:tcPr>
            <w:tcW w:w="1984" w:type="dxa"/>
            <w:shd w:val="clear" w:color="auto" w:fill="auto"/>
            <w:vAlign w:val="center"/>
            <w:hideMark/>
          </w:tcPr>
          <w:p w14:paraId="0CDDCBF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Home Energy Trading Ltd</w:t>
            </w:r>
          </w:p>
        </w:tc>
        <w:tc>
          <w:tcPr>
            <w:tcW w:w="1275" w:type="dxa"/>
            <w:shd w:val="clear" w:color="auto" w:fill="auto"/>
            <w:vAlign w:val="center"/>
            <w:hideMark/>
          </w:tcPr>
          <w:p w14:paraId="33E76B5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44</w:t>
            </w:r>
          </w:p>
        </w:tc>
        <w:tc>
          <w:tcPr>
            <w:tcW w:w="1276" w:type="dxa"/>
            <w:shd w:val="clear" w:color="auto" w:fill="auto"/>
            <w:vAlign w:val="center"/>
            <w:hideMark/>
          </w:tcPr>
          <w:p w14:paraId="500EF9C5"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990E7B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7170A1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9EAD25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093760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£2,212.97</w:t>
            </w:r>
          </w:p>
        </w:tc>
      </w:tr>
      <w:tr w:rsidR="00036B8A" w:rsidRPr="006B3AC6" w14:paraId="5E553283" w14:textId="77777777" w:rsidTr="00780608">
        <w:trPr>
          <w:trHeight w:val="301"/>
        </w:trPr>
        <w:tc>
          <w:tcPr>
            <w:tcW w:w="1984" w:type="dxa"/>
            <w:shd w:val="clear" w:color="auto" w:fill="auto"/>
            <w:vAlign w:val="center"/>
            <w:hideMark/>
          </w:tcPr>
          <w:p w14:paraId="6FCA3E7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 xml:space="preserve">I Supply Energy </w:t>
            </w:r>
          </w:p>
        </w:tc>
        <w:tc>
          <w:tcPr>
            <w:tcW w:w="1275" w:type="dxa"/>
            <w:shd w:val="clear" w:color="auto" w:fill="auto"/>
            <w:vAlign w:val="center"/>
            <w:hideMark/>
          </w:tcPr>
          <w:p w14:paraId="3CCACF78" w14:textId="75A186D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16</w:t>
            </w:r>
            <w:r>
              <w:rPr>
                <w:rFonts w:eastAsia="Times New Roman" w:cs="Calibri"/>
                <w:color w:val="000000"/>
                <w:sz w:val="16"/>
                <w:szCs w:val="16"/>
              </w:rPr>
              <w:t>,</w:t>
            </w:r>
            <w:r w:rsidRPr="002E3196">
              <w:rPr>
                <w:rFonts w:eastAsia="Times New Roman" w:cs="Calibri"/>
                <w:color w:val="000000"/>
                <w:sz w:val="16"/>
                <w:szCs w:val="16"/>
              </w:rPr>
              <w:t>843</w:t>
            </w:r>
          </w:p>
        </w:tc>
        <w:tc>
          <w:tcPr>
            <w:tcW w:w="1276" w:type="dxa"/>
            <w:shd w:val="clear" w:color="auto" w:fill="auto"/>
            <w:vAlign w:val="center"/>
            <w:hideMark/>
          </w:tcPr>
          <w:p w14:paraId="4B85F4A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D077E2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37EEBE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72C685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£842,992.15</w:t>
            </w:r>
          </w:p>
        </w:tc>
        <w:tc>
          <w:tcPr>
            <w:tcW w:w="1561" w:type="dxa"/>
            <w:shd w:val="clear" w:color="auto" w:fill="auto"/>
            <w:vAlign w:val="center"/>
            <w:hideMark/>
          </w:tcPr>
          <w:p w14:paraId="0DAAA0C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141B0AC" w14:textId="77777777" w:rsidTr="00780608">
        <w:trPr>
          <w:trHeight w:val="552"/>
        </w:trPr>
        <w:tc>
          <w:tcPr>
            <w:tcW w:w="1984" w:type="dxa"/>
            <w:shd w:val="clear" w:color="auto" w:fill="auto"/>
            <w:vAlign w:val="center"/>
            <w:hideMark/>
          </w:tcPr>
          <w:p w14:paraId="057FA32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Igloo Energy Supply Ltd</w:t>
            </w:r>
          </w:p>
        </w:tc>
        <w:tc>
          <w:tcPr>
            <w:tcW w:w="1275" w:type="dxa"/>
            <w:shd w:val="clear" w:color="auto" w:fill="auto"/>
            <w:vAlign w:val="center"/>
            <w:hideMark/>
          </w:tcPr>
          <w:p w14:paraId="0CA40284" w14:textId="127337A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301</w:t>
            </w:r>
            <w:r>
              <w:rPr>
                <w:rFonts w:eastAsia="Times New Roman" w:cs="Calibri"/>
                <w:color w:val="000000"/>
                <w:sz w:val="16"/>
                <w:szCs w:val="16"/>
              </w:rPr>
              <w:t>,</w:t>
            </w:r>
            <w:r w:rsidRPr="002E3196">
              <w:rPr>
                <w:rFonts w:eastAsia="Times New Roman" w:cs="Calibri"/>
                <w:color w:val="000000"/>
                <w:sz w:val="16"/>
                <w:szCs w:val="16"/>
              </w:rPr>
              <w:t>909</w:t>
            </w:r>
          </w:p>
        </w:tc>
        <w:tc>
          <w:tcPr>
            <w:tcW w:w="1276" w:type="dxa"/>
            <w:shd w:val="clear" w:color="auto" w:fill="auto"/>
            <w:vAlign w:val="center"/>
            <w:hideMark/>
          </w:tcPr>
          <w:p w14:paraId="0B013D86"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9A200A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700626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4CD0CA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96B0B5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44FB803" w14:textId="77777777" w:rsidTr="00780608">
        <w:trPr>
          <w:trHeight w:val="300"/>
        </w:trPr>
        <w:tc>
          <w:tcPr>
            <w:tcW w:w="1984" w:type="dxa"/>
            <w:shd w:val="clear" w:color="auto" w:fill="auto"/>
            <w:vAlign w:val="center"/>
            <w:hideMark/>
          </w:tcPr>
          <w:p w14:paraId="20237520"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Limejump</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0B5120C6" w14:textId="382C10B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150</w:t>
            </w:r>
          </w:p>
        </w:tc>
        <w:tc>
          <w:tcPr>
            <w:tcW w:w="1276" w:type="dxa"/>
            <w:shd w:val="clear" w:color="auto" w:fill="auto"/>
            <w:vAlign w:val="center"/>
            <w:hideMark/>
          </w:tcPr>
          <w:p w14:paraId="4262FEBB" w14:textId="77E6888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3</w:t>
            </w:r>
            <w:r>
              <w:rPr>
                <w:rFonts w:eastAsia="Times New Roman" w:cs="Calibri"/>
                <w:color w:val="000000"/>
                <w:sz w:val="16"/>
                <w:szCs w:val="16"/>
              </w:rPr>
              <w:t>,</w:t>
            </w:r>
            <w:r w:rsidRPr="005A4A5A">
              <w:rPr>
                <w:rFonts w:eastAsia="Times New Roman" w:cs="Calibri"/>
                <w:color w:val="000000"/>
                <w:sz w:val="16"/>
                <w:szCs w:val="16"/>
              </w:rPr>
              <w:t>150</w:t>
            </w:r>
          </w:p>
        </w:tc>
        <w:tc>
          <w:tcPr>
            <w:tcW w:w="1418" w:type="dxa"/>
            <w:shd w:val="clear" w:color="auto" w:fill="auto"/>
            <w:vAlign w:val="center"/>
            <w:hideMark/>
          </w:tcPr>
          <w:p w14:paraId="6AD32B9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23D24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418</w:t>
            </w:r>
          </w:p>
        </w:tc>
        <w:tc>
          <w:tcPr>
            <w:tcW w:w="1701" w:type="dxa"/>
            <w:shd w:val="clear" w:color="auto" w:fill="auto"/>
            <w:vAlign w:val="center"/>
            <w:hideMark/>
          </w:tcPr>
          <w:p w14:paraId="3EAEA6C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D42184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53AAF36" w14:textId="77777777" w:rsidTr="00780608">
        <w:trPr>
          <w:trHeight w:val="301"/>
        </w:trPr>
        <w:tc>
          <w:tcPr>
            <w:tcW w:w="1984" w:type="dxa"/>
            <w:shd w:val="clear" w:color="auto" w:fill="auto"/>
            <w:vAlign w:val="center"/>
            <w:hideMark/>
          </w:tcPr>
          <w:p w14:paraId="115324A2"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Logicor</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3DB110A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179</w:t>
            </w:r>
          </w:p>
        </w:tc>
        <w:tc>
          <w:tcPr>
            <w:tcW w:w="1276" w:type="dxa"/>
            <w:shd w:val="clear" w:color="auto" w:fill="auto"/>
            <w:vAlign w:val="center"/>
            <w:hideMark/>
          </w:tcPr>
          <w:p w14:paraId="4CD89A2E"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C9FA37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34DD98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C9EE1B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£8,958.95</w:t>
            </w:r>
          </w:p>
        </w:tc>
        <w:tc>
          <w:tcPr>
            <w:tcW w:w="1561" w:type="dxa"/>
            <w:shd w:val="clear" w:color="auto" w:fill="auto"/>
            <w:vAlign w:val="center"/>
            <w:hideMark/>
          </w:tcPr>
          <w:p w14:paraId="564602D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A979821" w14:textId="77777777" w:rsidTr="00780608">
        <w:trPr>
          <w:trHeight w:val="301"/>
        </w:trPr>
        <w:tc>
          <w:tcPr>
            <w:tcW w:w="1984" w:type="dxa"/>
            <w:shd w:val="clear" w:color="auto" w:fill="auto"/>
            <w:vAlign w:val="center"/>
            <w:hideMark/>
          </w:tcPr>
          <w:p w14:paraId="7760776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MA Energy Ltd</w:t>
            </w:r>
          </w:p>
        </w:tc>
        <w:tc>
          <w:tcPr>
            <w:tcW w:w="1275" w:type="dxa"/>
            <w:shd w:val="clear" w:color="auto" w:fill="auto"/>
            <w:vAlign w:val="center"/>
            <w:hideMark/>
          </w:tcPr>
          <w:p w14:paraId="4AD224AE" w14:textId="2DA9F5A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26</w:t>
            </w:r>
            <w:r>
              <w:rPr>
                <w:rFonts w:eastAsia="Times New Roman" w:cs="Calibri"/>
                <w:color w:val="000000"/>
                <w:sz w:val="16"/>
                <w:szCs w:val="16"/>
              </w:rPr>
              <w:t>,</w:t>
            </w:r>
            <w:r w:rsidRPr="002E3196">
              <w:rPr>
                <w:rFonts w:eastAsia="Times New Roman" w:cs="Calibri"/>
                <w:color w:val="000000"/>
                <w:sz w:val="16"/>
                <w:szCs w:val="16"/>
              </w:rPr>
              <w:t>880</w:t>
            </w:r>
          </w:p>
        </w:tc>
        <w:tc>
          <w:tcPr>
            <w:tcW w:w="1276" w:type="dxa"/>
            <w:shd w:val="clear" w:color="auto" w:fill="auto"/>
            <w:vAlign w:val="center"/>
            <w:hideMark/>
          </w:tcPr>
          <w:p w14:paraId="7AD5F4C2"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D1BB69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B39232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A06C76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£256,000.00</w:t>
            </w:r>
          </w:p>
        </w:tc>
        <w:tc>
          <w:tcPr>
            <w:tcW w:w="1561" w:type="dxa"/>
            <w:shd w:val="clear" w:color="auto" w:fill="auto"/>
            <w:vAlign w:val="center"/>
            <w:hideMark/>
          </w:tcPr>
          <w:p w14:paraId="011D207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£150,000.00</w:t>
            </w:r>
          </w:p>
        </w:tc>
      </w:tr>
      <w:tr w:rsidR="00036B8A" w:rsidRPr="006B3AC6" w14:paraId="2DBC45F0" w14:textId="77777777" w:rsidTr="00780608">
        <w:trPr>
          <w:trHeight w:val="301"/>
        </w:trPr>
        <w:tc>
          <w:tcPr>
            <w:tcW w:w="1984" w:type="dxa"/>
            <w:shd w:val="clear" w:color="auto" w:fill="auto"/>
            <w:vAlign w:val="center"/>
            <w:hideMark/>
          </w:tcPr>
          <w:p w14:paraId="14B3E7B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lastRenderedPageBreak/>
              <w:t>Marble Power Ltd</w:t>
            </w:r>
          </w:p>
        </w:tc>
        <w:tc>
          <w:tcPr>
            <w:tcW w:w="1275" w:type="dxa"/>
            <w:shd w:val="clear" w:color="auto" w:fill="auto"/>
            <w:vAlign w:val="center"/>
            <w:hideMark/>
          </w:tcPr>
          <w:p w14:paraId="54CDBE2F" w14:textId="1D54AEC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119</w:t>
            </w:r>
            <w:r>
              <w:rPr>
                <w:rFonts w:eastAsia="Times New Roman" w:cs="Calibri"/>
                <w:color w:val="000000"/>
                <w:sz w:val="16"/>
                <w:szCs w:val="16"/>
              </w:rPr>
              <w:t>,</w:t>
            </w:r>
            <w:r w:rsidRPr="002E3196">
              <w:rPr>
                <w:rFonts w:eastAsia="Times New Roman" w:cs="Calibri"/>
                <w:color w:val="000000"/>
                <w:sz w:val="16"/>
                <w:szCs w:val="16"/>
              </w:rPr>
              <w:t>551</w:t>
            </w:r>
          </w:p>
        </w:tc>
        <w:tc>
          <w:tcPr>
            <w:tcW w:w="1276" w:type="dxa"/>
            <w:shd w:val="clear" w:color="auto" w:fill="auto"/>
            <w:vAlign w:val="center"/>
            <w:hideMark/>
          </w:tcPr>
          <w:p w14:paraId="7405F553"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3A172B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3BA3F7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B220E3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£2,571,394.28</w:t>
            </w:r>
          </w:p>
        </w:tc>
        <w:tc>
          <w:tcPr>
            <w:tcW w:w="1561" w:type="dxa"/>
            <w:shd w:val="clear" w:color="auto" w:fill="auto"/>
            <w:vAlign w:val="center"/>
            <w:hideMark/>
          </w:tcPr>
          <w:p w14:paraId="048897E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£3,440,262.34</w:t>
            </w:r>
          </w:p>
        </w:tc>
      </w:tr>
      <w:tr w:rsidR="00036B8A" w:rsidRPr="006B3AC6" w14:paraId="77E38952" w14:textId="77777777" w:rsidTr="00780608">
        <w:trPr>
          <w:trHeight w:val="552"/>
        </w:trPr>
        <w:tc>
          <w:tcPr>
            <w:tcW w:w="1984" w:type="dxa"/>
            <w:shd w:val="clear" w:color="auto" w:fill="auto"/>
            <w:vAlign w:val="center"/>
            <w:hideMark/>
          </w:tcPr>
          <w:p w14:paraId="2AD3CFD2"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Maxen</w:t>
            </w:r>
            <w:proofErr w:type="spellEnd"/>
            <w:r w:rsidRPr="002E3196">
              <w:rPr>
                <w:rFonts w:eastAsia="Times New Roman" w:cs="Calibri"/>
                <w:color w:val="000000"/>
                <w:sz w:val="16"/>
                <w:szCs w:val="16"/>
              </w:rPr>
              <w:t xml:space="preserve"> Power supply Ltd</w:t>
            </w:r>
          </w:p>
        </w:tc>
        <w:tc>
          <w:tcPr>
            <w:tcW w:w="1275" w:type="dxa"/>
            <w:shd w:val="clear" w:color="auto" w:fill="auto"/>
            <w:vAlign w:val="center"/>
            <w:hideMark/>
          </w:tcPr>
          <w:p w14:paraId="1AD877A5" w14:textId="009DF22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w:t>
            </w:r>
            <w:r>
              <w:rPr>
                <w:rFonts w:eastAsia="Times New Roman" w:cs="Calibri"/>
                <w:color w:val="000000"/>
                <w:sz w:val="16"/>
                <w:szCs w:val="16"/>
              </w:rPr>
              <w:t>,</w:t>
            </w:r>
            <w:r w:rsidRPr="002E3196">
              <w:rPr>
                <w:rFonts w:eastAsia="Times New Roman" w:cs="Calibri"/>
                <w:color w:val="000000"/>
                <w:sz w:val="16"/>
                <w:szCs w:val="16"/>
              </w:rPr>
              <w:t>484</w:t>
            </w:r>
          </w:p>
        </w:tc>
        <w:tc>
          <w:tcPr>
            <w:tcW w:w="1276" w:type="dxa"/>
            <w:shd w:val="clear" w:color="auto" w:fill="auto"/>
            <w:vAlign w:val="center"/>
            <w:hideMark/>
          </w:tcPr>
          <w:p w14:paraId="7D72ABEF"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33AFC7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8F438D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C34B71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£524,724.21</w:t>
            </w:r>
          </w:p>
        </w:tc>
        <w:tc>
          <w:tcPr>
            <w:tcW w:w="1561" w:type="dxa"/>
            <w:shd w:val="clear" w:color="auto" w:fill="auto"/>
            <w:vAlign w:val="center"/>
            <w:hideMark/>
          </w:tcPr>
          <w:p w14:paraId="1D60CF4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96B9232" w14:textId="77777777" w:rsidTr="00780608">
        <w:trPr>
          <w:trHeight w:val="300"/>
        </w:trPr>
        <w:tc>
          <w:tcPr>
            <w:tcW w:w="1984" w:type="dxa"/>
            <w:shd w:val="clear" w:color="auto" w:fill="auto"/>
            <w:vAlign w:val="center"/>
            <w:hideMark/>
          </w:tcPr>
          <w:p w14:paraId="6F18057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Mississippi Energy Ltd</w:t>
            </w:r>
          </w:p>
        </w:tc>
        <w:tc>
          <w:tcPr>
            <w:tcW w:w="1275" w:type="dxa"/>
            <w:shd w:val="clear" w:color="auto" w:fill="auto"/>
            <w:vAlign w:val="center"/>
            <w:hideMark/>
          </w:tcPr>
          <w:p w14:paraId="0796E86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p>
        </w:tc>
        <w:tc>
          <w:tcPr>
            <w:tcW w:w="1276" w:type="dxa"/>
            <w:shd w:val="clear" w:color="auto" w:fill="auto"/>
            <w:vAlign w:val="center"/>
            <w:hideMark/>
          </w:tcPr>
          <w:p w14:paraId="435D5044"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DDD0C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43C501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8D97D5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£250.25</w:t>
            </w:r>
          </w:p>
        </w:tc>
        <w:tc>
          <w:tcPr>
            <w:tcW w:w="1561" w:type="dxa"/>
            <w:shd w:val="clear" w:color="auto" w:fill="auto"/>
            <w:vAlign w:val="center"/>
            <w:hideMark/>
          </w:tcPr>
          <w:p w14:paraId="3AA942A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5647267" w14:textId="77777777" w:rsidTr="00780608">
        <w:trPr>
          <w:trHeight w:val="301"/>
        </w:trPr>
        <w:tc>
          <w:tcPr>
            <w:tcW w:w="1984" w:type="dxa"/>
            <w:shd w:val="clear" w:color="auto" w:fill="auto"/>
            <w:vAlign w:val="center"/>
            <w:hideMark/>
          </w:tcPr>
          <w:p w14:paraId="2ED48A9E"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MoneyPlus</w:t>
            </w:r>
            <w:proofErr w:type="spellEnd"/>
            <w:r w:rsidRPr="002E3196">
              <w:rPr>
                <w:rFonts w:eastAsia="Times New Roman" w:cs="Calibri"/>
                <w:color w:val="000000"/>
                <w:sz w:val="16"/>
                <w:szCs w:val="16"/>
              </w:rPr>
              <w:t xml:space="preserve"> Energy</w:t>
            </w:r>
          </w:p>
        </w:tc>
        <w:tc>
          <w:tcPr>
            <w:tcW w:w="1275" w:type="dxa"/>
            <w:shd w:val="clear" w:color="auto" w:fill="auto"/>
            <w:vAlign w:val="center"/>
            <w:hideMark/>
          </w:tcPr>
          <w:p w14:paraId="2AD68C04" w14:textId="202CDBA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w:t>
            </w:r>
            <w:r>
              <w:rPr>
                <w:rFonts w:eastAsia="Times New Roman" w:cs="Calibri"/>
                <w:color w:val="000000"/>
                <w:sz w:val="16"/>
                <w:szCs w:val="16"/>
              </w:rPr>
              <w:t>,</w:t>
            </w:r>
            <w:r w:rsidRPr="002E3196">
              <w:rPr>
                <w:rFonts w:eastAsia="Times New Roman" w:cs="Calibri"/>
                <w:color w:val="000000"/>
                <w:sz w:val="16"/>
                <w:szCs w:val="16"/>
              </w:rPr>
              <w:t>545</w:t>
            </w:r>
          </w:p>
        </w:tc>
        <w:tc>
          <w:tcPr>
            <w:tcW w:w="1276" w:type="dxa"/>
            <w:shd w:val="clear" w:color="auto" w:fill="auto"/>
            <w:vAlign w:val="center"/>
            <w:hideMark/>
          </w:tcPr>
          <w:p w14:paraId="03C64D46"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698F256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39B02B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CC3EA9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30B80F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FB34A29" w14:textId="77777777" w:rsidTr="00780608">
        <w:trPr>
          <w:trHeight w:hRule="exact" w:val="57"/>
        </w:trPr>
        <w:tc>
          <w:tcPr>
            <w:tcW w:w="1984" w:type="dxa"/>
            <w:vMerge w:val="restart"/>
            <w:shd w:val="clear" w:color="auto" w:fill="auto"/>
            <w:vAlign w:val="center"/>
            <w:hideMark/>
          </w:tcPr>
          <w:p w14:paraId="198596A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MVV Environment Services  Ltd</w:t>
            </w:r>
          </w:p>
        </w:tc>
        <w:tc>
          <w:tcPr>
            <w:tcW w:w="1275" w:type="dxa"/>
            <w:vMerge w:val="restart"/>
            <w:shd w:val="clear" w:color="auto" w:fill="auto"/>
            <w:vAlign w:val="center"/>
            <w:hideMark/>
          </w:tcPr>
          <w:p w14:paraId="34F0AE0D" w14:textId="66F7120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w:t>
            </w:r>
            <w:r>
              <w:rPr>
                <w:rFonts w:eastAsia="Times New Roman" w:cs="Calibri"/>
                <w:color w:val="000000"/>
                <w:sz w:val="16"/>
                <w:szCs w:val="16"/>
              </w:rPr>
              <w:t>,</w:t>
            </w:r>
            <w:r w:rsidRPr="002E3196">
              <w:rPr>
                <w:rFonts w:eastAsia="Times New Roman" w:cs="Calibri"/>
                <w:color w:val="000000"/>
                <w:sz w:val="16"/>
                <w:szCs w:val="16"/>
              </w:rPr>
              <w:t>230</w:t>
            </w:r>
          </w:p>
        </w:tc>
        <w:tc>
          <w:tcPr>
            <w:tcW w:w="1276" w:type="dxa"/>
            <w:vMerge w:val="restart"/>
            <w:shd w:val="clear" w:color="auto" w:fill="auto"/>
            <w:vAlign w:val="center"/>
            <w:hideMark/>
          </w:tcPr>
          <w:p w14:paraId="1052037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vMerge w:val="restart"/>
            <w:shd w:val="clear" w:color="auto" w:fill="auto"/>
            <w:vAlign w:val="center"/>
            <w:hideMark/>
          </w:tcPr>
          <w:p w14:paraId="355B9E6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vMerge w:val="restart"/>
            <w:shd w:val="clear" w:color="auto" w:fill="auto"/>
            <w:vAlign w:val="center"/>
            <w:hideMark/>
          </w:tcPr>
          <w:p w14:paraId="16D9D6A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vMerge w:val="restart"/>
            <w:shd w:val="clear" w:color="auto" w:fill="auto"/>
            <w:vAlign w:val="center"/>
            <w:hideMark/>
          </w:tcPr>
          <w:p w14:paraId="3E0B8AD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£361,861.50</w:t>
            </w:r>
          </w:p>
        </w:tc>
        <w:tc>
          <w:tcPr>
            <w:tcW w:w="1561" w:type="dxa"/>
            <w:vMerge w:val="restart"/>
            <w:shd w:val="clear" w:color="auto" w:fill="auto"/>
            <w:vAlign w:val="center"/>
            <w:hideMark/>
          </w:tcPr>
          <w:p w14:paraId="5BDA6EB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5713424" w14:textId="77777777" w:rsidTr="00780608">
        <w:trPr>
          <w:trHeight w:val="480"/>
        </w:trPr>
        <w:tc>
          <w:tcPr>
            <w:tcW w:w="1984" w:type="dxa"/>
            <w:vMerge/>
            <w:vAlign w:val="center"/>
            <w:hideMark/>
          </w:tcPr>
          <w:p w14:paraId="5C30EE4B" w14:textId="77777777" w:rsidR="00036B8A" w:rsidRPr="002E3196" w:rsidRDefault="00036B8A" w:rsidP="00C3023D">
            <w:pPr>
              <w:spacing w:after="0" w:line="240" w:lineRule="auto"/>
              <w:rPr>
                <w:rFonts w:eastAsia="Times New Roman" w:cs="Calibri"/>
                <w:color w:val="000000"/>
                <w:sz w:val="16"/>
                <w:szCs w:val="16"/>
              </w:rPr>
            </w:pPr>
          </w:p>
        </w:tc>
        <w:tc>
          <w:tcPr>
            <w:tcW w:w="1275" w:type="dxa"/>
            <w:vMerge/>
            <w:vAlign w:val="center"/>
            <w:hideMark/>
          </w:tcPr>
          <w:p w14:paraId="5C32A68F" w14:textId="77777777" w:rsidR="00036B8A" w:rsidRPr="002E3196" w:rsidRDefault="00036B8A" w:rsidP="00780608">
            <w:pPr>
              <w:spacing w:after="0" w:line="240" w:lineRule="auto"/>
              <w:jc w:val="right"/>
              <w:rPr>
                <w:rFonts w:eastAsia="Times New Roman" w:cs="Calibri"/>
                <w:color w:val="000000"/>
                <w:sz w:val="16"/>
                <w:szCs w:val="16"/>
              </w:rPr>
            </w:pPr>
          </w:p>
        </w:tc>
        <w:tc>
          <w:tcPr>
            <w:tcW w:w="1276" w:type="dxa"/>
            <w:vMerge/>
            <w:vAlign w:val="center"/>
            <w:hideMark/>
          </w:tcPr>
          <w:p w14:paraId="1E2CAAB2" w14:textId="77777777" w:rsidR="00036B8A" w:rsidRPr="005A4A5A" w:rsidRDefault="00036B8A" w:rsidP="00780608">
            <w:pPr>
              <w:spacing w:after="0" w:line="240" w:lineRule="auto"/>
              <w:jc w:val="right"/>
              <w:rPr>
                <w:rFonts w:eastAsia="Times New Roman" w:cs="Calibri"/>
                <w:color w:val="000000"/>
                <w:sz w:val="16"/>
                <w:szCs w:val="16"/>
              </w:rPr>
            </w:pPr>
          </w:p>
        </w:tc>
        <w:tc>
          <w:tcPr>
            <w:tcW w:w="1418" w:type="dxa"/>
            <w:vMerge/>
            <w:vAlign w:val="center"/>
            <w:hideMark/>
          </w:tcPr>
          <w:p w14:paraId="329D33F9" w14:textId="77777777" w:rsidR="00036B8A" w:rsidRPr="002E3196" w:rsidRDefault="00036B8A" w:rsidP="00780608">
            <w:pPr>
              <w:spacing w:after="0" w:line="240" w:lineRule="auto"/>
              <w:jc w:val="right"/>
              <w:rPr>
                <w:rFonts w:eastAsia="Times New Roman" w:cs="Calibri"/>
                <w:color w:val="000000"/>
                <w:sz w:val="16"/>
                <w:szCs w:val="16"/>
              </w:rPr>
            </w:pPr>
          </w:p>
        </w:tc>
        <w:tc>
          <w:tcPr>
            <w:tcW w:w="1417" w:type="dxa"/>
            <w:vMerge/>
            <w:vAlign w:val="center"/>
            <w:hideMark/>
          </w:tcPr>
          <w:p w14:paraId="53DFB1F8" w14:textId="77777777" w:rsidR="00036B8A" w:rsidRPr="002E3196" w:rsidRDefault="00036B8A" w:rsidP="00780608">
            <w:pPr>
              <w:spacing w:after="0" w:line="240" w:lineRule="auto"/>
              <w:jc w:val="right"/>
              <w:rPr>
                <w:rFonts w:eastAsia="Times New Roman" w:cs="Calibri"/>
                <w:color w:val="000000"/>
                <w:sz w:val="16"/>
                <w:szCs w:val="16"/>
              </w:rPr>
            </w:pPr>
          </w:p>
        </w:tc>
        <w:tc>
          <w:tcPr>
            <w:tcW w:w="1701" w:type="dxa"/>
            <w:vMerge/>
            <w:vAlign w:val="center"/>
            <w:hideMark/>
          </w:tcPr>
          <w:p w14:paraId="47BB611E" w14:textId="77777777" w:rsidR="00036B8A" w:rsidRPr="002E3196" w:rsidRDefault="00036B8A" w:rsidP="00780608">
            <w:pPr>
              <w:spacing w:after="0" w:line="240" w:lineRule="auto"/>
              <w:jc w:val="right"/>
              <w:rPr>
                <w:rFonts w:eastAsia="Times New Roman" w:cs="Calibri"/>
                <w:color w:val="000000"/>
                <w:sz w:val="16"/>
                <w:szCs w:val="16"/>
              </w:rPr>
            </w:pPr>
          </w:p>
        </w:tc>
        <w:tc>
          <w:tcPr>
            <w:tcW w:w="1561" w:type="dxa"/>
            <w:vMerge/>
            <w:vAlign w:val="center"/>
            <w:hideMark/>
          </w:tcPr>
          <w:p w14:paraId="7A89968F" w14:textId="77777777" w:rsidR="00036B8A" w:rsidRPr="002E3196" w:rsidRDefault="00036B8A" w:rsidP="00780608">
            <w:pPr>
              <w:spacing w:after="0" w:line="240" w:lineRule="auto"/>
              <w:jc w:val="right"/>
              <w:rPr>
                <w:rFonts w:eastAsia="Times New Roman" w:cs="Calibri"/>
                <w:color w:val="000000"/>
                <w:sz w:val="16"/>
                <w:szCs w:val="16"/>
              </w:rPr>
            </w:pPr>
          </w:p>
        </w:tc>
      </w:tr>
      <w:tr w:rsidR="00036B8A" w:rsidRPr="006B3AC6" w14:paraId="625C31ED" w14:textId="77777777" w:rsidTr="00780608">
        <w:trPr>
          <w:trHeight w:val="301"/>
        </w:trPr>
        <w:tc>
          <w:tcPr>
            <w:tcW w:w="1984" w:type="dxa"/>
            <w:shd w:val="clear" w:color="auto" w:fill="auto"/>
            <w:vAlign w:val="center"/>
            <w:hideMark/>
          </w:tcPr>
          <w:p w14:paraId="22EA2265"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Nabuh</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0B3643F4" w14:textId="71AE797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63</w:t>
            </w:r>
            <w:r>
              <w:rPr>
                <w:rFonts w:eastAsia="Times New Roman" w:cs="Calibri"/>
                <w:color w:val="000000"/>
                <w:sz w:val="16"/>
                <w:szCs w:val="16"/>
              </w:rPr>
              <w:t>,</w:t>
            </w:r>
            <w:r w:rsidRPr="002E3196">
              <w:rPr>
                <w:rFonts w:eastAsia="Times New Roman" w:cs="Calibri"/>
                <w:color w:val="000000"/>
                <w:sz w:val="16"/>
                <w:szCs w:val="16"/>
              </w:rPr>
              <w:t>122</w:t>
            </w:r>
          </w:p>
        </w:tc>
        <w:tc>
          <w:tcPr>
            <w:tcW w:w="1276" w:type="dxa"/>
            <w:shd w:val="clear" w:color="auto" w:fill="auto"/>
            <w:vAlign w:val="center"/>
            <w:hideMark/>
          </w:tcPr>
          <w:p w14:paraId="3BD9912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4A250C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20179F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DB1083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B95201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66F06B9" w14:textId="77777777" w:rsidTr="00780608">
        <w:trPr>
          <w:trHeight w:val="301"/>
        </w:trPr>
        <w:tc>
          <w:tcPr>
            <w:tcW w:w="1984" w:type="dxa"/>
            <w:shd w:val="clear" w:color="auto" w:fill="auto"/>
            <w:vAlign w:val="center"/>
            <w:hideMark/>
          </w:tcPr>
          <w:p w14:paraId="05F44E8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Neon Reef Ltd</w:t>
            </w:r>
          </w:p>
        </w:tc>
        <w:tc>
          <w:tcPr>
            <w:tcW w:w="1275" w:type="dxa"/>
            <w:shd w:val="clear" w:color="auto" w:fill="auto"/>
            <w:vAlign w:val="center"/>
            <w:hideMark/>
          </w:tcPr>
          <w:p w14:paraId="08758470" w14:textId="1A9E01C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w:t>
            </w:r>
            <w:r>
              <w:rPr>
                <w:rFonts w:eastAsia="Times New Roman" w:cs="Calibri"/>
                <w:color w:val="000000"/>
                <w:sz w:val="16"/>
                <w:szCs w:val="16"/>
              </w:rPr>
              <w:t>,</w:t>
            </w:r>
            <w:r w:rsidRPr="002E3196">
              <w:rPr>
                <w:rFonts w:eastAsia="Times New Roman" w:cs="Calibri"/>
                <w:color w:val="000000"/>
                <w:sz w:val="16"/>
                <w:szCs w:val="16"/>
              </w:rPr>
              <w:t>431</w:t>
            </w:r>
          </w:p>
        </w:tc>
        <w:tc>
          <w:tcPr>
            <w:tcW w:w="1276" w:type="dxa"/>
            <w:shd w:val="clear" w:color="auto" w:fill="auto"/>
            <w:vAlign w:val="center"/>
            <w:hideMark/>
          </w:tcPr>
          <w:p w14:paraId="1F6665A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6575F0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0E5B72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7B0600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460FF5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754A32C" w14:textId="77777777" w:rsidTr="00780608">
        <w:trPr>
          <w:trHeight w:val="301"/>
        </w:trPr>
        <w:tc>
          <w:tcPr>
            <w:tcW w:w="1984" w:type="dxa"/>
            <w:shd w:val="clear" w:color="auto" w:fill="auto"/>
            <w:vAlign w:val="center"/>
            <w:hideMark/>
          </w:tcPr>
          <w:p w14:paraId="4C61C5B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Npower Ltd</w:t>
            </w:r>
          </w:p>
        </w:tc>
        <w:tc>
          <w:tcPr>
            <w:tcW w:w="1275" w:type="dxa"/>
            <w:shd w:val="clear" w:color="auto" w:fill="auto"/>
            <w:vAlign w:val="center"/>
            <w:hideMark/>
          </w:tcPr>
          <w:p w14:paraId="5DE9F303" w14:textId="64BE1F4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w:t>
            </w:r>
            <w:r>
              <w:rPr>
                <w:rFonts w:eastAsia="Times New Roman" w:cs="Calibri"/>
                <w:color w:val="000000"/>
                <w:sz w:val="16"/>
                <w:szCs w:val="16"/>
              </w:rPr>
              <w:t>,</w:t>
            </w:r>
            <w:r w:rsidRPr="002E3196">
              <w:rPr>
                <w:rFonts w:eastAsia="Times New Roman" w:cs="Calibri"/>
                <w:color w:val="000000"/>
                <w:sz w:val="16"/>
                <w:szCs w:val="16"/>
              </w:rPr>
              <w:t>509</w:t>
            </w:r>
            <w:r>
              <w:rPr>
                <w:rFonts w:eastAsia="Times New Roman" w:cs="Calibri"/>
                <w:color w:val="000000"/>
                <w:sz w:val="16"/>
                <w:szCs w:val="16"/>
              </w:rPr>
              <w:t>,</w:t>
            </w:r>
            <w:r w:rsidRPr="002E3196">
              <w:rPr>
                <w:rFonts w:eastAsia="Times New Roman" w:cs="Calibri"/>
                <w:color w:val="000000"/>
                <w:sz w:val="16"/>
                <w:szCs w:val="16"/>
              </w:rPr>
              <w:t>875</w:t>
            </w:r>
          </w:p>
        </w:tc>
        <w:tc>
          <w:tcPr>
            <w:tcW w:w="1276" w:type="dxa"/>
            <w:shd w:val="clear" w:color="auto" w:fill="auto"/>
            <w:vAlign w:val="center"/>
            <w:hideMark/>
          </w:tcPr>
          <w:p w14:paraId="731CA084" w14:textId="70B21D2A"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8</w:t>
            </w:r>
            <w:r>
              <w:rPr>
                <w:rFonts w:eastAsia="Times New Roman" w:cs="Calibri"/>
                <w:color w:val="000000"/>
                <w:sz w:val="16"/>
                <w:szCs w:val="16"/>
              </w:rPr>
              <w:t>,</w:t>
            </w:r>
            <w:r w:rsidRPr="005A4A5A">
              <w:rPr>
                <w:rFonts w:eastAsia="Times New Roman" w:cs="Calibri"/>
                <w:color w:val="000000"/>
                <w:sz w:val="16"/>
                <w:szCs w:val="16"/>
              </w:rPr>
              <w:t>431</w:t>
            </w:r>
            <w:r>
              <w:rPr>
                <w:rFonts w:eastAsia="Times New Roman" w:cs="Calibri"/>
                <w:color w:val="000000"/>
                <w:sz w:val="16"/>
                <w:szCs w:val="16"/>
              </w:rPr>
              <w:t>,</w:t>
            </w:r>
            <w:r w:rsidRPr="005A4A5A">
              <w:rPr>
                <w:rFonts w:eastAsia="Times New Roman" w:cs="Calibri"/>
                <w:color w:val="000000"/>
                <w:sz w:val="16"/>
                <w:szCs w:val="16"/>
              </w:rPr>
              <w:t>854</w:t>
            </w:r>
          </w:p>
        </w:tc>
        <w:tc>
          <w:tcPr>
            <w:tcW w:w="1418" w:type="dxa"/>
            <w:shd w:val="clear" w:color="auto" w:fill="auto"/>
            <w:vAlign w:val="center"/>
            <w:hideMark/>
          </w:tcPr>
          <w:p w14:paraId="2C46CD68" w14:textId="474D822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207</w:t>
            </w:r>
          </w:p>
        </w:tc>
        <w:tc>
          <w:tcPr>
            <w:tcW w:w="1417" w:type="dxa"/>
            <w:shd w:val="clear" w:color="auto" w:fill="auto"/>
            <w:vAlign w:val="center"/>
            <w:hideMark/>
          </w:tcPr>
          <w:p w14:paraId="3342E686" w14:textId="5803396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w:t>
            </w:r>
            <w:r>
              <w:rPr>
                <w:rFonts w:eastAsia="Times New Roman" w:cs="Calibri"/>
                <w:color w:val="000000"/>
                <w:sz w:val="16"/>
                <w:szCs w:val="16"/>
              </w:rPr>
              <w:t>,</w:t>
            </w:r>
            <w:r w:rsidRPr="002E3196">
              <w:rPr>
                <w:rFonts w:eastAsia="Times New Roman" w:cs="Calibri"/>
                <w:color w:val="000000"/>
                <w:sz w:val="16"/>
                <w:szCs w:val="16"/>
              </w:rPr>
              <w:t>007</w:t>
            </w:r>
          </w:p>
        </w:tc>
        <w:tc>
          <w:tcPr>
            <w:tcW w:w="1701" w:type="dxa"/>
            <w:shd w:val="clear" w:color="auto" w:fill="auto"/>
            <w:vAlign w:val="center"/>
            <w:hideMark/>
          </w:tcPr>
          <w:p w14:paraId="2892710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£3,904,951.05</w:t>
            </w:r>
          </w:p>
        </w:tc>
        <w:tc>
          <w:tcPr>
            <w:tcW w:w="1561" w:type="dxa"/>
            <w:shd w:val="clear" w:color="auto" w:fill="auto"/>
            <w:vAlign w:val="center"/>
            <w:hideMark/>
          </w:tcPr>
          <w:p w14:paraId="1507FFC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A647196" w14:textId="77777777" w:rsidTr="00780608">
        <w:trPr>
          <w:trHeight w:val="300"/>
        </w:trPr>
        <w:tc>
          <w:tcPr>
            <w:tcW w:w="1984" w:type="dxa"/>
            <w:shd w:val="clear" w:color="auto" w:fill="auto"/>
            <w:vAlign w:val="center"/>
            <w:hideMark/>
          </w:tcPr>
          <w:p w14:paraId="0504C2E7"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Npower Northern Ltd</w:t>
            </w:r>
          </w:p>
        </w:tc>
        <w:tc>
          <w:tcPr>
            <w:tcW w:w="1275" w:type="dxa"/>
            <w:shd w:val="clear" w:color="auto" w:fill="auto"/>
            <w:vAlign w:val="center"/>
            <w:hideMark/>
          </w:tcPr>
          <w:p w14:paraId="22B5CB65" w14:textId="63EDC39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154</w:t>
            </w:r>
            <w:r>
              <w:rPr>
                <w:rFonts w:eastAsia="Times New Roman" w:cs="Calibri"/>
                <w:color w:val="000000"/>
                <w:sz w:val="16"/>
                <w:szCs w:val="16"/>
              </w:rPr>
              <w:t>,</w:t>
            </w:r>
            <w:r w:rsidRPr="002E3196">
              <w:rPr>
                <w:rFonts w:eastAsia="Times New Roman" w:cs="Calibri"/>
                <w:color w:val="000000"/>
                <w:sz w:val="16"/>
                <w:szCs w:val="16"/>
              </w:rPr>
              <w:t>0365</w:t>
            </w:r>
          </w:p>
        </w:tc>
        <w:tc>
          <w:tcPr>
            <w:tcW w:w="1276" w:type="dxa"/>
            <w:shd w:val="clear" w:color="auto" w:fill="auto"/>
            <w:vAlign w:val="center"/>
            <w:hideMark/>
          </w:tcPr>
          <w:p w14:paraId="3348B35D" w14:textId="52074E99"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w:t>
            </w:r>
            <w:r>
              <w:rPr>
                <w:rFonts w:eastAsia="Times New Roman" w:cs="Calibri"/>
                <w:color w:val="000000"/>
                <w:sz w:val="16"/>
                <w:szCs w:val="16"/>
              </w:rPr>
              <w:t>,</w:t>
            </w:r>
            <w:r w:rsidRPr="005A4A5A">
              <w:rPr>
                <w:rFonts w:eastAsia="Times New Roman" w:cs="Calibri"/>
                <w:color w:val="000000"/>
                <w:sz w:val="16"/>
                <w:szCs w:val="16"/>
              </w:rPr>
              <w:t>526</w:t>
            </w:r>
            <w:r>
              <w:rPr>
                <w:rFonts w:eastAsia="Times New Roman" w:cs="Calibri"/>
                <w:color w:val="000000"/>
                <w:sz w:val="16"/>
                <w:szCs w:val="16"/>
              </w:rPr>
              <w:t>,</w:t>
            </w:r>
            <w:r w:rsidRPr="005A4A5A">
              <w:rPr>
                <w:rFonts w:eastAsia="Times New Roman" w:cs="Calibri"/>
                <w:color w:val="000000"/>
                <w:sz w:val="16"/>
                <w:szCs w:val="16"/>
              </w:rPr>
              <w:t>242</w:t>
            </w:r>
          </w:p>
        </w:tc>
        <w:tc>
          <w:tcPr>
            <w:tcW w:w="1418" w:type="dxa"/>
            <w:shd w:val="clear" w:color="auto" w:fill="auto"/>
            <w:vAlign w:val="center"/>
            <w:hideMark/>
          </w:tcPr>
          <w:p w14:paraId="0715D02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AE01C9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2B4FF2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£706,856.15</w:t>
            </w:r>
          </w:p>
        </w:tc>
        <w:tc>
          <w:tcPr>
            <w:tcW w:w="1561" w:type="dxa"/>
            <w:shd w:val="clear" w:color="auto" w:fill="auto"/>
            <w:vAlign w:val="center"/>
            <w:hideMark/>
          </w:tcPr>
          <w:p w14:paraId="64AD6D9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02A3881" w14:textId="77777777" w:rsidTr="00780608">
        <w:trPr>
          <w:trHeight w:val="552"/>
        </w:trPr>
        <w:tc>
          <w:tcPr>
            <w:tcW w:w="1984" w:type="dxa"/>
            <w:shd w:val="clear" w:color="auto" w:fill="auto"/>
            <w:vAlign w:val="center"/>
            <w:hideMark/>
          </w:tcPr>
          <w:p w14:paraId="1A66373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Npower Yorkshire  Ltd</w:t>
            </w:r>
          </w:p>
        </w:tc>
        <w:tc>
          <w:tcPr>
            <w:tcW w:w="1275" w:type="dxa"/>
            <w:shd w:val="clear" w:color="auto" w:fill="auto"/>
            <w:vAlign w:val="center"/>
            <w:hideMark/>
          </w:tcPr>
          <w:p w14:paraId="5E61543B" w14:textId="511C5D0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181</w:t>
            </w:r>
            <w:r>
              <w:rPr>
                <w:rFonts w:eastAsia="Times New Roman" w:cs="Calibri"/>
                <w:color w:val="000000"/>
                <w:sz w:val="16"/>
                <w:szCs w:val="16"/>
              </w:rPr>
              <w:t>,</w:t>
            </w:r>
            <w:r w:rsidRPr="002E3196">
              <w:rPr>
                <w:rFonts w:eastAsia="Times New Roman" w:cs="Calibri"/>
                <w:color w:val="000000"/>
                <w:sz w:val="16"/>
                <w:szCs w:val="16"/>
              </w:rPr>
              <w:t>251</w:t>
            </w:r>
          </w:p>
        </w:tc>
        <w:tc>
          <w:tcPr>
            <w:tcW w:w="1276" w:type="dxa"/>
            <w:shd w:val="clear" w:color="auto" w:fill="auto"/>
            <w:vAlign w:val="center"/>
            <w:hideMark/>
          </w:tcPr>
          <w:p w14:paraId="56E9430F" w14:textId="0A1382C8"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179</w:t>
            </w:r>
            <w:r>
              <w:rPr>
                <w:rFonts w:eastAsia="Times New Roman" w:cs="Calibri"/>
                <w:color w:val="000000"/>
                <w:sz w:val="16"/>
                <w:szCs w:val="16"/>
              </w:rPr>
              <w:t>,</w:t>
            </w:r>
            <w:r w:rsidRPr="005A4A5A">
              <w:rPr>
                <w:rFonts w:eastAsia="Times New Roman" w:cs="Calibri"/>
                <w:color w:val="000000"/>
                <w:sz w:val="16"/>
                <w:szCs w:val="16"/>
              </w:rPr>
              <w:t>589</w:t>
            </w:r>
          </w:p>
        </w:tc>
        <w:tc>
          <w:tcPr>
            <w:tcW w:w="1418" w:type="dxa"/>
            <w:shd w:val="clear" w:color="auto" w:fill="auto"/>
            <w:vAlign w:val="center"/>
            <w:hideMark/>
          </w:tcPr>
          <w:p w14:paraId="4DBE784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F1A2AB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9E59B4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£83,183.10</w:t>
            </w:r>
          </w:p>
        </w:tc>
        <w:tc>
          <w:tcPr>
            <w:tcW w:w="1561" w:type="dxa"/>
            <w:shd w:val="clear" w:color="auto" w:fill="auto"/>
            <w:vAlign w:val="center"/>
            <w:hideMark/>
          </w:tcPr>
          <w:p w14:paraId="0882C2B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373C8C7" w14:textId="77777777" w:rsidTr="00780608">
        <w:trPr>
          <w:trHeight w:val="301"/>
        </w:trPr>
        <w:tc>
          <w:tcPr>
            <w:tcW w:w="1984" w:type="dxa"/>
            <w:shd w:val="clear" w:color="auto" w:fill="auto"/>
            <w:vAlign w:val="center"/>
            <w:hideMark/>
          </w:tcPr>
          <w:p w14:paraId="3EC67000"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Octopus Energy Ltd</w:t>
            </w:r>
          </w:p>
        </w:tc>
        <w:tc>
          <w:tcPr>
            <w:tcW w:w="1275" w:type="dxa"/>
            <w:shd w:val="clear" w:color="auto" w:fill="auto"/>
            <w:vAlign w:val="center"/>
            <w:hideMark/>
          </w:tcPr>
          <w:p w14:paraId="5DC3803F" w14:textId="7BA969E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055</w:t>
            </w:r>
            <w:r>
              <w:rPr>
                <w:rFonts w:eastAsia="Times New Roman" w:cs="Calibri"/>
                <w:color w:val="000000"/>
                <w:sz w:val="16"/>
                <w:szCs w:val="16"/>
              </w:rPr>
              <w:t>,</w:t>
            </w:r>
            <w:r w:rsidRPr="002E3196">
              <w:rPr>
                <w:rFonts w:eastAsia="Times New Roman" w:cs="Calibri"/>
                <w:color w:val="000000"/>
                <w:sz w:val="16"/>
                <w:szCs w:val="16"/>
              </w:rPr>
              <w:t>532</w:t>
            </w:r>
          </w:p>
        </w:tc>
        <w:tc>
          <w:tcPr>
            <w:tcW w:w="1276" w:type="dxa"/>
            <w:shd w:val="clear" w:color="auto" w:fill="auto"/>
            <w:vAlign w:val="center"/>
            <w:hideMark/>
          </w:tcPr>
          <w:p w14:paraId="301BDF55" w14:textId="75A889BB"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810</w:t>
            </w:r>
            <w:r>
              <w:rPr>
                <w:rFonts w:eastAsia="Times New Roman" w:cs="Calibri"/>
                <w:color w:val="000000"/>
                <w:sz w:val="16"/>
                <w:szCs w:val="16"/>
              </w:rPr>
              <w:t>,</w:t>
            </w:r>
            <w:r w:rsidRPr="005A4A5A">
              <w:rPr>
                <w:rFonts w:eastAsia="Times New Roman" w:cs="Calibri"/>
                <w:color w:val="000000"/>
                <w:sz w:val="16"/>
                <w:szCs w:val="16"/>
              </w:rPr>
              <w:t>694</w:t>
            </w:r>
          </w:p>
        </w:tc>
        <w:tc>
          <w:tcPr>
            <w:tcW w:w="1418" w:type="dxa"/>
            <w:shd w:val="clear" w:color="auto" w:fill="auto"/>
            <w:vAlign w:val="center"/>
            <w:hideMark/>
          </w:tcPr>
          <w:p w14:paraId="38538F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8BBCAD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761A8F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£112,354,141.90</w:t>
            </w:r>
          </w:p>
        </w:tc>
        <w:tc>
          <w:tcPr>
            <w:tcW w:w="1561" w:type="dxa"/>
            <w:shd w:val="clear" w:color="auto" w:fill="auto"/>
            <w:vAlign w:val="center"/>
            <w:hideMark/>
          </w:tcPr>
          <w:p w14:paraId="589D011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843B000" w14:textId="77777777" w:rsidTr="00780608">
        <w:trPr>
          <w:trHeight w:val="301"/>
        </w:trPr>
        <w:tc>
          <w:tcPr>
            <w:tcW w:w="1984" w:type="dxa"/>
            <w:shd w:val="clear" w:color="auto" w:fill="auto"/>
            <w:vAlign w:val="center"/>
            <w:hideMark/>
          </w:tcPr>
          <w:p w14:paraId="2BEA46B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Omni Energy Ltd</w:t>
            </w:r>
          </w:p>
        </w:tc>
        <w:tc>
          <w:tcPr>
            <w:tcW w:w="1275" w:type="dxa"/>
            <w:shd w:val="clear" w:color="auto" w:fill="auto"/>
            <w:vAlign w:val="center"/>
            <w:hideMark/>
          </w:tcPr>
          <w:p w14:paraId="55A7E52C" w14:textId="5BDF353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032</w:t>
            </w:r>
          </w:p>
        </w:tc>
        <w:tc>
          <w:tcPr>
            <w:tcW w:w="1276" w:type="dxa"/>
            <w:shd w:val="clear" w:color="auto" w:fill="auto"/>
            <w:vAlign w:val="center"/>
            <w:hideMark/>
          </w:tcPr>
          <w:p w14:paraId="250FAB24" w14:textId="4147CD70"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w:t>
            </w:r>
            <w:r>
              <w:rPr>
                <w:rFonts w:eastAsia="Times New Roman" w:cs="Calibri"/>
                <w:color w:val="000000"/>
                <w:sz w:val="16"/>
                <w:szCs w:val="16"/>
              </w:rPr>
              <w:t>,</w:t>
            </w:r>
            <w:r w:rsidRPr="005A4A5A">
              <w:rPr>
                <w:rFonts w:eastAsia="Times New Roman" w:cs="Calibri"/>
                <w:color w:val="000000"/>
                <w:sz w:val="16"/>
                <w:szCs w:val="16"/>
              </w:rPr>
              <w:t>032</w:t>
            </w:r>
          </w:p>
        </w:tc>
        <w:tc>
          <w:tcPr>
            <w:tcW w:w="1418" w:type="dxa"/>
            <w:shd w:val="clear" w:color="auto" w:fill="auto"/>
            <w:vAlign w:val="center"/>
            <w:hideMark/>
          </w:tcPr>
          <w:p w14:paraId="65255BF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546156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CB0083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83883E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39F855B" w14:textId="77777777" w:rsidTr="00780608">
        <w:trPr>
          <w:trHeight w:val="552"/>
        </w:trPr>
        <w:tc>
          <w:tcPr>
            <w:tcW w:w="1984" w:type="dxa"/>
            <w:shd w:val="clear" w:color="auto" w:fill="auto"/>
            <w:vAlign w:val="center"/>
            <w:hideMark/>
          </w:tcPr>
          <w:p w14:paraId="77C3A02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Opus Energy (Corporate) Ltd</w:t>
            </w:r>
          </w:p>
        </w:tc>
        <w:tc>
          <w:tcPr>
            <w:tcW w:w="1275" w:type="dxa"/>
            <w:shd w:val="clear" w:color="auto" w:fill="auto"/>
            <w:vAlign w:val="center"/>
            <w:hideMark/>
          </w:tcPr>
          <w:p w14:paraId="26E4D6AF" w14:textId="3F59472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716</w:t>
            </w:r>
            <w:r>
              <w:rPr>
                <w:rFonts w:eastAsia="Times New Roman" w:cs="Calibri"/>
                <w:color w:val="000000"/>
                <w:sz w:val="16"/>
                <w:szCs w:val="16"/>
              </w:rPr>
              <w:t>,</w:t>
            </w:r>
            <w:r w:rsidRPr="002E3196">
              <w:rPr>
                <w:rFonts w:eastAsia="Times New Roman" w:cs="Calibri"/>
                <w:color w:val="000000"/>
                <w:sz w:val="16"/>
                <w:szCs w:val="16"/>
              </w:rPr>
              <w:t>681</w:t>
            </w:r>
          </w:p>
        </w:tc>
        <w:tc>
          <w:tcPr>
            <w:tcW w:w="1276" w:type="dxa"/>
            <w:shd w:val="clear" w:color="auto" w:fill="auto"/>
            <w:vAlign w:val="center"/>
            <w:hideMark/>
          </w:tcPr>
          <w:p w14:paraId="340CC6A0" w14:textId="4534A5C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716</w:t>
            </w:r>
            <w:r>
              <w:rPr>
                <w:rFonts w:eastAsia="Times New Roman" w:cs="Calibri"/>
                <w:color w:val="000000"/>
                <w:sz w:val="16"/>
                <w:szCs w:val="16"/>
              </w:rPr>
              <w:t>,</w:t>
            </w:r>
            <w:r w:rsidRPr="005A4A5A">
              <w:rPr>
                <w:rFonts w:eastAsia="Times New Roman" w:cs="Calibri"/>
                <w:color w:val="000000"/>
                <w:sz w:val="16"/>
                <w:szCs w:val="16"/>
              </w:rPr>
              <w:t>681</w:t>
            </w:r>
          </w:p>
        </w:tc>
        <w:tc>
          <w:tcPr>
            <w:tcW w:w="1418" w:type="dxa"/>
            <w:shd w:val="clear" w:color="auto" w:fill="auto"/>
            <w:vAlign w:val="center"/>
            <w:hideMark/>
          </w:tcPr>
          <w:p w14:paraId="692CB3C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2FAAAD8" w14:textId="58C92FC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11</w:t>
            </w:r>
            <w:r>
              <w:rPr>
                <w:rFonts w:eastAsia="Times New Roman" w:cs="Calibri"/>
                <w:color w:val="000000"/>
                <w:sz w:val="16"/>
                <w:szCs w:val="16"/>
              </w:rPr>
              <w:t>,</w:t>
            </w:r>
            <w:r w:rsidRPr="002E3196">
              <w:rPr>
                <w:rFonts w:eastAsia="Times New Roman" w:cs="Calibri"/>
                <w:color w:val="000000"/>
                <w:sz w:val="16"/>
                <w:szCs w:val="16"/>
              </w:rPr>
              <w:t>304</w:t>
            </w:r>
          </w:p>
        </w:tc>
        <w:tc>
          <w:tcPr>
            <w:tcW w:w="1701" w:type="dxa"/>
            <w:shd w:val="clear" w:color="auto" w:fill="auto"/>
            <w:vAlign w:val="center"/>
            <w:hideMark/>
          </w:tcPr>
          <w:p w14:paraId="1579057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ED3C71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737E2B9" w14:textId="77777777" w:rsidTr="00780608">
        <w:trPr>
          <w:trHeight w:val="340"/>
        </w:trPr>
        <w:tc>
          <w:tcPr>
            <w:tcW w:w="1984" w:type="dxa"/>
            <w:shd w:val="clear" w:color="auto" w:fill="auto"/>
            <w:vAlign w:val="center"/>
            <w:hideMark/>
          </w:tcPr>
          <w:p w14:paraId="09CBCC4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Opus Energy Ltd</w:t>
            </w:r>
          </w:p>
        </w:tc>
        <w:tc>
          <w:tcPr>
            <w:tcW w:w="1275" w:type="dxa"/>
            <w:shd w:val="clear" w:color="auto" w:fill="auto"/>
            <w:vAlign w:val="center"/>
            <w:hideMark/>
          </w:tcPr>
          <w:p w14:paraId="6A678512" w14:textId="162146B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761</w:t>
            </w:r>
            <w:r>
              <w:rPr>
                <w:rFonts w:eastAsia="Times New Roman" w:cs="Calibri"/>
                <w:color w:val="000000"/>
                <w:sz w:val="16"/>
                <w:szCs w:val="16"/>
              </w:rPr>
              <w:t>,</w:t>
            </w:r>
            <w:r w:rsidRPr="002E3196">
              <w:rPr>
                <w:rFonts w:eastAsia="Times New Roman" w:cs="Calibri"/>
                <w:color w:val="000000"/>
                <w:sz w:val="16"/>
                <w:szCs w:val="16"/>
              </w:rPr>
              <w:t>404</w:t>
            </w:r>
          </w:p>
        </w:tc>
        <w:tc>
          <w:tcPr>
            <w:tcW w:w="1276" w:type="dxa"/>
            <w:shd w:val="clear" w:color="auto" w:fill="auto"/>
            <w:vAlign w:val="center"/>
            <w:hideMark/>
          </w:tcPr>
          <w:p w14:paraId="2068EADE" w14:textId="572CA4F0"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761</w:t>
            </w:r>
            <w:r>
              <w:rPr>
                <w:rFonts w:eastAsia="Times New Roman" w:cs="Calibri"/>
                <w:color w:val="000000"/>
                <w:sz w:val="16"/>
                <w:szCs w:val="16"/>
              </w:rPr>
              <w:t>,</w:t>
            </w:r>
            <w:r w:rsidRPr="005A4A5A">
              <w:rPr>
                <w:rFonts w:eastAsia="Times New Roman" w:cs="Calibri"/>
                <w:color w:val="000000"/>
                <w:sz w:val="16"/>
                <w:szCs w:val="16"/>
              </w:rPr>
              <w:t>404</w:t>
            </w:r>
          </w:p>
        </w:tc>
        <w:tc>
          <w:tcPr>
            <w:tcW w:w="1418" w:type="dxa"/>
            <w:shd w:val="clear" w:color="auto" w:fill="auto"/>
            <w:vAlign w:val="center"/>
            <w:hideMark/>
          </w:tcPr>
          <w:p w14:paraId="74070CA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D7C6F5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39C8BB1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4BD602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0894BD5B" w14:textId="77777777" w:rsidTr="00780608">
        <w:trPr>
          <w:trHeight w:val="340"/>
        </w:trPr>
        <w:tc>
          <w:tcPr>
            <w:tcW w:w="1984" w:type="dxa"/>
            <w:shd w:val="clear" w:color="auto" w:fill="auto"/>
            <w:vAlign w:val="center"/>
            <w:hideMark/>
          </w:tcPr>
          <w:p w14:paraId="6601B2E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Orbit Energy Ltd</w:t>
            </w:r>
          </w:p>
        </w:tc>
        <w:tc>
          <w:tcPr>
            <w:tcW w:w="1275" w:type="dxa"/>
            <w:shd w:val="clear" w:color="auto" w:fill="auto"/>
            <w:vAlign w:val="center"/>
            <w:hideMark/>
          </w:tcPr>
          <w:p w14:paraId="6A38ACF1" w14:textId="7CACD93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109</w:t>
            </w:r>
            <w:r>
              <w:rPr>
                <w:rFonts w:eastAsia="Times New Roman" w:cs="Calibri"/>
                <w:color w:val="000000"/>
                <w:sz w:val="16"/>
                <w:szCs w:val="16"/>
              </w:rPr>
              <w:t>,</w:t>
            </w:r>
            <w:r w:rsidRPr="002E3196">
              <w:rPr>
                <w:rFonts w:eastAsia="Times New Roman" w:cs="Calibri"/>
                <w:color w:val="000000"/>
                <w:sz w:val="16"/>
                <w:szCs w:val="16"/>
              </w:rPr>
              <w:t>674</w:t>
            </w:r>
          </w:p>
        </w:tc>
        <w:tc>
          <w:tcPr>
            <w:tcW w:w="1276" w:type="dxa"/>
            <w:shd w:val="clear" w:color="auto" w:fill="auto"/>
            <w:vAlign w:val="center"/>
            <w:hideMark/>
          </w:tcPr>
          <w:p w14:paraId="1B4F8AC5" w14:textId="3E4530D3"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109</w:t>
            </w:r>
            <w:r>
              <w:rPr>
                <w:rFonts w:eastAsia="Times New Roman" w:cs="Calibri"/>
                <w:color w:val="000000"/>
                <w:sz w:val="16"/>
                <w:szCs w:val="16"/>
              </w:rPr>
              <w:t>,</w:t>
            </w:r>
            <w:r w:rsidRPr="005A4A5A">
              <w:rPr>
                <w:rFonts w:eastAsia="Times New Roman" w:cs="Calibri"/>
                <w:color w:val="000000"/>
                <w:sz w:val="16"/>
                <w:szCs w:val="16"/>
              </w:rPr>
              <w:t>674</w:t>
            </w:r>
          </w:p>
        </w:tc>
        <w:tc>
          <w:tcPr>
            <w:tcW w:w="1418" w:type="dxa"/>
            <w:shd w:val="clear" w:color="auto" w:fill="auto"/>
            <w:vAlign w:val="center"/>
            <w:hideMark/>
          </w:tcPr>
          <w:p w14:paraId="558B6CA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0D4084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14E5BD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6253A7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B15F15C" w14:textId="77777777" w:rsidTr="00780608">
        <w:trPr>
          <w:trHeight w:val="552"/>
        </w:trPr>
        <w:tc>
          <w:tcPr>
            <w:tcW w:w="1984" w:type="dxa"/>
            <w:shd w:val="clear" w:color="auto" w:fill="auto"/>
            <w:vAlign w:val="center"/>
            <w:hideMark/>
          </w:tcPr>
          <w:p w14:paraId="4D31005C"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Orsted</w:t>
            </w:r>
            <w:proofErr w:type="spellEnd"/>
            <w:r w:rsidRPr="002E3196">
              <w:rPr>
                <w:rFonts w:eastAsia="Times New Roman" w:cs="Calibri"/>
                <w:color w:val="000000"/>
                <w:sz w:val="16"/>
                <w:szCs w:val="16"/>
              </w:rPr>
              <w:t xml:space="preserve"> Power Sales (UK) Ltd</w:t>
            </w:r>
          </w:p>
        </w:tc>
        <w:tc>
          <w:tcPr>
            <w:tcW w:w="1275" w:type="dxa"/>
            <w:shd w:val="clear" w:color="auto" w:fill="auto"/>
            <w:vAlign w:val="center"/>
            <w:hideMark/>
          </w:tcPr>
          <w:p w14:paraId="6BE79B04" w14:textId="2793AE2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529</w:t>
            </w:r>
            <w:r>
              <w:rPr>
                <w:rFonts w:eastAsia="Times New Roman" w:cs="Calibri"/>
                <w:color w:val="000000"/>
                <w:sz w:val="16"/>
                <w:szCs w:val="16"/>
              </w:rPr>
              <w:t>,</w:t>
            </w:r>
            <w:r w:rsidRPr="002E3196">
              <w:rPr>
                <w:rFonts w:eastAsia="Times New Roman" w:cs="Calibri"/>
                <w:color w:val="000000"/>
                <w:sz w:val="16"/>
                <w:szCs w:val="16"/>
              </w:rPr>
              <w:t>449</w:t>
            </w:r>
          </w:p>
        </w:tc>
        <w:tc>
          <w:tcPr>
            <w:tcW w:w="1276" w:type="dxa"/>
            <w:shd w:val="clear" w:color="auto" w:fill="auto"/>
            <w:vAlign w:val="center"/>
            <w:hideMark/>
          </w:tcPr>
          <w:p w14:paraId="2F32E13D" w14:textId="20FA6149"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w:t>
            </w:r>
            <w:r>
              <w:rPr>
                <w:rFonts w:eastAsia="Times New Roman" w:cs="Calibri"/>
                <w:color w:val="000000"/>
                <w:sz w:val="16"/>
                <w:szCs w:val="16"/>
              </w:rPr>
              <w:t>,</w:t>
            </w:r>
            <w:r w:rsidRPr="005A4A5A">
              <w:rPr>
                <w:rFonts w:eastAsia="Times New Roman" w:cs="Calibri"/>
                <w:color w:val="000000"/>
                <w:sz w:val="16"/>
                <w:szCs w:val="16"/>
              </w:rPr>
              <w:t>529</w:t>
            </w:r>
            <w:r>
              <w:rPr>
                <w:rFonts w:eastAsia="Times New Roman" w:cs="Calibri"/>
                <w:color w:val="000000"/>
                <w:sz w:val="16"/>
                <w:szCs w:val="16"/>
              </w:rPr>
              <w:t>,</w:t>
            </w:r>
            <w:r w:rsidRPr="005A4A5A">
              <w:rPr>
                <w:rFonts w:eastAsia="Times New Roman" w:cs="Calibri"/>
                <w:color w:val="000000"/>
                <w:sz w:val="16"/>
                <w:szCs w:val="16"/>
              </w:rPr>
              <w:t>449</w:t>
            </w:r>
          </w:p>
        </w:tc>
        <w:tc>
          <w:tcPr>
            <w:tcW w:w="1418" w:type="dxa"/>
            <w:shd w:val="clear" w:color="auto" w:fill="auto"/>
            <w:vAlign w:val="center"/>
            <w:hideMark/>
          </w:tcPr>
          <w:p w14:paraId="4DF7B381" w14:textId="0A95C83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105</w:t>
            </w:r>
          </w:p>
        </w:tc>
        <w:tc>
          <w:tcPr>
            <w:tcW w:w="1417" w:type="dxa"/>
            <w:shd w:val="clear" w:color="auto" w:fill="auto"/>
            <w:vAlign w:val="center"/>
            <w:hideMark/>
          </w:tcPr>
          <w:p w14:paraId="32AE4D9B" w14:textId="5B1174D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15</w:t>
            </w:r>
            <w:r>
              <w:rPr>
                <w:rFonts w:eastAsia="Times New Roman" w:cs="Calibri"/>
                <w:color w:val="000000"/>
                <w:sz w:val="16"/>
                <w:szCs w:val="16"/>
              </w:rPr>
              <w:t>,</w:t>
            </w:r>
            <w:r w:rsidRPr="002E3196">
              <w:rPr>
                <w:rFonts w:eastAsia="Times New Roman" w:cs="Calibri"/>
                <w:color w:val="000000"/>
                <w:sz w:val="16"/>
                <w:szCs w:val="16"/>
              </w:rPr>
              <w:t>071</w:t>
            </w:r>
          </w:p>
        </w:tc>
        <w:tc>
          <w:tcPr>
            <w:tcW w:w="1701" w:type="dxa"/>
            <w:shd w:val="clear" w:color="auto" w:fill="auto"/>
            <w:vAlign w:val="center"/>
            <w:hideMark/>
          </w:tcPr>
          <w:p w14:paraId="63E402C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D4C8E5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3CC7209" w14:textId="77777777" w:rsidTr="00780608">
        <w:trPr>
          <w:trHeight w:val="301"/>
        </w:trPr>
        <w:tc>
          <w:tcPr>
            <w:tcW w:w="1984" w:type="dxa"/>
            <w:shd w:val="clear" w:color="auto" w:fill="auto"/>
            <w:vAlign w:val="center"/>
            <w:hideMark/>
          </w:tcPr>
          <w:p w14:paraId="23D93BC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Ovo Energy</w:t>
            </w:r>
          </w:p>
        </w:tc>
        <w:tc>
          <w:tcPr>
            <w:tcW w:w="1275" w:type="dxa"/>
            <w:shd w:val="clear" w:color="auto" w:fill="auto"/>
            <w:vAlign w:val="center"/>
            <w:hideMark/>
          </w:tcPr>
          <w:p w14:paraId="5FD7F818" w14:textId="531D327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w:t>
            </w:r>
            <w:r>
              <w:rPr>
                <w:rFonts w:eastAsia="Times New Roman" w:cs="Calibri"/>
                <w:color w:val="000000"/>
                <w:sz w:val="16"/>
                <w:szCs w:val="16"/>
              </w:rPr>
              <w:t>,</w:t>
            </w:r>
            <w:r w:rsidRPr="002E3196">
              <w:rPr>
                <w:rFonts w:eastAsia="Times New Roman" w:cs="Calibri"/>
                <w:color w:val="000000"/>
                <w:sz w:val="16"/>
                <w:szCs w:val="16"/>
              </w:rPr>
              <w:t>100</w:t>
            </w:r>
            <w:r>
              <w:rPr>
                <w:rFonts w:eastAsia="Times New Roman" w:cs="Calibri"/>
                <w:color w:val="000000"/>
                <w:sz w:val="16"/>
                <w:szCs w:val="16"/>
              </w:rPr>
              <w:t>,</w:t>
            </w:r>
            <w:r w:rsidRPr="002E3196">
              <w:rPr>
                <w:rFonts w:eastAsia="Times New Roman" w:cs="Calibri"/>
                <w:color w:val="000000"/>
                <w:sz w:val="16"/>
                <w:szCs w:val="16"/>
              </w:rPr>
              <w:t>321</w:t>
            </w:r>
          </w:p>
        </w:tc>
        <w:tc>
          <w:tcPr>
            <w:tcW w:w="1276" w:type="dxa"/>
            <w:shd w:val="clear" w:color="auto" w:fill="auto"/>
            <w:vAlign w:val="center"/>
            <w:hideMark/>
          </w:tcPr>
          <w:p w14:paraId="7B559BA3" w14:textId="7A11C792"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6</w:t>
            </w:r>
            <w:r>
              <w:rPr>
                <w:rFonts w:eastAsia="Times New Roman" w:cs="Calibri"/>
                <w:color w:val="000000"/>
                <w:sz w:val="16"/>
                <w:szCs w:val="16"/>
              </w:rPr>
              <w:t>,</w:t>
            </w:r>
            <w:r w:rsidRPr="005A4A5A">
              <w:rPr>
                <w:rFonts w:eastAsia="Times New Roman" w:cs="Calibri"/>
                <w:color w:val="000000"/>
                <w:sz w:val="16"/>
                <w:szCs w:val="16"/>
              </w:rPr>
              <w:t>100</w:t>
            </w:r>
            <w:r>
              <w:rPr>
                <w:rFonts w:eastAsia="Times New Roman" w:cs="Calibri"/>
                <w:color w:val="000000"/>
                <w:sz w:val="16"/>
                <w:szCs w:val="16"/>
              </w:rPr>
              <w:t>,</w:t>
            </w:r>
            <w:r w:rsidRPr="005A4A5A">
              <w:rPr>
                <w:rFonts w:eastAsia="Times New Roman" w:cs="Calibri"/>
                <w:color w:val="000000"/>
                <w:sz w:val="16"/>
                <w:szCs w:val="16"/>
              </w:rPr>
              <w:t>321</w:t>
            </w:r>
          </w:p>
        </w:tc>
        <w:tc>
          <w:tcPr>
            <w:tcW w:w="1418" w:type="dxa"/>
            <w:shd w:val="clear" w:color="auto" w:fill="auto"/>
            <w:vAlign w:val="center"/>
            <w:hideMark/>
          </w:tcPr>
          <w:p w14:paraId="1E40C42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732</w:t>
            </w:r>
          </w:p>
        </w:tc>
        <w:tc>
          <w:tcPr>
            <w:tcW w:w="1417" w:type="dxa"/>
            <w:shd w:val="clear" w:color="auto" w:fill="auto"/>
            <w:vAlign w:val="center"/>
            <w:hideMark/>
          </w:tcPr>
          <w:p w14:paraId="35B1396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AF2D65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1169A5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FABF27B" w14:textId="77777777" w:rsidTr="00780608">
        <w:trPr>
          <w:trHeight w:val="552"/>
        </w:trPr>
        <w:tc>
          <w:tcPr>
            <w:tcW w:w="1984" w:type="dxa"/>
            <w:shd w:val="clear" w:color="auto" w:fill="auto"/>
            <w:vAlign w:val="center"/>
            <w:hideMark/>
          </w:tcPr>
          <w:p w14:paraId="653FA9C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P3P ENERGY SUPPLY Ltd</w:t>
            </w:r>
          </w:p>
        </w:tc>
        <w:tc>
          <w:tcPr>
            <w:tcW w:w="1275" w:type="dxa"/>
            <w:shd w:val="clear" w:color="auto" w:fill="auto"/>
            <w:vAlign w:val="center"/>
            <w:hideMark/>
          </w:tcPr>
          <w:p w14:paraId="5660D6FD" w14:textId="2792FD1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980</w:t>
            </w:r>
          </w:p>
        </w:tc>
        <w:tc>
          <w:tcPr>
            <w:tcW w:w="1276" w:type="dxa"/>
            <w:shd w:val="clear" w:color="auto" w:fill="auto"/>
            <w:vAlign w:val="center"/>
            <w:hideMark/>
          </w:tcPr>
          <w:p w14:paraId="5C247B61"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E9E1F6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32803E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12B231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£99,099.00</w:t>
            </w:r>
          </w:p>
        </w:tc>
        <w:tc>
          <w:tcPr>
            <w:tcW w:w="1561" w:type="dxa"/>
            <w:shd w:val="clear" w:color="auto" w:fill="auto"/>
            <w:vAlign w:val="center"/>
            <w:hideMark/>
          </w:tcPr>
          <w:p w14:paraId="6EEEFA1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2DB7B8E" w14:textId="77777777" w:rsidTr="00780608">
        <w:trPr>
          <w:trHeight w:val="552"/>
        </w:trPr>
        <w:tc>
          <w:tcPr>
            <w:tcW w:w="1984" w:type="dxa"/>
            <w:shd w:val="clear" w:color="auto" w:fill="auto"/>
            <w:vAlign w:val="center"/>
            <w:hideMark/>
          </w:tcPr>
          <w:p w14:paraId="628233A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People's Energy (Supply) Ltd</w:t>
            </w:r>
          </w:p>
        </w:tc>
        <w:tc>
          <w:tcPr>
            <w:tcW w:w="1275" w:type="dxa"/>
            <w:shd w:val="clear" w:color="auto" w:fill="auto"/>
            <w:vAlign w:val="center"/>
            <w:hideMark/>
          </w:tcPr>
          <w:p w14:paraId="38042E6A" w14:textId="0BCACE7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430</w:t>
            </w:r>
            <w:r>
              <w:rPr>
                <w:rFonts w:eastAsia="Times New Roman" w:cs="Calibri"/>
                <w:color w:val="000000"/>
                <w:sz w:val="16"/>
                <w:szCs w:val="16"/>
              </w:rPr>
              <w:t>,</w:t>
            </w:r>
            <w:r w:rsidRPr="002E3196">
              <w:rPr>
                <w:rFonts w:eastAsia="Times New Roman" w:cs="Calibri"/>
                <w:color w:val="000000"/>
                <w:sz w:val="16"/>
                <w:szCs w:val="16"/>
              </w:rPr>
              <w:t>214</w:t>
            </w:r>
          </w:p>
        </w:tc>
        <w:tc>
          <w:tcPr>
            <w:tcW w:w="1276" w:type="dxa"/>
            <w:shd w:val="clear" w:color="auto" w:fill="auto"/>
            <w:vAlign w:val="center"/>
            <w:hideMark/>
          </w:tcPr>
          <w:p w14:paraId="13755A73"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181B9B4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62016A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8110EA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16C19B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50E047C" w14:textId="77777777" w:rsidTr="00780608">
        <w:trPr>
          <w:trHeight w:val="552"/>
        </w:trPr>
        <w:tc>
          <w:tcPr>
            <w:tcW w:w="1984" w:type="dxa"/>
            <w:shd w:val="clear" w:color="auto" w:fill="auto"/>
            <w:vAlign w:val="center"/>
            <w:hideMark/>
          </w:tcPr>
          <w:p w14:paraId="191FDB7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PFP Energy Supplies Ltd</w:t>
            </w:r>
          </w:p>
        </w:tc>
        <w:tc>
          <w:tcPr>
            <w:tcW w:w="1275" w:type="dxa"/>
            <w:shd w:val="clear" w:color="auto" w:fill="auto"/>
            <w:vAlign w:val="center"/>
            <w:hideMark/>
          </w:tcPr>
          <w:p w14:paraId="76324441" w14:textId="69B5A3D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86</w:t>
            </w:r>
            <w:r>
              <w:rPr>
                <w:rFonts w:eastAsia="Times New Roman" w:cs="Calibri"/>
                <w:color w:val="000000"/>
                <w:sz w:val="16"/>
                <w:szCs w:val="16"/>
              </w:rPr>
              <w:t>,</w:t>
            </w:r>
            <w:r w:rsidRPr="002E3196">
              <w:rPr>
                <w:rFonts w:eastAsia="Times New Roman" w:cs="Calibri"/>
                <w:color w:val="000000"/>
                <w:sz w:val="16"/>
                <w:szCs w:val="16"/>
              </w:rPr>
              <w:t>319</w:t>
            </w:r>
          </w:p>
        </w:tc>
        <w:tc>
          <w:tcPr>
            <w:tcW w:w="1276" w:type="dxa"/>
            <w:shd w:val="clear" w:color="auto" w:fill="auto"/>
            <w:vAlign w:val="center"/>
            <w:hideMark/>
          </w:tcPr>
          <w:p w14:paraId="01717963"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94A838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AA4FDE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6AE6CB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C8CF5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318A700" w14:textId="77777777" w:rsidTr="00780608">
        <w:trPr>
          <w:trHeight w:val="340"/>
        </w:trPr>
        <w:tc>
          <w:tcPr>
            <w:tcW w:w="1984" w:type="dxa"/>
            <w:shd w:val="clear" w:color="auto" w:fill="auto"/>
            <w:vAlign w:val="center"/>
            <w:hideMark/>
          </w:tcPr>
          <w:p w14:paraId="75CECA9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Power4All Ltd</w:t>
            </w:r>
          </w:p>
        </w:tc>
        <w:tc>
          <w:tcPr>
            <w:tcW w:w="1275" w:type="dxa"/>
            <w:shd w:val="clear" w:color="auto" w:fill="auto"/>
            <w:vAlign w:val="center"/>
            <w:hideMark/>
          </w:tcPr>
          <w:p w14:paraId="193F9A0A" w14:textId="4C20A6F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408</w:t>
            </w:r>
            <w:r>
              <w:rPr>
                <w:rFonts w:eastAsia="Times New Roman" w:cs="Calibri"/>
                <w:color w:val="000000"/>
                <w:sz w:val="16"/>
                <w:szCs w:val="16"/>
              </w:rPr>
              <w:t>,</w:t>
            </w:r>
            <w:r w:rsidRPr="002E3196">
              <w:rPr>
                <w:rFonts w:eastAsia="Times New Roman" w:cs="Calibri"/>
                <w:color w:val="000000"/>
                <w:sz w:val="16"/>
                <w:szCs w:val="16"/>
              </w:rPr>
              <w:t>105</w:t>
            </w:r>
          </w:p>
        </w:tc>
        <w:tc>
          <w:tcPr>
            <w:tcW w:w="1276" w:type="dxa"/>
            <w:shd w:val="clear" w:color="auto" w:fill="auto"/>
            <w:vAlign w:val="center"/>
            <w:hideMark/>
          </w:tcPr>
          <w:p w14:paraId="380543AE"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D02401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A611F4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AF8A7E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04D1D1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£20,428,521.22</w:t>
            </w:r>
          </w:p>
        </w:tc>
      </w:tr>
      <w:tr w:rsidR="00036B8A" w:rsidRPr="006B3AC6" w14:paraId="3DBFE77D" w14:textId="77777777" w:rsidTr="00780608">
        <w:trPr>
          <w:trHeight w:val="340"/>
        </w:trPr>
        <w:tc>
          <w:tcPr>
            <w:tcW w:w="1984" w:type="dxa"/>
            <w:shd w:val="clear" w:color="auto" w:fill="auto"/>
            <w:vAlign w:val="center"/>
            <w:hideMark/>
          </w:tcPr>
          <w:p w14:paraId="33CB7554"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Pozitive</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1F60F88D" w14:textId="2AA742E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425</w:t>
            </w:r>
            <w:r>
              <w:rPr>
                <w:rFonts w:eastAsia="Times New Roman" w:cs="Calibri"/>
                <w:color w:val="000000"/>
                <w:sz w:val="16"/>
                <w:szCs w:val="16"/>
              </w:rPr>
              <w:t>,</w:t>
            </w:r>
            <w:r w:rsidRPr="002E3196">
              <w:rPr>
                <w:rFonts w:eastAsia="Times New Roman" w:cs="Calibri"/>
                <w:color w:val="000000"/>
                <w:sz w:val="16"/>
                <w:szCs w:val="16"/>
              </w:rPr>
              <w:t>576</w:t>
            </w:r>
          </w:p>
        </w:tc>
        <w:tc>
          <w:tcPr>
            <w:tcW w:w="1276" w:type="dxa"/>
            <w:shd w:val="clear" w:color="auto" w:fill="auto"/>
            <w:vAlign w:val="center"/>
            <w:hideMark/>
          </w:tcPr>
          <w:p w14:paraId="662BF550" w14:textId="77A20F06"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9</w:t>
            </w:r>
            <w:r>
              <w:rPr>
                <w:rFonts w:eastAsia="Times New Roman" w:cs="Calibri"/>
                <w:color w:val="000000"/>
                <w:sz w:val="16"/>
                <w:szCs w:val="16"/>
              </w:rPr>
              <w:t>,</w:t>
            </w:r>
            <w:r w:rsidRPr="005A4A5A">
              <w:rPr>
                <w:rFonts w:eastAsia="Times New Roman" w:cs="Calibri"/>
                <w:color w:val="000000"/>
                <w:sz w:val="16"/>
                <w:szCs w:val="16"/>
              </w:rPr>
              <w:t>057</w:t>
            </w:r>
          </w:p>
        </w:tc>
        <w:tc>
          <w:tcPr>
            <w:tcW w:w="1418" w:type="dxa"/>
            <w:shd w:val="clear" w:color="auto" w:fill="auto"/>
            <w:vAlign w:val="center"/>
            <w:hideMark/>
          </w:tcPr>
          <w:p w14:paraId="3F6EF1D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E401DD8" w14:textId="35A01A5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w:t>
            </w:r>
            <w:r>
              <w:rPr>
                <w:rFonts w:eastAsia="Times New Roman" w:cs="Calibri"/>
                <w:color w:val="000000"/>
                <w:sz w:val="16"/>
                <w:szCs w:val="16"/>
              </w:rPr>
              <w:t>,</w:t>
            </w:r>
            <w:r w:rsidRPr="002E3196">
              <w:rPr>
                <w:rFonts w:eastAsia="Times New Roman" w:cs="Calibri"/>
                <w:color w:val="000000"/>
                <w:sz w:val="16"/>
                <w:szCs w:val="16"/>
              </w:rPr>
              <w:t>057</w:t>
            </w:r>
          </w:p>
        </w:tc>
        <w:tc>
          <w:tcPr>
            <w:tcW w:w="1701" w:type="dxa"/>
            <w:shd w:val="clear" w:color="auto" w:fill="auto"/>
            <w:vAlign w:val="center"/>
            <w:hideMark/>
          </w:tcPr>
          <w:p w14:paraId="1CC5BA6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£21,300,078.80</w:t>
            </w:r>
          </w:p>
        </w:tc>
        <w:tc>
          <w:tcPr>
            <w:tcW w:w="1561" w:type="dxa"/>
            <w:shd w:val="clear" w:color="auto" w:fill="auto"/>
            <w:vAlign w:val="center"/>
            <w:hideMark/>
          </w:tcPr>
          <w:p w14:paraId="688D514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9755496" w14:textId="77777777" w:rsidTr="00780608">
        <w:trPr>
          <w:trHeight w:val="340"/>
        </w:trPr>
        <w:tc>
          <w:tcPr>
            <w:tcW w:w="1984" w:type="dxa"/>
            <w:shd w:val="clear" w:color="auto" w:fill="auto"/>
            <w:vAlign w:val="center"/>
            <w:hideMark/>
          </w:tcPr>
          <w:p w14:paraId="06208340"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Pure Planet Ltd</w:t>
            </w:r>
          </w:p>
        </w:tc>
        <w:tc>
          <w:tcPr>
            <w:tcW w:w="1275" w:type="dxa"/>
            <w:shd w:val="clear" w:color="auto" w:fill="auto"/>
            <w:vAlign w:val="center"/>
            <w:hideMark/>
          </w:tcPr>
          <w:p w14:paraId="2857E3C0" w14:textId="3BAEB68B"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333</w:t>
            </w:r>
            <w:r>
              <w:rPr>
                <w:rFonts w:eastAsia="Times New Roman" w:cs="Calibri"/>
                <w:color w:val="000000"/>
                <w:sz w:val="16"/>
                <w:szCs w:val="16"/>
              </w:rPr>
              <w:t>,</w:t>
            </w:r>
            <w:r w:rsidRPr="002E3196">
              <w:rPr>
                <w:rFonts w:eastAsia="Times New Roman" w:cs="Calibri"/>
                <w:color w:val="000000"/>
                <w:sz w:val="16"/>
                <w:szCs w:val="16"/>
              </w:rPr>
              <w:t>433</w:t>
            </w:r>
          </w:p>
        </w:tc>
        <w:tc>
          <w:tcPr>
            <w:tcW w:w="1276" w:type="dxa"/>
            <w:shd w:val="clear" w:color="auto" w:fill="auto"/>
            <w:vAlign w:val="center"/>
            <w:hideMark/>
          </w:tcPr>
          <w:p w14:paraId="4EC90AC0"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11AE44F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59869B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31C24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9B194A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£1,250,000.00</w:t>
            </w:r>
          </w:p>
        </w:tc>
      </w:tr>
      <w:tr w:rsidR="00036B8A" w:rsidRPr="006B3AC6" w14:paraId="06445A21" w14:textId="77777777" w:rsidTr="00780608">
        <w:trPr>
          <w:trHeight w:val="340"/>
        </w:trPr>
        <w:tc>
          <w:tcPr>
            <w:tcW w:w="1984" w:type="dxa"/>
            <w:shd w:val="clear" w:color="auto" w:fill="auto"/>
            <w:vAlign w:val="center"/>
            <w:hideMark/>
          </w:tcPr>
          <w:p w14:paraId="053AE70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PX Supply Limited</w:t>
            </w:r>
          </w:p>
        </w:tc>
        <w:tc>
          <w:tcPr>
            <w:tcW w:w="1275" w:type="dxa"/>
            <w:shd w:val="clear" w:color="auto" w:fill="auto"/>
            <w:vAlign w:val="center"/>
            <w:hideMark/>
          </w:tcPr>
          <w:p w14:paraId="3FBD6D34" w14:textId="3A6F79A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146</w:t>
            </w:r>
          </w:p>
        </w:tc>
        <w:tc>
          <w:tcPr>
            <w:tcW w:w="1276" w:type="dxa"/>
            <w:shd w:val="clear" w:color="auto" w:fill="auto"/>
            <w:vAlign w:val="center"/>
            <w:hideMark/>
          </w:tcPr>
          <w:p w14:paraId="61133B2E"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9D2450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2AE036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8C5E15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£57,357.30</w:t>
            </w:r>
          </w:p>
        </w:tc>
        <w:tc>
          <w:tcPr>
            <w:tcW w:w="1561" w:type="dxa"/>
            <w:shd w:val="clear" w:color="auto" w:fill="auto"/>
            <w:vAlign w:val="center"/>
            <w:hideMark/>
          </w:tcPr>
          <w:p w14:paraId="5A6356D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CB46490" w14:textId="77777777" w:rsidTr="00780608">
        <w:trPr>
          <w:trHeight w:val="552"/>
        </w:trPr>
        <w:tc>
          <w:tcPr>
            <w:tcW w:w="1984" w:type="dxa"/>
            <w:shd w:val="clear" w:color="auto" w:fill="auto"/>
            <w:vAlign w:val="center"/>
            <w:hideMark/>
          </w:tcPr>
          <w:p w14:paraId="0742654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Robin Hood Energy Ltd</w:t>
            </w:r>
          </w:p>
        </w:tc>
        <w:tc>
          <w:tcPr>
            <w:tcW w:w="1275" w:type="dxa"/>
            <w:shd w:val="clear" w:color="auto" w:fill="auto"/>
            <w:vAlign w:val="center"/>
            <w:hideMark/>
          </w:tcPr>
          <w:p w14:paraId="19332A1C" w14:textId="0710476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85</w:t>
            </w:r>
            <w:r>
              <w:rPr>
                <w:rFonts w:eastAsia="Times New Roman" w:cs="Calibri"/>
                <w:color w:val="000000"/>
                <w:sz w:val="16"/>
                <w:szCs w:val="16"/>
              </w:rPr>
              <w:t>,</w:t>
            </w:r>
            <w:r w:rsidRPr="002E3196">
              <w:rPr>
                <w:rFonts w:eastAsia="Times New Roman" w:cs="Calibri"/>
                <w:color w:val="000000"/>
                <w:sz w:val="16"/>
                <w:szCs w:val="16"/>
              </w:rPr>
              <w:t>736</w:t>
            </w:r>
          </w:p>
        </w:tc>
        <w:tc>
          <w:tcPr>
            <w:tcW w:w="1276" w:type="dxa"/>
            <w:shd w:val="clear" w:color="auto" w:fill="auto"/>
            <w:vAlign w:val="center"/>
            <w:hideMark/>
          </w:tcPr>
          <w:p w14:paraId="5AE33030"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8BC8E3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4A963B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16468F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41B5F4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E0F0072" w14:textId="77777777" w:rsidTr="00780608">
        <w:trPr>
          <w:trHeight w:val="301"/>
        </w:trPr>
        <w:tc>
          <w:tcPr>
            <w:tcW w:w="1984" w:type="dxa"/>
            <w:shd w:val="clear" w:color="auto" w:fill="auto"/>
            <w:vAlign w:val="center"/>
            <w:hideMark/>
          </w:tcPr>
          <w:p w14:paraId="3F82B76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 xml:space="preserve">RWE </w:t>
            </w:r>
          </w:p>
        </w:tc>
        <w:tc>
          <w:tcPr>
            <w:tcW w:w="1275" w:type="dxa"/>
            <w:shd w:val="clear" w:color="auto" w:fill="auto"/>
            <w:vAlign w:val="center"/>
            <w:hideMark/>
          </w:tcPr>
          <w:p w14:paraId="14C2A65D" w14:textId="31E0214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30</w:t>
            </w:r>
            <w:r>
              <w:rPr>
                <w:rFonts w:eastAsia="Times New Roman" w:cs="Calibri"/>
                <w:color w:val="000000"/>
                <w:sz w:val="16"/>
                <w:szCs w:val="16"/>
              </w:rPr>
              <w:t>,</w:t>
            </w:r>
            <w:r w:rsidRPr="002E3196">
              <w:rPr>
                <w:rFonts w:eastAsia="Times New Roman" w:cs="Calibri"/>
                <w:color w:val="000000"/>
                <w:sz w:val="16"/>
                <w:szCs w:val="16"/>
              </w:rPr>
              <w:t>037</w:t>
            </w:r>
          </w:p>
        </w:tc>
        <w:tc>
          <w:tcPr>
            <w:tcW w:w="1276" w:type="dxa"/>
            <w:shd w:val="clear" w:color="auto" w:fill="auto"/>
            <w:vAlign w:val="center"/>
            <w:hideMark/>
          </w:tcPr>
          <w:p w14:paraId="0A74FD41"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524545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DC39FF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4DD6A5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£1,503,351.85</w:t>
            </w:r>
          </w:p>
        </w:tc>
        <w:tc>
          <w:tcPr>
            <w:tcW w:w="1561" w:type="dxa"/>
            <w:shd w:val="clear" w:color="auto" w:fill="auto"/>
            <w:vAlign w:val="center"/>
            <w:hideMark/>
          </w:tcPr>
          <w:p w14:paraId="6D45D66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952D74F" w14:textId="77777777" w:rsidTr="00780608">
        <w:trPr>
          <w:trHeight w:val="552"/>
        </w:trPr>
        <w:tc>
          <w:tcPr>
            <w:tcW w:w="1984" w:type="dxa"/>
            <w:shd w:val="clear" w:color="auto" w:fill="auto"/>
            <w:vAlign w:val="center"/>
            <w:hideMark/>
          </w:tcPr>
          <w:p w14:paraId="0091025D"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Scottish Power Energy Retail Ltd</w:t>
            </w:r>
          </w:p>
        </w:tc>
        <w:tc>
          <w:tcPr>
            <w:tcW w:w="1275" w:type="dxa"/>
            <w:shd w:val="clear" w:color="auto" w:fill="auto"/>
            <w:vAlign w:val="center"/>
            <w:hideMark/>
          </w:tcPr>
          <w:p w14:paraId="5614614E" w14:textId="4D163585"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w:t>
            </w:r>
            <w:r>
              <w:rPr>
                <w:rFonts w:eastAsia="Times New Roman" w:cs="Calibri"/>
                <w:color w:val="000000"/>
                <w:sz w:val="16"/>
                <w:szCs w:val="16"/>
              </w:rPr>
              <w:t>,</w:t>
            </w:r>
            <w:r w:rsidRPr="002E3196">
              <w:rPr>
                <w:rFonts w:eastAsia="Times New Roman" w:cs="Calibri"/>
                <w:color w:val="000000"/>
                <w:sz w:val="16"/>
                <w:szCs w:val="16"/>
              </w:rPr>
              <w:t>526</w:t>
            </w:r>
            <w:r>
              <w:rPr>
                <w:rFonts w:eastAsia="Times New Roman" w:cs="Calibri"/>
                <w:color w:val="000000"/>
                <w:sz w:val="16"/>
                <w:szCs w:val="16"/>
              </w:rPr>
              <w:t>,</w:t>
            </w:r>
            <w:r w:rsidRPr="002E3196">
              <w:rPr>
                <w:rFonts w:eastAsia="Times New Roman" w:cs="Calibri"/>
                <w:color w:val="000000"/>
                <w:sz w:val="16"/>
                <w:szCs w:val="16"/>
              </w:rPr>
              <w:t>762</w:t>
            </w:r>
          </w:p>
        </w:tc>
        <w:tc>
          <w:tcPr>
            <w:tcW w:w="1276" w:type="dxa"/>
            <w:shd w:val="clear" w:color="auto" w:fill="auto"/>
            <w:vAlign w:val="center"/>
            <w:hideMark/>
          </w:tcPr>
          <w:p w14:paraId="66E5DE07" w14:textId="1C79C9B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6</w:t>
            </w:r>
            <w:r>
              <w:rPr>
                <w:rFonts w:eastAsia="Times New Roman" w:cs="Calibri"/>
                <w:color w:val="000000"/>
                <w:sz w:val="16"/>
                <w:szCs w:val="16"/>
              </w:rPr>
              <w:t>,</w:t>
            </w:r>
            <w:r w:rsidRPr="005A4A5A">
              <w:rPr>
                <w:rFonts w:eastAsia="Times New Roman" w:cs="Calibri"/>
                <w:color w:val="000000"/>
                <w:sz w:val="16"/>
                <w:szCs w:val="16"/>
              </w:rPr>
              <w:t>526</w:t>
            </w:r>
            <w:r>
              <w:rPr>
                <w:rFonts w:eastAsia="Times New Roman" w:cs="Calibri"/>
                <w:color w:val="000000"/>
                <w:sz w:val="16"/>
                <w:szCs w:val="16"/>
              </w:rPr>
              <w:t>,</w:t>
            </w:r>
            <w:r w:rsidRPr="005A4A5A">
              <w:rPr>
                <w:rFonts w:eastAsia="Times New Roman" w:cs="Calibri"/>
                <w:color w:val="000000"/>
                <w:sz w:val="16"/>
                <w:szCs w:val="16"/>
              </w:rPr>
              <w:t>762</w:t>
            </w:r>
          </w:p>
        </w:tc>
        <w:tc>
          <w:tcPr>
            <w:tcW w:w="1418" w:type="dxa"/>
            <w:shd w:val="clear" w:color="auto" w:fill="auto"/>
            <w:vAlign w:val="center"/>
            <w:hideMark/>
          </w:tcPr>
          <w:p w14:paraId="1B839F0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3791D13" w14:textId="7643031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148</w:t>
            </w:r>
            <w:r>
              <w:rPr>
                <w:rFonts w:eastAsia="Times New Roman" w:cs="Calibri"/>
                <w:color w:val="000000"/>
                <w:sz w:val="16"/>
                <w:szCs w:val="16"/>
              </w:rPr>
              <w:t>,</w:t>
            </w:r>
            <w:r w:rsidRPr="002E3196">
              <w:rPr>
                <w:rFonts w:eastAsia="Times New Roman" w:cs="Calibri"/>
                <w:color w:val="000000"/>
                <w:sz w:val="16"/>
                <w:szCs w:val="16"/>
              </w:rPr>
              <w:t>157</w:t>
            </w:r>
          </w:p>
        </w:tc>
        <w:tc>
          <w:tcPr>
            <w:tcW w:w="1701" w:type="dxa"/>
            <w:shd w:val="clear" w:color="auto" w:fill="auto"/>
            <w:vAlign w:val="center"/>
            <w:hideMark/>
          </w:tcPr>
          <w:p w14:paraId="785D1E9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276B8C0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F5B5576" w14:textId="77777777" w:rsidTr="00780608">
        <w:trPr>
          <w:trHeight w:val="552"/>
        </w:trPr>
        <w:tc>
          <w:tcPr>
            <w:tcW w:w="1984" w:type="dxa"/>
            <w:shd w:val="clear" w:color="auto" w:fill="auto"/>
            <w:vAlign w:val="center"/>
            <w:hideMark/>
          </w:tcPr>
          <w:p w14:paraId="6A1AAE2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Shell Energy Retail Ltd</w:t>
            </w:r>
          </w:p>
        </w:tc>
        <w:tc>
          <w:tcPr>
            <w:tcW w:w="1275" w:type="dxa"/>
            <w:shd w:val="clear" w:color="auto" w:fill="auto"/>
            <w:vAlign w:val="center"/>
            <w:hideMark/>
          </w:tcPr>
          <w:p w14:paraId="1C987181" w14:textId="0556C6F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275</w:t>
            </w:r>
            <w:r>
              <w:rPr>
                <w:rFonts w:eastAsia="Times New Roman" w:cs="Calibri"/>
                <w:color w:val="000000"/>
                <w:sz w:val="16"/>
                <w:szCs w:val="16"/>
              </w:rPr>
              <w:t>,</w:t>
            </w:r>
            <w:r w:rsidRPr="002E3196">
              <w:rPr>
                <w:rFonts w:eastAsia="Times New Roman" w:cs="Calibri"/>
                <w:color w:val="000000"/>
                <w:sz w:val="16"/>
                <w:szCs w:val="16"/>
              </w:rPr>
              <w:t>824</w:t>
            </w:r>
          </w:p>
        </w:tc>
        <w:tc>
          <w:tcPr>
            <w:tcW w:w="1276" w:type="dxa"/>
            <w:shd w:val="clear" w:color="auto" w:fill="auto"/>
            <w:vAlign w:val="center"/>
            <w:hideMark/>
          </w:tcPr>
          <w:p w14:paraId="1F471916" w14:textId="7BF4D22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w:t>
            </w:r>
            <w:r>
              <w:rPr>
                <w:rFonts w:eastAsia="Times New Roman" w:cs="Calibri"/>
                <w:color w:val="000000"/>
                <w:sz w:val="16"/>
                <w:szCs w:val="16"/>
              </w:rPr>
              <w:t>,</w:t>
            </w:r>
            <w:r w:rsidRPr="005A4A5A">
              <w:rPr>
                <w:rFonts w:eastAsia="Times New Roman" w:cs="Calibri"/>
                <w:color w:val="000000"/>
                <w:sz w:val="16"/>
                <w:szCs w:val="16"/>
              </w:rPr>
              <w:t>275</w:t>
            </w:r>
            <w:r>
              <w:rPr>
                <w:rFonts w:eastAsia="Times New Roman" w:cs="Calibri"/>
                <w:color w:val="000000"/>
                <w:sz w:val="16"/>
                <w:szCs w:val="16"/>
              </w:rPr>
              <w:t>,</w:t>
            </w:r>
            <w:r w:rsidRPr="005A4A5A">
              <w:rPr>
                <w:rFonts w:eastAsia="Times New Roman" w:cs="Calibri"/>
                <w:color w:val="000000"/>
                <w:sz w:val="16"/>
                <w:szCs w:val="16"/>
              </w:rPr>
              <w:t>824</w:t>
            </w:r>
          </w:p>
        </w:tc>
        <w:tc>
          <w:tcPr>
            <w:tcW w:w="1418" w:type="dxa"/>
            <w:shd w:val="clear" w:color="auto" w:fill="auto"/>
            <w:vAlign w:val="center"/>
            <w:hideMark/>
          </w:tcPr>
          <w:p w14:paraId="059A35D1" w14:textId="269F977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784</w:t>
            </w:r>
          </w:p>
        </w:tc>
        <w:tc>
          <w:tcPr>
            <w:tcW w:w="1417" w:type="dxa"/>
            <w:shd w:val="clear" w:color="auto" w:fill="auto"/>
            <w:vAlign w:val="center"/>
            <w:hideMark/>
          </w:tcPr>
          <w:p w14:paraId="080F37B8" w14:textId="5F0925F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37</w:t>
            </w:r>
            <w:r>
              <w:rPr>
                <w:rFonts w:eastAsia="Times New Roman" w:cs="Calibri"/>
                <w:color w:val="000000"/>
                <w:sz w:val="16"/>
                <w:szCs w:val="16"/>
              </w:rPr>
              <w:t>,</w:t>
            </w:r>
            <w:r w:rsidRPr="002E3196">
              <w:rPr>
                <w:rFonts w:eastAsia="Times New Roman" w:cs="Calibri"/>
                <w:color w:val="000000"/>
                <w:sz w:val="16"/>
                <w:szCs w:val="16"/>
              </w:rPr>
              <w:t>521</w:t>
            </w:r>
          </w:p>
        </w:tc>
        <w:tc>
          <w:tcPr>
            <w:tcW w:w="1701" w:type="dxa"/>
            <w:shd w:val="clear" w:color="auto" w:fill="auto"/>
            <w:vAlign w:val="center"/>
            <w:hideMark/>
          </w:tcPr>
          <w:p w14:paraId="4AD9487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CBCCC2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0CC5C0F" w14:textId="77777777" w:rsidTr="00780608">
        <w:trPr>
          <w:trHeight w:val="552"/>
        </w:trPr>
        <w:tc>
          <w:tcPr>
            <w:tcW w:w="1984" w:type="dxa"/>
            <w:shd w:val="clear" w:color="auto" w:fill="auto"/>
            <w:vAlign w:val="center"/>
            <w:hideMark/>
          </w:tcPr>
          <w:p w14:paraId="1DEA8CB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Shell Energy Supply UK Ltd</w:t>
            </w:r>
          </w:p>
        </w:tc>
        <w:tc>
          <w:tcPr>
            <w:tcW w:w="1275" w:type="dxa"/>
            <w:shd w:val="clear" w:color="auto" w:fill="auto"/>
            <w:vAlign w:val="center"/>
            <w:hideMark/>
          </w:tcPr>
          <w:p w14:paraId="4A247A2E" w14:textId="50FB1A0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150</w:t>
            </w:r>
            <w:r>
              <w:rPr>
                <w:rFonts w:eastAsia="Times New Roman" w:cs="Calibri"/>
                <w:color w:val="000000"/>
                <w:sz w:val="16"/>
                <w:szCs w:val="16"/>
              </w:rPr>
              <w:t>,</w:t>
            </w:r>
            <w:r w:rsidRPr="002E3196">
              <w:rPr>
                <w:rFonts w:eastAsia="Times New Roman" w:cs="Calibri"/>
                <w:color w:val="000000"/>
                <w:sz w:val="16"/>
                <w:szCs w:val="16"/>
              </w:rPr>
              <w:t>329</w:t>
            </w:r>
          </w:p>
        </w:tc>
        <w:tc>
          <w:tcPr>
            <w:tcW w:w="1276" w:type="dxa"/>
            <w:shd w:val="clear" w:color="auto" w:fill="auto"/>
            <w:vAlign w:val="center"/>
            <w:hideMark/>
          </w:tcPr>
          <w:p w14:paraId="747017AA" w14:textId="1D9F5A33"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150</w:t>
            </w:r>
            <w:r>
              <w:rPr>
                <w:rFonts w:eastAsia="Times New Roman" w:cs="Calibri"/>
                <w:color w:val="000000"/>
                <w:sz w:val="16"/>
                <w:szCs w:val="16"/>
              </w:rPr>
              <w:t>,</w:t>
            </w:r>
            <w:r w:rsidRPr="005A4A5A">
              <w:rPr>
                <w:rFonts w:eastAsia="Times New Roman" w:cs="Calibri"/>
                <w:color w:val="000000"/>
                <w:sz w:val="16"/>
                <w:szCs w:val="16"/>
              </w:rPr>
              <w:t>329</w:t>
            </w:r>
          </w:p>
        </w:tc>
        <w:tc>
          <w:tcPr>
            <w:tcW w:w="1418" w:type="dxa"/>
            <w:shd w:val="clear" w:color="auto" w:fill="auto"/>
            <w:vAlign w:val="center"/>
            <w:hideMark/>
          </w:tcPr>
          <w:p w14:paraId="0B48D69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45DF04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2D7597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3A90E2C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E336B07" w14:textId="77777777" w:rsidTr="00780608">
        <w:trPr>
          <w:trHeight w:val="301"/>
        </w:trPr>
        <w:tc>
          <w:tcPr>
            <w:tcW w:w="1984" w:type="dxa"/>
            <w:shd w:val="clear" w:color="auto" w:fill="auto"/>
            <w:vAlign w:val="center"/>
            <w:hideMark/>
          </w:tcPr>
          <w:p w14:paraId="7AF47A92"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Shell Energy UK</w:t>
            </w:r>
          </w:p>
        </w:tc>
        <w:tc>
          <w:tcPr>
            <w:tcW w:w="1275" w:type="dxa"/>
            <w:shd w:val="clear" w:color="auto" w:fill="auto"/>
            <w:vAlign w:val="center"/>
            <w:hideMark/>
          </w:tcPr>
          <w:p w14:paraId="100F2C0D" w14:textId="02DC2D1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459</w:t>
            </w:r>
            <w:r>
              <w:rPr>
                <w:rFonts w:eastAsia="Times New Roman" w:cs="Calibri"/>
                <w:color w:val="000000"/>
                <w:sz w:val="16"/>
                <w:szCs w:val="16"/>
              </w:rPr>
              <w:t>,</w:t>
            </w:r>
            <w:r w:rsidRPr="002E3196">
              <w:rPr>
                <w:rFonts w:eastAsia="Times New Roman" w:cs="Calibri"/>
                <w:color w:val="000000"/>
                <w:sz w:val="16"/>
                <w:szCs w:val="16"/>
              </w:rPr>
              <w:t>801</w:t>
            </w:r>
          </w:p>
        </w:tc>
        <w:tc>
          <w:tcPr>
            <w:tcW w:w="1276" w:type="dxa"/>
            <w:shd w:val="clear" w:color="auto" w:fill="auto"/>
            <w:vAlign w:val="center"/>
            <w:hideMark/>
          </w:tcPr>
          <w:p w14:paraId="3119AFB0" w14:textId="757BEA88"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459</w:t>
            </w:r>
            <w:r>
              <w:rPr>
                <w:rFonts w:eastAsia="Times New Roman" w:cs="Calibri"/>
                <w:color w:val="000000"/>
                <w:sz w:val="16"/>
                <w:szCs w:val="16"/>
              </w:rPr>
              <w:t>,</w:t>
            </w:r>
            <w:r w:rsidRPr="005A4A5A">
              <w:rPr>
                <w:rFonts w:eastAsia="Times New Roman" w:cs="Calibri"/>
                <w:color w:val="000000"/>
                <w:sz w:val="16"/>
                <w:szCs w:val="16"/>
              </w:rPr>
              <w:t>801</w:t>
            </w:r>
          </w:p>
        </w:tc>
        <w:tc>
          <w:tcPr>
            <w:tcW w:w="1418" w:type="dxa"/>
            <w:shd w:val="clear" w:color="auto" w:fill="auto"/>
            <w:vAlign w:val="center"/>
            <w:hideMark/>
          </w:tcPr>
          <w:p w14:paraId="4175B8E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C44023C" w14:textId="11A9453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w:t>
            </w:r>
            <w:r>
              <w:rPr>
                <w:rFonts w:eastAsia="Times New Roman" w:cs="Calibri"/>
                <w:color w:val="000000"/>
                <w:sz w:val="16"/>
                <w:szCs w:val="16"/>
              </w:rPr>
              <w:t>,</w:t>
            </w:r>
            <w:r w:rsidRPr="002E3196">
              <w:rPr>
                <w:rFonts w:eastAsia="Times New Roman" w:cs="Calibri"/>
                <w:color w:val="000000"/>
                <w:sz w:val="16"/>
                <w:szCs w:val="16"/>
              </w:rPr>
              <w:t>143</w:t>
            </w:r>
          </w:p>
        </w:tc>
        <w:tc>
          <w:tcPr>
            <w:tcW w:w="1701" w:type="dxa"/>
            <w:shd w:val="clear" w:color="auto" w:fill="auto"/>
            <w:vAlign w:val="center"/>
            <w:hideMark/>
          </w:tcPr>
          <w:p w14:paraId="3816A31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77BADC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73CCBDC" w14:textId="77777777" w:rsidTr="00780608">
        <w:trPr>
          <w:trHeight w:val="552"/>
        </w:trPr>
        <w:tc>
          <w:tcPr>
            <w:tcW w:w="1984" w:type="dxa"/>
            <w:shd w:val="clear" w:color="auto" w:fill="auto"/>
            <w:vAlign w:val="center"/>
            <w:hideMark/>
          </w:tcPr>
          <w:p w14:paraId="559DCEB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Simplicity Energy Limited</w:t>
            </w:r>
          </w:p>
        </w:tc>
        <w:tc>
          <w:tcPr>
            <w:tcW w:w="1275" w:type="dxa"/>
            <w:shd w:val="clear" w:color="auto" w:fill="auto"/>
            <w:vAlign w:val="center"/>
            <w:hideMark/>
          </w:tcPr>
          <w:p w14:paraId="2211621C" w14:textId="72EBAF9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90</w:t>
            </w:r>
            <w:r>
              <w:rPr>
                <w:rFonts w:eastAsia="Times New Roman" w:cs="Calibri"/>
                <w:color w:val="000000"/>
                <w:sz w:val="16"/>
                <w:szCs w:val="16"/>
              </w:rPr>
              <w:t>,</w:t>
            </w:r>
            <w:r w:rsidRPr="002E3196">
              <w:rPr>
                <w:rFonts w:eastAsia="Times New Roman" w:cs="Calibri"/>
                <w:color w:val="000000"/>
                <w:sz w:val="16"/>
                <w:szCs w:val="16"/>
              </w:rPr>
              <w:t>617</w:t>
            </w:r>
          </w:p>
        </w:tc>
        <w:tc>
          <w:tcPr>
            <w:tcW w:w="1276" w:type="dxa"/>
            <w:shd w:val="clear" w:color="auto" w:fill="auto"/>
            <w:vAlign w:val="center"/>
            <w:hideMark/>
          </w:tcPr>
          <w:p w14:paraId="0FED9528"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287FCFD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A560AD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1EA540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5A6C21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7E918CA" w14:textId="77777777" w:rsidTr="00780608">
        <w:trPr>
          <w:trHeight w:val="301"/>
        </w:trPr>
        <w:tc>
          <w:tcPr>
            <w:tcW w:w="1984" w:type="dxa"/>
            <w:shd w:val="clear" w:color="auto" w:fill="auto"/>
            <w:vAlign w:val="center"/>
            <w:hideMark/>
          </w:tcPr>
          <w:p w14:paraId="02659CD4"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lastRenderedPageBreak/>
              <w:t>Sinq</w:t>
            </w:r>
            <w:proofErr w:type="spellEnd"/>
            <w:r w:rsidRPr="002E3196">
              <w:rPr>
                <w:rFonts w:eastAsia="Times New Roman" w:cs="Calibri"/>
                <w:color w:val="000000"/>
                <w:sz w:val="16"/>
                <w:szCs w:val="16"/>
              </w:rPr>
              <w:t xml:space="preserve"> Power Ltd</w:t>
            </w:r>
          </w:p>
        </w:tc>
        <w:tc>
          <w:tcPr>
            <w:tcW w:w="1275" w:type="dxa"/>
            <w:shd w:val="clear" w:color="auto" w:fill="auto"/>
            <w:vAlign w:val="center"/>
            <w:hideMark/>
          </w:tcPr>
          <w:p w14:paraId="0F3E25B2" w14:textId="3780E84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67</w:t>
            </w:r>
            <w:r>
              <w:rPr>
                <w:rFonts w:eastAsia="Times New Roman" w:cs="Calibri"/>
                <w:color w:val="000000"/>
                <w:sz w:val="16"/>
                <w:szCs w:val="16"/>
              </w:rPr>
              <w:t>,</w:t>
            </w:r>
            <w:r w:rsidRPr="002E3196">
              <w:rPr>
                <w:rFonts w:eastAsia="Times New Roman" w:cs="Calibri"/>
                <w:color w:val="000000"/>
                <w:sz w:val="16"/>
                <w:szCs w:val="16"/>
              </w:rPr>
              <w:t>489</w:t>
            </w:r>
          </w:p>
        </w:tc>
        <w:tc>
          <w:tcPr>
            <w:tcW w:w="1276" w:type="dxa"/>
            <w:shd w:val="clear" w:color="auto" w:fill="auto"/>
            <w:vAlign w:val="center"/>
            <w:hideMark/>
          </w:tcPr>
          <w:p w14:paraId="5E38C560" w14:textId="085D725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67</w:t>
            </w:r>
            <w:r>
              <w:rPr>
                <w:rFonts w:eastAsia="Times New Roman" w:cs="Calibri"/>
                <w:color w:val="000000"/>
                <w:sz w:val="16"/>
                <w:szCs w:val="16"/>
              </w:rPr>
              <w:t>,</w:t>
            </w:r>
            <w:r w:rsidRPr="005A4A5A">
              <w:rPr>
                <w:rFonts w:eastAsia="Times New Roman" w:cs="Calibri"/>
                <w:color w:val="000000"/>
                <w:sz w:val="16"/>
                <w:szCs w:val="16"/>
              </w:rPr>
              <w:t>489</w:t>
            </w:r>
          </w:p>
        </w:tc>
        <w:tc>
          <w:tcPr>
            <w:tcW w:w="1418" w:type="dxa"/>
            <w:shd w:val="clear" w:color="auto" w:fill="auto"/>
            <w:vAlign w:val="center"/>
            <w:hideMark/>
          </w:tcPr>
          <w:p w14:paraId="42F8EF0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2F7DD9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9FD3DE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33CA26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3ADA144" w14:textId="77777777" w:rsidTr="00780608">
        <w:trPr>
          <w:trHeight w:val="552"/>
        </w:trPr>
        <w:tc>
          <w:tcPr>
            <w:tcW w:w="1984" w:type="dxa"/>
            <w:shd w:val="clear" w:color="auto" w:fill="auto"/>
            <w:vAlign w:val="center"/>
            <w:hideMark/>
          </w:tcPr>
          <w:p w14:paraId="0468D3DB"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SmartestEnergy</w:t>
            </w:r>
            <w:proofErr w:type="spellEnd"/>
            <w:r w:rsidRPr="002E3196">
              <w:rPr>
                <w:rFonts w:eastAsia="Times New Roman" w:cs="Calibri"/>
                <w:color w:val="000000"/>
                <w:sz w:val="16"/>
                <w:szCs w:val="16"/>
              </w:rPr>
              <w:t xml:space="preserve"> Business Ltd </w:t>
            </w:r>
          </w:p>
        </w:tc>
        <w:tc>
          <w:tcPr>
            <w:tcW w:w="1275" w:type="dxa"/>
            <w:shd w:val="clear" w:color="auto" w:fill="auto"/>
            <w:vAlign w:val="center"/>
            <w:hideMark/>
          </w:tcPr>
          <w:p w14:paraId="44941D33" w14:textId="0FB7344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194</w:t>
            </w:r>
            <w:r>
              <w:rPr>
                <w:rFonts w:eastAsia="Times New Roman" w:cs="Calibri"/>
                <w:color w:val="000000"/>
                <w:sz w:val="16"/>
                <w:szCs w:val="16"/>
              </w:rPr>
              <w:t>,</w:t>
            </w:r>
            <w:r w:rsidRPr="002E3196">
              <w:rPr>
                <w:rFonts w:eastAsia="Times New Roman" w:cs="Calibri"/>
                <w:color w:val="000000"/>
                <w:sz w:val="16"/>
                <w:szCs w:val="16"/>
              </w:rPr>
              <w:t>411</w:t>
            </w:r>
          </w:p>
        </w:tc>
        <w:tc>
          <w:tcPr>
            <w:tcW w:w="1276" w:type="dxa"/>
            <w:shd w:val="clear" w:color="auto" w:fill="auto"/>
            <w:vAlign w:val="center"/>
            <w:hideMark/>
          </w:tcPr>
          <w:p w14:paraId="0131008D" w14:textId="0CE84AF3"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194</w:t>
            </w:r>
            <w:r>
              <w:rPr>
                <w:rFonts w:eastAsia="Times New Roman" w:cs="Calibri"/>
                <w:color w:val="000000"/>
                <w:sz w:val="16"/>
                <w:szCs w:val="16"/>
              </w:rPr>
              <w:t>,</w:t>
            </w:r>
            <w:r w:rsidRPr="005A4A5A">
              <w:rPr>
                <w:rFonts w:eastAsia="Times New Roman" w:cs="Calibri"/>
                <w:color w:val="000000"/>
                <w:sz w:val="16"/>
                <w:szCs w:val="16"/>
              </w:rPr>
              <w:t>411</w:t>
            </w:r>
          </w:p>
        </w:tc>
        <w:tc>
          <w:tcPr>
            <w:tcW w:w="1418" w:type="dxa"/>
            <w:shd w:val="clear" w:color="auto" w:fill="auto"/>
            <w:vAlign w:val="center"/>
            <w:hideMark/>
          </w:tcPr>
          <w:p w14:paraId="4FEEDE9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9DE17A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83D597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49D621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4DFB906" w14:textId="77777777" w:rsidTr="00780608">
        <w:trPr>
          <w:trHeight w:val="301"/>
        </w:trPr>
        <w:tc>
          <w:tcPr>
            <w:tcW w:w="1984" w:type="dxa"/>
            <w:shd w:val="clear" w:color="auto" w:fill="auto"/>
            <w:vAlign w:val="center"/>
            <w:hideMark/>
          </w:tcPr>
          <w:p w14:paraId="07107377"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SmartestEnergy</w:t>
            </w:r>
            <w:proofErr w:type="spellEnd"/>
            <w:r w:rsidRPr="002E3196">
              <w:rPr>
                <w:rFonts w:eastAsia="Times New Roman" w:cs="Calibri"/>
                <w:color w:val="000000"/>
                <w:sz w:val="16"/>
                <w:szCs w:val="16"/>
              </w:rPr>
              <w:t xml:space="preserve"> Ltd</w:t>
            </w:r>
          </w:p>
        </w:tc>
        <w:tc>
          <w:tcPr>
            <w:tcW w:w="1275" w:type="dxa"/>
            <w:shd w:val="clear" w:color="auto" w:fill="auto"/>
            <w:vAlign w:val="center"/>
            <w:hideMark/>
          </w:tcPr>
          <w:p w14:paraId="1D2A53D4" w14:textId="7363E4F4"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665</w:t>
            </w:r>
            <w:r>
              <w:rPr>
                <w:rFonts w:eastAsia="Times New Roman" w:cs="Calibri"/>
                <w:color w:val="000000"/>
                <w:sz w:val="16"/>
                <w:szCs w:val="16"/>
              </w:rPr>
              <w:t>,</w:t>
            </w:r>
            <w:r w:rsidRPr="002E3196">
              <w:rPr>
                <w:rFonts w:eastAsia="Times New Roman" w:cs="Calibri"/>
                <w:color w:val="000000"/>
                <w:sz w:val="16"/>
                <w:szCs w:val="16"/>
              </w:rPr>
              <w:t>972</w:t>
            </w:r>
          </w:p>
        </w:tc>
        <w:tc>
          <w:tcPr>
            <w:tcW w:w="1276" w:type="dxa"/>
            <w:shd w:val="clear" w:color="auto" w:fill="auto"/>
            <w:vAlign w:val="center"/>
            <w:hideMark/>
          </w:tcPr>
          <w:p w14:paraId="7BDEBD4F" w14:textId="3B331DE1"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w:t>
            </w:r>
            <w:r>
              <w:rPr>
                <w:rFonts w:eastAsia="Times New Roman" w:cs="Calibri"/>
                <w:color w:val="000000"/>
                <w:sz w:val="16"/>
                <w:szCs w:val="16"/>
              </w:rPr>
              <w:t>,</w:t>
            </w:r>
            <w:r w:rsidRPr="005A4A5A">
              <w:rPr>
                <w:rFonts w:eastAsia="Times New Roman" w:cs="Calibri"/>
                <w:color w:val="000000"/>
                <w:sz w:val="16"/>
                <w:szCs w:val="16"/>
              </w:rPr>
              <w:t>665</w:t>
            </w:r>
            <w:r>
              <w:rPr>
                <w:rFonts w:eastAsia="Times New Roman" w:cs="Calibri"/>
                <w:color w:val="000000"/>
                <w:sz w:val="16"/>
                <w:szCs w:val="16"/>
              </w:rPr>
              <w:t>,</w:t>
            </w:r>
            <w:r w:rsidRPr="005A4A5A">
              <w:rPr>
                <w:rFonts w:eastAsia="Times New Roman" w:cs="Calibri"/>
                <w:color w:val="000000"/>
                <w:sz w:val="16"/>
                <w:szCs w:val="16"/>
              </w:rPr>
              <w:t>972</w:t>
            </w:r>
          </w:p>
        </w:tc>
        <w:tc>
          <w:tcPr>
            <w:tcW w:w="1418" w:type="dxa"/>
            <w:shd w:val="clear" w:color="auto" w:fill="auto"/>
            <w:vAlign w:val="center"/>
            <w:hideMark/>
          </w:tcPr>
          <w:p w14:paraId="2B1182FA" w14:textId="68DE7B3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987</w:t>
            </w:r>
          </w:p>
        </w:tc>
        <w:tc>
          <w:tcPr>
            <w:tcW w:w="1417" w:type="dxa"/>
            <w:shd w:val="clear" w:color="auto" w:fill="auto"/>
            <w:vAlign w:val="center"/>
            <w:hideMark/>
          </w:tcPr>
          <w:p w14:paraId="59DA6D49" w14:textId="6DBD2CF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14</w:t>
            </w:r>
            <w:r>
              <w:rPr>
                <w:rFonts w:eastAsia="Times New Roman" w:cs="Calibri"/>
                <w:color w:val="000000"/>
                <w:sz w:val="16"/>
                <w:szCs w:val="16"/>
              </w:rPr>
              <w:t>,</w:t>
            </w:r>
            <w:r w:rsidRPr="002E3196">
              <w:rPr>
                <w:rFonts w:eastAsia="Times New Roman" w:cs="Calibri"/>
                <w:color w:val="000000"/>
                <w:sz w:val="16"/>
                <w:szCs w:val="16"/>
              </w:rPr>
              <w:t>169</w:t>
            </w:r>
          </w:p>
        </w:tc>
        <w:tc>
          <w:tcPr>
            <w:tcW w:w="1701" w:type="dxa"/>
            <w:shd w:val="clear" w:color="auto" w:fill="auto"/>
            <w:vAlign w:val="center"/>
            <w:hideMark/>
          </w:tcPr>
          <w:p w14:paraId="2B9F79C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200F0B6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8CFB975" w14:textId="77777777" w:rsidTr="00780608">
        <w:trPr>
          <w:trHeight w:val="552"/>
        </w:trPr>
        <w:tc>
          <w:tcPr>
            <w:tcW w:w="1984" w:type="dxa"/>
            <w:shd w:val="clear" w:color="auto" w:fill="auto"/>
            <w:vAlign w:val="center"/>
            <w:hideMark/>
          </w:tcPr>
          <w:p w14:paraId="55C9FC3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SO Energy Trading Ltd</w:t>
            </w:r>
          </w:p>
        </w:tc>
        <w:tc>
          <w:tcPr>
            <w:tcW w:w="1275" w:type="dxa"/>
            <w:shd w:val="clear" w:color="auto" w:fill="auto"/>
            <w:vAlign w:val="center"/>
            <w:hideMark/>
          </w:tcPr>
          <w:p w14:paraId="40DD8613" w14:textId="7CCE69B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408</w:t>
            </w:r>
            <w:r>
              <w:rPr>
                <w:rFonts w:eastAsia="Times New Roman" w:cs="Calibri"/>
                <w:color w:val="000000"/>
                <w:sz w:val="16"/>
                <w:szCs w:val="16"/>
              </w:rPr>
              <w:t>,</w:t>
            </w:r>
            <w:r w:rsidRPr="002E3196">
              <w:rPr>
                <w:rFonts w:eastAsia="Times New Roman" w:cs="Calibri"/>
                <w:color w:val="000000"/>
                <w:sz w:val="16"/>
                <w:szCs w:val="16"/>
              </w:rPr>
              <w:t>715</w:t>
            </w:r>
          </w:p>
        </w:tc>
        <w:tc>
          <w:tcPr>
            <w:tcW w:w="1276" w:type="dxa"/>
            <w:shd w:val="clear" w:color="auto" w:fill="auto"/>
            <w:vAlign w:val="center"/>
            <w:hideMark/>
          </w:tcPr>
          <w:p w14:paraId="0D6D544F" w14:textId="79934804"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3</w:t>
            </w:r>
            <w:r>
              <w:rPr>
                <w:rFonts w:eastAsia="Times New Roman" w:cs="Calibri"/>
                <w:color w:val="000000"/>
                <w:sz w:val="16"/>
                <w:szCs w:val="16"/>
              </w:rPr>
              <w:t>,</w:t>
            </w:r>
            <w:r w:rsidRPr="005A4A5A">
              <w:rPr>
                <w:rFonts w:eastAsia="Times New Roman" w:cs="Calibri"/>
                <w:color w:val="000000"/>
                <w:sz w:val="16"/>
                <w:szCs w:val="16"/>
              </w:rPr>
              <w:t>603</w:t>
            </w:r>
          </w:p>
        </w:tc>
        <w:tc>
          <w:tcPr>
            <w:tcW w:w="1418" w:type="dxa"/>
            <w:shd w:val="clear" w:color="auto" w:fill="auto"/>
            <w:vAlign w:val="center"/>
            <w:hideMark/>
          </w:tcPr>
          <w:p w14:paraId="3648002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33B1E3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E028DA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£20,275,855.60</w:t>
            </w:r>
          </w:p>
        </w:tc>
        <w:tc>
          <w:tcPr>
            <w:tcW w:w="1561" w:type="dxa"/>
            <w:shd w:val="clear" w:color="auto" w:fill="auto"/>
            <w:vAlign w:val="center"/>
            <w:hideMark/>
          </w:tcPr>
          <w:p w14:paraId="1301149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42E91FE" w14:textId="77777777" w:rsidTr="00780608">
        <w:trPr>
          <w:trHeight w:val="552"/>
        </w:trPr>
        <w:tc>
          <w:tcPr>
            <w:tcW w:w="1984" w:type="dxa"/>
            <w:shd w:val="clear" w:color="auto" w:fill="auto"/>
            <w:vAlign w:val="center"/>
            <w:hideMark/>
          </w:tcPr>
          <w:p w14:paraId="140A9A3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Social Energy Supply Ltd</w:t>
            </w:r>
          </w:p>
        </w:tc>
        <w:tc>
          <w:tcPr>
            <w:tcW w:w="1275" w:type="dxa"/>
            <w:shd w:val="clear" w:color="auto" w:fill="auto"/>
            <w:vAlign w:val="center"/>
            <w:hideMark/>
          </w:tcPr>
          <w:p w14:paraId="75CA17B9" w14:textId="3175BA2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w:t>
            </w:r>
            <w:r>
              <w:rPr>
                <w:rFonts w:eastAsia="Times New Roman" w:cs="Calibri"/>
                <w:color w:val="000000"/>
                <w:sz w:val="16"/>
                <w:szCs w:val="16"/>
              </w:rPr>
              <w:t>,</w:t>
            </w:r>
            <w:r w:rsidRPr="002E3196">
              <w:rPr>
                <w:rFonts w:eastAsia="Times New Roman" w:cs="Calibri"/>
                <w:color w:val="000000"/>
                <w:sz w:val="16"/>
                <w:szCs w:val="16"/>
              </w:rPr>
              <w:t>223</w:t>
            </w:r>
          </w:p>
        </w:tc>
        <w:tc>
          <w:tcPr>
            <w:tcW w:w="1276" w:type="dxa"/>
            <w:shd w:val="clear" w:color="auto" w:fill="auto"/>
            <w:vAlign w:val="center"/>
            <w:hideMark/>
          </w:tcPr>
          <w:p w14:paraId="64FD10D0"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B7AD81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2C11D7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59309D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£511,661.15</w:t>
            </w:r>
          </w:p>
        </w:tc>
        <w:tc>
          <w:tcPr>
            <w:tcW w:w="1561" w:type="dxa"/>
            <w:shd w:val="clear" w:color="auto" w:fill="auto"/>
            <w:vAlign w:val="center"/>
            <w:hideMark/>
          </w:tcPr>
          <w:p w14:paraId="44EC25E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9EBA7EE" w14:textId="77777777" w:rsidTr="00780608">
        <w:trPr>
          <w:trHeight w:val="301"/>
        </w:trPr>
        <w:tc>
          <w:tcPr>
            <w:tcW w:w="1984" w:type="dxa"/>
            <w:shd w:val="clear" w:color="auto" w:fill="auto"/>
            <w:vAlign w:val="center"/>
            <w:hideMark/>
          </w:tcPr>
          <w:p w14:paraId="29A394DE"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SQUARE1 ENERGY</w:t>
            </w:r>
          </w:p>
        </w:tc>
        <w:tc>
          <w:tcPr>
            <w:tcW w:w="1275" w:type="dxa"/>
            <w:shd w:val="clear" w:color="auto" w:fill="auto"/>
            <w:vAlign w:val="center"/>
            <w:hideMark/>
          </w:tcPr>
          <w:p w14:paraId="0392C91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34</w:t>
            </w:r>
          </w:p>
        </w:tc>
        <w:tc>
          <w:tcPr>
            <w:tcW w:w="1276" w:type="dxa"/>
            <w:shd w:val="clear" w:color="auto" w:fill="auto"/>
            <w:vAlign w:val="center"/>
            <w:hideMark/>
          </w:tcPr>
          <w:p w14:paraId="313932E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A63711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3F61B4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23824FB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£1,701.70</w:t>
            </w:r>
          </w:p>
        </w:tc>
        <w:tc>
          <w:tcPr>
            <w:tcW w:w="1561" w:type="dxa"/>
            <w:shd w:val="clear" w:color="auto" w:fill="auto"/>
            <w:vAlign w:val="center"/>
            <w:hideMark/>
          </w:tcPr>
          <w:p w14:paraId="5939B55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E32EB2D" w14:textId="77777777" w:rsidTr="00780608">
        <w:trPr>
          <w:trHeight w:val="552"/>
        </w:trPr>
        <w:tc>
          <w:tcPr>
            <w:tcW w:w="1984" w:type="dxa"/>
            <w:shd w:val="clear" w:color="auto" w:fill="auto"/>
            <w:vAlign w:val="center"/>
            <w:hideMark/>
          </w:tcPr>
          <w:p w14:paraId="409636F1"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Squeaky Clean Energy Ltd</w:t>
            </w:r>
          </w:p>
        </w:tc>
        <w:tc>
          <w:tcPr>
            <w:tcW w:w="1275" w:type="dxa"/>
            <w:shd w:val="clear" w:color="auto" w:fill="auto"/>
            <w:vAlign w:val="center"/>
            <w:hideMark/>
          </w:tcPr>
          <w:p w14:paraId="5DC6A174" w14:textId="261E86F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106</w:t>
            </w:r>
            <w:r>
              <w:rPr>
                <w:rFonts w:eastAsia="Times New Roman" w:cs="Calibri"/>
                <w:color w:val="000000"/>
                <w:sz w:val="16"/>
                <w:szCs w:val="16"/>
              </w:rPr>
              <w:t>,</w:t>
            </w:r>
            <w:r w:rsidRPr="002E3196">
              <w:rPr>
                <w:rFonts w:eastAsia="Times New Roman" w:cs="Calibri"/>
                <w:color w:val="000000"/>
                <w:sz w:val="16"/>
                <w:szCs w:val="16"/>
              </w:rPr>
              <w:t>868</w:t>
            </w:r>
          </w:p>
        </w:tc>
        <w:tc>
          <w:tcPr>
            <w:tcW w:w="1276" w:type="dxa"/>
            <w:shd w:val="clear" w:color="auto" w:fill="auto"/>
            <w:vAlign w:val="center"/>
            <w:hideMark/>
          </w:tcPr>
          <w:p w14:paraId="282CBA2E" w14:textId="4579212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106</w:t>
            </w:r>
            <w:r>
              <w:rPr>
                <w:rFonts w:eastAsia="Times New Roman" w:cs="Calibri"/>
                <w:color w:val="000000"/>
                <w:sz w:val="16"/>
                <w:szCs w:val="16"/>
              </w:rPr>
              <w:t>,</w:t>
            </w:r>
            <w:r w:rsidRPr="005A4A5A">
              <w:rPr>
                <w:rFonts w:eastAsia="Times New Roman" w:cs="Calibri"/>
                <w:color w:val="000000"/>
                <w:sz w:val="16"/>
                <w:szCs w:val="16"/>
              </w:rPr>
              <w:t>868</w:t>
            </w:r>
          </w:p>
        </w:tc>
        <w:tc>
          <w:tcPr>
            <w:tcW w:w="1418" w:type="dxa"/>
            <w:shd w:val="clear" w:color="auto" w:fill="auto"/>
            <w:vAlign w:val="center"/>
            <w:hideMark/>
          </w:tcPr>
          <w:p w14:paraId="56EF44C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42EB73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F36F3B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7A31C6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46031DDE" w14:textId="77777777" w:rsidTr="00780608">
        <w:trPr>
          <w:trHeight w:val="301"/>
        </w:trPr>
        <w:tc>
          <w:tcPr>
            <w:tcW w:w="1984" w:type="dxa"/>
            <w:shd w:val="clear" w:color="auto" w:fill="auto"/>
            <w:vAlign w:val="center"/>
            <w:hideMark/>
          </w:tcPr>
          <w:p w14:paraId="4274E787"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SSE PLC</w:t>
            </w:r>
          </w:p>
        </w:tc>
        <w:tc>
          <w:tcPr>
            <w:tcW w:w="1275" w:type="dxa"/>
            <w:shd w:val="clear" w:color="auto" w:fill="auto"/>
            <w:vAlign w:val="center"/>
            <w:hideMark/>
          </w:tcPr>
          <w:p w14:paraId="19E2F924" w14:textId="7E4A575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320</w:t>
            </w:r>
            <w:r>
              <w:rPr>
                <w:rFonts w:eastAsia="Times New Roman" w:cs="Calibri"/>
                <w:color w:val="000000"/>
                <w:sz w:val="16"/>
                <w:szCs w:val="16"/>
              </w:rPr>
              <w:t>,</w:t>
            </w:r>
            <w:r w:rsidRPr="002E3196">
              <w:rPr>
                <w:rFonts w:eastAsia="Times New Roman" w:cs="Calibri"/>
                <w:color w:val="000000"/>
                <w:sz w:val="16"/>
                <w:szCs w:val="16"/>
              </w:rPr>
              <w:t>941</w:t>
            </w:r>
          </w:p>
        </w:tc>
        <w:tc>
          <w:tcPr>
            <w:tcW w:w="1276" w:type="dxa"/>
            <w:shd w:val="clear" w:color="auto" w:fill="auto"/>
            <w:vAlign w:val="center"/>
            <w:hideMark/>
          </w:tcPr>
          <w:p w14:paraId="337C9E6A" w14:textId="1159312C"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w:t>
            </w:r>
            <w:r>
              <w:rPr>
                <w:rFonts w:eastAsia="Times New Roman" w:cs="Calibri"/>
                <w:color w:val="000000"/>
                <w:sz w:val="16"/>
                <w:szCs w:val="16"/>
              </w:rPr>
              <w:t>,</w:t>
            </w:r>
            <w:r w:rsidRPr="005A4A5A">
              <w:rPr>
                <w:rFonts w:eastAsia="Times New Roman" w:cs="Calibri"/>
                <w:color w:val="000000"/>
                <w:sz w:val="16"/>
                <w:szCs w:val="16"/>
              </w:rPr>
              <w:t>082</w:t>
            </w:r>
            <w:r>
              <w:rPr>
                <w:rFonts w:eastAsia="Times New Roman" w:cs="Calibri"/>
                <w:color w:val="000000"/>
                <w:sz w:val="16"/>
                <w:szCs w:val="16"/>
              </w:rPr>
              <w:t>,</w:t>
            </w:r>
            <w:r w:rsidRPr="005A4A5A">
              <w:rPr>
                <w:rFonts w:eastAsia="Times New Roman" w:cs="Calibri"/>
                <w:color w:val="000000"/>
                <w:sz w:val="16"/>
                <w:szCs w:val="16"/>
              </w:rPr>
              <w:t>077</w:t>
            </w:r>
          </w:p>
        </w:tc>
        <w:tc>
          <w:tcPr>
            <w:tcW w:w="1418" w:type="dxa"/>
            <w:shd w:val="clear" w:color="auto" w:fill="auto"/>
            <w:vAlign w:val="center"/>
            <w:hideMark/>
          </w:tcPr>
          <w:p w14:paraId="4ED6152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5F698C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04F6CF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£62,005,143.20</w:t>
            </w:r>
          </w:p>
        </w:tc>
        <w:tc>
          <w:tcPr>
            <w:tcW w:w="1561" w:type="dxa"/>
            <w:shd w:val="clear" w:color="auto" w:fill="auto"/>
            <w:vAlign w:val="center"/>
            <w:hideMark/>
          </w:tcPr>
          <w:p w14:paraId="62154BA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CE10D40" w14:textId="77777777" w:rsidTr="00780608">
        <w:trPr>
          <w:trHeight w:val="552"/>
        </w:trPr>
        <w:tc>
          <w:tcPr>
            <w:tcW w:w="1984" w:type="dxa"/>
            <w:shd w:val="clear" w:color="auto" w:fill="auto"/>
            <w:vAlign w:val="center"/>
            <w:hideMark/>
          </w:tcPr>
          <w:p w14:paraId="009D97C2"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Statkraft</w:t>
            </w:r>
            <w:proofErr w:type="spellEnd"/>
            <w:r w:rsidRPr="002E3196">
              <w:rPr>
                <w:rFonts w:eastAsia="Times New Roman" w:cs="Calibri"/>
                <w:color w:val="000000"/>
                <w:sz w:val="16"/>
                <w:szCs w:val="16"/>
              </w:rPr>
              <w:t xml:space="preserve"> Markets GmbH</w:t>
            </w:r>
          </w:p>
        </w:tc>
        <w:tc>
          <w:tcPr>
            <w:tcW w:w="1275" w:type="dxa"/>
            <w:shd w:val="clear" w:color="auto" w:fill="auto"/>
            <w:vAlign w:val="center"/>
            <w:hideMark/>
          </w:tcPr>
          <w:p w14:paraId="38D3933E" w14:textId="0C8DC36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552</w:t>
            </w:r>
          </w:p>
        </w:tc>
        <w:tc>
          <w:tcPr>
            <w:tcW w:w="1276" w:type="dxa"/>
            <w:shd w:val="clear" w:color="auto" w:fill="auto"/>
            <w:vAlign w:val="center"/>
            <w:hideMark/>
          </w:tcPr>
          <w:p w14:paraId="27C479FB"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78869E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754777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E7836A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£77,677.60</w:t>
            </w:r>
          </w:p>
        </w:tc>
        <w:tc>
          <w:tcPr>
            <w:tcW w:w="1561" w:type="dxa"/>
            <w:shd w:val="clear" w:color="auto" w:fill="auto"/>
            <w:vAlign w:val="center"/>
            <w:hideMark/>
          </w:tcPr>
          <w:p w14:paraId="74D5420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0C1712B" w14:textId="77777777" w:rsidTr="00780608">
        <w:trPr>
          <w:trHeight w:val="552"/>
        </w:trPr>
        <w:tc>
          <w:tcPr>
            <w:tcW w:w="1984" w:type="dxa"/>
            <w:shd w:val="clear" w:color="auto" w:fill="auto"/>
            <w:vAlign w:val="center"/>
            <w:hideMark/>
          </w:tcPr>
          <w:p w14:paraId="60C65060"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Switch Business Gas and Power Ltd</w:t>
            </w:r>
          </w:p>
        </w:tc>
        <w:tc>
          <w:tcPr>
            <w:tcW w:w="1275" w:type="dxa"/>
            <w:shd w:val="clear" w:color="auto" w:fill="auto"/>
            <w:vAlign w:val="center"/>
            <w:hideMark/>
          </w:tcPr>
          <w:p w14:paraId="33066418" w14:textId="6048B40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940</w:t>
            </w:r>
          </w:p>
        </w:tc>
        <w:tc>
          <w:tcPr>
            <w:tcW w:w="1276" w:type="dxa"/>
            <w:shd w:val="clear" w:color="auto" w:fill="auto"/>
            <w:vAlign w:val="center"/>
            <w:hideMark/>
          </w:tcPr>
          <w:p w14:paraId="173AB1CE"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1C3F17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512727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FBD0C3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£97,097.00</w:t>
            </w:r>
          </w:p>
        </w:tc>
        <w:tc>
          <w:tcPr>
            <w:tcW w:w="1561" w:type="dxa"/>
            <w:shd w:val="clear" w:color="auto" w:fill="auto"/>
            <w:vAlign w:val="center"/>
            <w:hideMark/>
          </w:tcPr>
          <w:p w14:paraId="128AE93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38654AB" w14:textId="77777777" w:rsidTr="00780608">
        <w:trPr>
          <w:trHeight w:hRule="exact" w:val="57"/>
        </w:trPr>
        <w:tc>
          <w:tcPr>
            <w:tcW w:w="1984" w:type="dxa"/>
            <w:vMerge w:val="restart"/>
            <w:shd w:val="clear" w:color="auto" w:fill="auto"/>
            <w:vAlign w:val="center"/>
            <w:hideMark/>
          </w:tcPr>
          <w:p w14:paraId="381F505E"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Symbio</w:t>
            </w:r>
            <w:proofErr w:type="spellEnd"/>
            <w:r w:rsidRPr="002E3196">
              <w:rPr>
                <w:rFonts w:eastAsia="Times New Roman" w:cs="Calibri"/>
                <w:color w:val="000000"/>
                <w:sz w:val="16"/>
                <w:szCs w:val="16"/>
              </w:rPr>
              <w:t xml:space="preserve"> Energy Ltd</w:t>
            </w:r>
          </w:p>
        </w:tc>
        <w:tc>
          <w:tcPr>
            <w:tcW w:w="1275" w:type="dxa"/>
            <w:vMerge w:val="restart"/>
            <w:shd w:val="clear" w:color="auto" w:fill="auto"/>
            <w:vAlign w:val="center"/>
            <w:hideMark/>
          </w:tcPr>
          <w:p w14:paraId="245B0682" w14:textId="44BC9B4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97</w:t>
            </w:r>
            <w:r>
              <w:rPr>
                <w:rFonts w:eastAsia="Times New Roman" w:cs="Calibri"/>
                <w:color w:val="000000"/>
                <w:sz w:val="16"/>
                <w:szCs w:val="16"/>
              </w:rPr>
              <w:t>,</w:t>
            </w:r>
            <w:r w:rsidRPr="002E3196">
              <w:rPr>
                <w:rFonts w:eastAsia="Times New Roman" w:cs="Calibri"/>
                <w:color w:val="000000"/>
                <w:sz w:val="16"/>
                <w:szCs w:val="16"/>
              </w:rPr>
              <w:t>657</w:t>
            </w:r>
          </w:p>
        </w:tc>
        <w:tc>
          <w:tcPr>
            <w:tcW w:w="1276" w:type="dxa"/>
            <w:vMerge w:val="restart"/>
            <w:shd w:val="clear" w:color="auto" w:fill="auto"/>
            <w:vAlign w:val="center"/>
            <w:hideMark/>
          </w:tcPr>
          <w:p w14:paraId="53157354"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vMerge w:val="restart"/>
            <w:shd w:val="clear" w:color="auto" w:fill="auto"/>
            <w:vAlign w:val="center"/>
            <w:hideMark/>
          </w:tcPr>
          <w:p w14:paraId="78F6500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vMerge w:val="restart"/>
            <w:shd w:val="clear" w:color="auto" w:fill="auto"/>
            <w:vAlign w:val="center"/>
            <w:hideMark/>
          </w:tcPr>
          <w:p w14:paraId="1C68252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vMerge w:val="restart"/>
            <w:shd w:val="clear" w:color="auto" w:fill="auto"/>
            <w:vAlign w:val="center"/>
            <w:hideMark/>
          </w:tcPr>
          <w:p w14:paraId="6267486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vMerge w:val="restart"/>
            <w:shd w:val="clear" w:color="auto" w:fill="auto"/>
            <w:vAlign w:val="center"/>
            <w:hideMark/>
          </w:tcPr>
          <w:p w14:paraId="2F525AF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1052160" w14:textId="77777777" w:rsidTr="00780608">
        <w:trPr>
          <w:trHeight w:val="480"/>
        </w:trPr>
        <w:tc>
          <w:tcPr>
            <w:tcW w:w="1984" w:type="dxa"/>
            <w:vMerge/>
            <w:vAlign w:val="center"/>
            <w:hideMark/>
          </w:tcPr>
          <w:p w14:paraId="036B2A52" w14:textId="77777777" w:rsidR="00036B8A" w:rsidRPr="002E3196" w:rsidRDefault="00036B8A" w:rsidP="00C3023D">
            <w:pPr>
              <w:spacing w:after="0" w:line="240" w:lineRule="auto"/>
              <w:rPr>
                <w:rFonts w:eastAsia="Times New Roman" w:cs="Calibri"/>
                <w:color w:val="000000"/>
                <w:sz w:val="16"/>
                <w:szCs w:val="16"/>
              </w:rPr>
            </w:pPr>
          </w:p>
        </w:tc>
        <w:tc>
          <w:tcPr>
            <w:tcW w:w="1275" w:type="dxa"/>
            <w:vMerge/>
            <w:vAlign w:val="center"/>
            <w:hideMark/>
          </w:tcPr>
          <w:p w14:paraId="41434B8E" w14:textId="77777777" w:rsidR="00036B8A" w:rsidRPr="002E3196" w:rsidRDefault="00036B8A" w:rsidP="00780608">
            <w:pPr>
              <w:spacing w:after="0" w:line="240" w:lineRule="auto"/>
              <w:jc w:val="right"/>
              <w:rPr>
                <w:rFonts w:eastAsia="Times New Roman" w:cs="Calibri"/>
                <w:color w:val="000000"/>
                <w:sz w:val="16"/>
                <w:szCs w:val="16"/>
              </w:rPr>
            </w:pPr>
          </w:p>
        </w:tc>
        <w:tc>
          <w:tcPr>
            <w:tcW w:w="1276" w:type="dxa"/>
            <w:vMerge/>
            <w:vAlign w:val="center"/>
            <w:hideMark/>
          </w:tcPr>
          <w:p w14:paraId="4DB6502A" w14:textId="77777777" w:rsidR="00036B8A" w:rsidRPr="005A4A5A" w:rsidRDefault="00036B8A" w:rsidP="00780608">
            <w:pPr>
              <w:spacing w:after="0" w:line="240" w:lineRule="auto"/>
              <w:jc w:val="right"/>
              <w:rPr>
                <w:rFonts w:eastAsia="Times New Roman" w:cs="Calibri"/>
                <w:color w:val="000000"/>
                <w:sz w:val="16"/>
                <w:szCs w:val="16"/>
              </w:rPr>
            </w:pPr>
          </w:p>
        </w:tc>
        <w:tc>
          <w:tcPr>
            <w:tcW w:w="1418" w:type="dxa"/>
            <w:vMerge/>
            <w:vAlign w:val="center"/>
            <w:hideMark/>
          </w:tcPr>
          <w:p w14:paraId="662E4355" w14:textId="77777777" w:rsidR="00036B8A" w:rsidRPr="002E3196" w:rsidRDefault="00036B8A" w:rsidP="00780608">
            <w:pPr>
              <w:spacing w:after="0" w:line="240" w:lineRule="auto"/>
              <w:jc w:val="right"/>
              <w:rPr>
                <w:rFonts w:eastAsia="Times New Roman" w:cs="Calibri"/>
                <w:color w:val="000000"/>
                <w:sz w:val="16"/>
                <w:szCs w:val="16"/>
              </w:rPr>
            </w:pPr>
          </w:p>
        </w:tc>
        <w:tc>
          <w:tcPr>
            <w:tcW w:w="1417" w:type="dxa"/>
            <w:vMerge/>
            <w:vAlign w:val="center"/>
            <w:hideMark/>
          </w:tcPr>
          <w:p w14:paraId="17D9F92F" w14:textId="77777777" w:rsidR="00036B8A" w:rsidRPr="002E3196" w:rsidRDefault="00036B8A" w:rsidP="00780608">
            <w:pPr>
              <w:spacing w:after="0" w:line="240" w:lineRule="auto"/>
              <w:jc w:val="right"/>
              <w:rPr>
                <w:rFonts w:eastAsia="Times New Roman" w:cs="Calibri"/>
                <w:color w:val="000000"/>
                <w:sz w:val="16"/>
                <w:szCs w:val="16"/>
              </w:rPr>
            </w:pPr>
          </w:p>
        </w:tc>
        <w:tc>
          <w:tcPr>
            <w:tcW w:w="1701" w:type="dxa"/>
            <w:vMerge/>
            <w:vAlign w:val="center"/>
            <w:hideMark/>
          </w:tcPr>
          <w:p w14:paraId="203949BB" w14:textId="77777777" w:rsidR="00036B8A" w:rsidRPr="002E3196" w:rsidRDefault="00036B8A" w:rsidP="00780608">
            <w:pPr>
              <w:spacing w:after="0" w:line="240" w:lineRule="auto"/>
              <w:jc w:val="right"/>
              <w:rPr>
                <w:rFonts w:eastAsia="Times New Roman" w:cs="Calibri"/>
                <w:color w:val="000000"/>
                <w:sz w:val="16"/>
                <w:szCs w:val="16"/>
              </w:rPr>
            </w:pPr>
          </w:p>
        </w:tc>
        <w:tc>
          <w:tcPr>
            <w:tcW w:w="1561" w:type="dxa"/>
            <w:vMerge/>
            <w:vAlign w:val="center"/>
            <w:hideMark/>
          </w:tcPr>
          <w:p w14:paraId="50CE539D" w14:textId="77777777" w:rsidR="00036B8A" w:rsidRPr="002E3196" w:rsidRDefault="00036B8A" w:rsidP="00780608">
            <w:pPr>
              <w:spacing w:after="0" w:line="240" w:lineRule="auto"/>
              <w:jc w:val="right"/>
              <w:rPr>
                <w:rFonts w:eastAsia="Times New Roman" w:cs="Calibri"/>
                <w:color w:val="000000"/>
                <w:sz w:val="16"/>
                <w:szCs w:val="16"/>
              </w:rPr>
            </w:pPr>
          </w:p>
        </w:tc>
      </w:tr>
      <w:tr w:rsidR="00036B8A" w:rsidRPr="006B3AC6" w14:paraId="7BF6B84F" w14:textId="77777777" w:rsidTr="00780608">
        <w:trPr>
          <w:trHeight w:val="552"/>
        </w:trPr>
        <w:tc>
          <w:tcPr>
            <w:tcW w:w="1984" w:type="dxa"/>
            <w:shd w:val="clear" w:color="auto" w:fill="auto"/>
            <w:vAlign w:val="center"/>
            <w:hideMark/>
          </w:tcPr>
          <w:p w14:paraId="0CDE250A"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Together Energy (Retail) Ltd</w:t>
            </w:r>
          </w:p>
        </w:tc>
        <w:tc>
          <w:tcPr>
            <w:tcW w:w="1275" w:type="dxa"/>
            <w:shd w:val="clear" w:color="auto" w:fill="auto"/>
            <w:vAlign w:val="center"/>
            <w:hideMark/>
          </w:tcPr>
          <w:p w14:paraId="413F96D9" w14:textId="2FB1EED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228</w:t>
            </w:r>
            <w:r>
              <w:rPr>
                <w:rFonts w:eastAsia="Times New Roman" w:cs="Calibri"/>
                <w:color w:val="000000"/>
                <w:sz w:val="16"/>
                <w:szCs w:val="16"/>
              </w:rPr>
              <w:t>,</w:t>
            </w:r>
            <w:r w:rsidRPr="002E3196">
              <w:rPr>
                <w:rFonts w:eastAsia="Times New Roman" w:cs="Calibri"/>
                <w:color w:val="000000"/>
                <w:sz w:val="16"/>
                <w:szCs w:val="16"/>
              </w:rPr>
              <w:t>591</w:t>
            </w:r>
          </w:p>
        </w:tc>
        <w:tc>
          <w:tcPr>
            <w:tcW w:w="1276" w:type="dxa"/>
            <w:shd w:val="clear" w:color="auto" w:fill="auto"/>
            <w:vAlign w:val="center"/>
            <w:hideMark/>
          </w:tcPr>
          <w:p w14:paraId="3F8ACEBC"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B29DC3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FF1DC4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1C9BA53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A1F307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351D77D" w14:textId="77777777" w:rsidTr="00780608">
        <w:trPr>
          <w:trHeight w:val="340"/>
        </w:trPr>
        <w:tc>
          <w:tcPr>
            <w:tcW w:w="1984" w:type="dxa"/>
            <w:shd w:val="clear" w:color="auto" w:fill="auto"/>
            <w:vAlign w:val="center"/>
            <w:hideMark/>
          </w:tcPr>
          <w:p w14:paraId="4309B7D1"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Tonik</w:t>
            </w:r>
            <w:proofErr w:type="spellEnd"/>
            <w:r w:rsidRPr="002E3196">
              <w:rPr>
                <w:rFonts w:eastAsia="Times New Roman" w:cs="Calibri"/>
                <w:color w:val="000000"/>
                <w:sz w:val="16"/>
                <w:szCs w:val="16"/>
              </w:rPr>
              <w:t xml:space="preserve"> Energy Limited</w:t>
            </w:r>
          </w:p>
        </w:tc>
        <w:tc>
          <w:tcPr>
            <w:tcW w:w="1275" w:type="dxa"/>
            <w:shd w:val="clear" w:color="auto" w:fill="auto"/>
            <w:vAlign w:val="center"/>
            <w:hideMark/>
          </w:tcPr>
          <w:p w14:paraId="66DDB659" w14:textId="4716E96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92</w:t>
            </w:r>
            <w:r>
              <w:rPr>
                <w:rFonts w:eastAsia="Times New Roman" w:cs="Calibri"/>
                <w:color w:val="000000"/>
                <w:sz w:val="16"/>
                <w:szCs w:val="16"/>
              </w:rPr>
              <w:t>,</w:t>
            </w:r>
            <w:r w:rsidRPr="002E3196">
              <w:rPr>
                <w:rFonts w:eastAsia="Times New Roman" w:cs="Calibri"/>
                <w:color w:val="000000"/>
                <w:sz w:val="16"/>
                <w:szCs w:val="16"/>
              </w:rPr>
              <w:t>894</w:t>
            </w:r>
          </w:p>
        </w:tc>
        <w:tc>
          <w:tcPr>
            <w:tcW w:w="1276" w:type="dxa"/>
            <w:shd w:val="clear" w:color="auto" w:fill="auto"/>
            <w:vAlign w:val="center"/>
            <w:hideMark/>
          </w:tcPr>
          <w:p w14:paraId="62A963F9"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176D3A0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457C79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6914D7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4F55A4F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28C923C" w14:textId="77777777" w:rsidTr="00780608">
        <w:trPr>
          <w:trHeight w:val="552"/>
        </w:trPr>
        <w:tc>
          <w:tcPr>
            <w:tcW w:w="1984" w:type="dxa"/>
            <w:shd w:val="clear" w:color="auto" w:fill="auto"/>
            <w:vAlign w:val="center"/>
            <w:hideMark/>
          </w:tcPr>
          <w:p w14:paraId="25C4BBA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Total Gas &amp; Power Ltd</w:t>
            </w:r>
          </w:p>
        </w:tc>
        <w:tc>
          <w:tcPr>
            <w:tcW w:w="1275" w:type="dxa"/>
            <w:shd w:val="clear" w:color="auto" w:fill="auto"/>
            <w:vAlign w:val="center"/>
            <w:hideMark/>
          </w:tcPr>
          <w:p w14:paraId="075F4558" w14:textId="29CA57DA"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w:t>
            </w:r>
            <w:r>
              <w:rPr>
                <w:rFonts w:eastAsia="Times New Roman" w:cs="Calibri"/>
                <w:color w:val="000000"/>
                <w:sz w:val="16"/>
                <w:szCs w:val="16"/>
              </w:rPr>
              <w:t>,</w:t>
            </w:r>
            <w:r w:rsidRPr="002E3196">
              <w:rPr>
                <w:rFonts w:eastAsia="Times New Roman" w:cs="Calibri"/>
                <w:color w:val="000000"/>
                <w:sz w:val="16"/>
                <w:szCs w:val="16"/>
              </w:rPr>
              <w:t>011</w:t>
            </w:r>
            <w:r>
              <w:rPr>
                <w:rFonts w:eastAsia="Times New Roman" w:cs="Calibri"/>
                <w:color w:val="000000"/>
                <w:sz w:val="16"/>
                <w:szCs w:val="16"/>
              </w:rPr>
              <w:t>,</w:t>
            </w:r>
            <w:r w:rsidRPr="002E3196">
              <w:rPr>
                <w:rFonts w:eastAsia="Times New Roman" w:cs="Calibri"/>
                <w:color w:val="000000"/>
                <w:sz w:val="16"/>
                <w:szCs w:val="16"/>
              </w:rPr>
              <w:t>655</w:t>
            </w:r>
          </w:p>
        </w:tc>
        <w:tc>
          <w:tcPr>
            <w:tcW w:w="1276" w:type="dxa"/>
            <w:shd w:val="clear" w:color="auto" w:fill="auto"/>
            <w:vAlign w:val="center"/>
            <w:hideMark/>
          </w:tcPr>
          <w:p w14:paraId="6CF3EE5F" w14:textId="55D485C5"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w:t>
            </w:r>
            <w:r>
              <w:rPr>
                <w:rFonts w:eastAsia="Times New Roman" w:cs="Calibri"/>
                <w:color w:val="000000"/>
                <w:sz w:val="16"/>
                <w:szCs w:val="16"/>
              </w:rPr>
              <w:t>,</w:t>
            </w:r>
            <w:r w:rsidRPr="005A4A5A">
              <w:rPr>
                <w:rFonts w:eastAsia="Times New Roman" w:cs="Calibri"/>
                <w:color w:val="000000"/>
                <w:sz w:val="16"/>
                <w:szCs w:val="16"/>
              </w:rPr>
              <w:t>011</w:t>
            </w:r>
            <w:r>
              <w:rPr>
                <w:rFonts w:eastAsia="Times New Roman" w:cs="Calibri"/>
                <w:color w:val="000000"/>
                <w:sz w:val="16"/>
                <w:szCs w:val="16"/>
              </w:rPr>
              <w:t>,</w:t>
            </w:r>
            <w:r w:rsidRPr="005A4A5A">
              <w:rPr>
                <w:rFonts w:eastAsia="Times New Roman" w:cs="Calibri"/>
                <w:color w:val="000000"/>
                <w:sz w:val="16"/>
                <w:szCs w:val="16"/>
              </w:rPr>
              <w:t>655</w:t>
            </w:r>
          </w:p>
        </w:tc>
        <w:tc>
          <w:tcPr>
            <w:tcW w:w="1418" w:type="dxa"/>
            <w:shd w:val="clear" w:color="auto" w:fill="auto"/>
            <w:vAlign w:val="center"/>
            <w:hideMark/>
          </w:tcPr>
          <w:p w14:paraId="650CB58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39E2350" w14:textId="4169417C"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303</w:t>
            </w:r>
            <w:r>
              <w:rPr>
                <w:rFonts w:eastAsia="Times New Roman" w:cs="Calibri"/>
                <w:color w:val="000000"/>
                <w:sz w:val="16"/>
                <w:szCs w:val="16"/>
              </w:rPr>
              <w:t>,</w:t>
            </w:r>
            <w:r w:rsidRPr="002E3196">
              <w:rPr>
                <w:rFonts w:eastAsia="Times New Roman" w:cs="Calibri"/>
                <w:color w:val="000000"/>
                <w:sz w:val="16"/>
                <w:szCs w:val="16"/>
              </w:rPr>
              <w:t>205</w:t>
            </w:r>
          </w:p>
        </w:tc>
        <w:tc>
          <w:tcPr>
            <w:tcW w:w="1701" w:type="dxa"/>
            <w:shd w:val="clear" w:color="auto" w:fill="auto"/>
            <w:vAlign w:val="center"/>
            <w:hideMark/>
          </w:tcPr>
          <w:p w14:paraId="54BD914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77B02C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9F9E5FB" w14:textId="77777777" w:rsidTr="00780608">
        <w:trPr>
          <w:trHeight w:val="301"/>
        </w:trPr>
        <w:tc>
          <w:tcPr>
            <w:tcW w:w="1984" w:type="dxa"/>
            <w:shd w:val="clear" w:color="auto" w:fill="auto"/>
            <w:vAlign w:val="center"/>
            <w:hideMark/>
          </w:tcPr>
          <w:p w14:paraId="15D2F4E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Toucan Energy Ltd</w:t>
            </w:r>
          </w:p>
        </w:tc>
        <w:tc>
          <w:tcPr>
            <w:tcW w:w="1275" w:type="dxa"/>
            <w:shd w:val="clear" w:color="auto" w:fill="auto"/>
            <w:vAlign w:val="center"/>
            <w:hideMark/>
          </w:tcPr>
          <w:p w14:paraId="5909BAA6" w14:textId="590A3630"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449</w:t>
            </w:r>
          </w:p>
        </w:tc>
        <w:tc>
          <w:tcPr>
            <w:tcW w:w="1276" w:type="dxa"/>
            <w:shd w:val="clear" w:color="auto" w:fill="auto"/>
            <w:vAlign w:val="center"/>
            <w:hideMark/>
          </w:tcPr>
          <w:p w14:paraId="654A5AC1"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70887FE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3F9F4F9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DBDB7D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£72,522.45</w:t>
            </w:r>
          </w:p>
        </w:tc>
        <w:tc>
          <w:tcPr>
            <w:tcW w:w="1561" w:type="dxa"/>
            <w:shd w:val="clear" w:color="auto" w:fill="auto"/>
            <w:vAlign w:val="center"/>
            <w:hideMark/>
          </w:tcPr>
          <w:p w14:paraId="524368D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8D6AC7A" w14:textId="77777777" w:rsidTr="00780608">
        <w:trPr>
          <w:trHeight w:val="552"/>
        </w:trPr>
        <w:tc>
          <w:tcPr>
            <w:tcW w:w="1984" w:type="dxa"/>
            <w:shd w:val="clear" w:color="auto" w:fill="auto"/>
            <w:vAlign w:val="center"/>
            <w:hideMark/>
          </w:tcPr>
          <w:p w14:paraId="42F88F72"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Tradelink Solutions Ltd</w:t>
            </w:r>
          </w:p>
        </w:tc>
        <w:tc>
          <w:tcPr>
            <w:tcW w:w="1275" w:type="dxa"/>
            <w:shd w:val="clear" w:color="auto" w:fill="auto"/>
            <w:vAlign w:val="center"/>
            <w:hideMark/>
          </w:tcPr>
          <w:p w14:paraId="54A3EA4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233</w:t>
            </w:r>
          </w:p>
        </w:tc>
        <w:tc>
          <w:tcPr>
            <w:tcW w:w="1276" w:type="dxa"/>
            <w:shd w:val="clear" w:color="auto" w:fill="auto"/>
            <w:vAlign w:val="center"/>
            <w:hideMark/>
          </w:tcPr>
          <w:p w14:paraId="2F5F3B73"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233</w:t>
            </w:r>
          </w:p>
        </w:tc>
        <w:tc>
          <w:tcPr>
            <w:tcW w:w="1418" w:type="dxa"/>
            <w:shd w:val="clear" w:color="auto" w:fill="auto"/>
            <w:vAlign w:val="center"/>
            <w:hideMark/>
          </w:tcPr>
          <w:p w14:paraId="7378713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6E9BF49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55</w:t>
            </w:r>
          </w:p>
        </w:tc>
        <w:tc>
          <w:tcPr>
            <w:tcW w:w="1701" w:type="dxa"/>
            <w:shd w:val="clear" w:color="auto" w:fill="auto"/>
            <w:vAlign w:val="center"/>
            <w:hideMark/>
          </w:tcPr>
          <w:p w14:paraId="7002315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1F2AFE1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D534A04" w14:textId="77777777" w:rsidTr="00780608">
        <w:trPr>
          <w:trHeight w:val="301"/>
        </w:trPr>
        <w:tc>
          <w:tcPr>
            <w:tcW w:w="1984" w:type="dxa"/>
            <w:shd w:val="clear" w:color="auto" w:fill="auto"/>
            <w:vAlign w:val="center"/>
            <w:hideMark/>
          </w:tcPr>
          <w:p w14:paraId="1EA38523"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Tru</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023747C4" w14:textId="7313D99E"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16</w:t>
            </w:r>
            <w:r>
              <w:rPr>
                <w:rFonts w:eastAsia="Times New Roman" w:cs="Calibri"/>
                <w:color w:val="000000"/>
                <w:sz w:val="16"/>
                <w:szCs w:val="16"/>
              </w:rPr>
              <w:t>,</w:t>
            </w:r>
            <w:r w:rsidRPr="002E3196">
              <w:rPr>
                <w:rFonts w:eastAsia="Times New Roman" w:cs="Calibri"/>
                <w:color w:val="000000"/>
                <w:sz w:val="16"/>
                <w:szCs w:val="16"/>
              </w:rPr>
              <w:t>085</w:t>
            </w:r>
          </w:p>
        </w:tc>
        <w:tc>
          <w:tcPr>
            <w:tcW w:w="1276" w:type="dxa"/>
            <w:shd w:val="clear" w:color="auto" w:fill="auto"/>
            <w:vAlign w:val="center"/>
            <w:hideMark/>
          </w:tcPr>
          <w:p w14:paraId="1DC8D896"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D29B6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45206E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9E0AA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£805,054.25</w:t>
            </w:r>
          </w:p>
        </w:tc>
        <w:tc>
          <w:tcPr>
            <w:tcW w:w="1561" w:type="dxa"/>
            <w:shd w:val="clear" w:color="auto" w:fill="auto"/>
            <w:vAlign w:val="center"/>
            <w:hideMark/>
          </w:tcPr>
          <w:p w14:paraId="1AFA131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B4071EF" w14:textId="77777777" w:rsidTr="00780608">
        <w:trPr>
          <w:trHeight w:val="552"/>
        </w:trPr>
        <w:tc>
          <w:tcPr>
            <w:tcW w:w="1984" w:type="dxa"/>
            <w:shd w:val="clear" w:color="auto" w:fill="auto"/>
            <w:vAlign w:val="center"/>
            <w:hideMark/>
          </w:tcPr>
          <w:p w14:paraId="5F4B5C2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UK Power Reserve Ltd</w:t>
            </w:r>
          </w:p>
        </w:tc>
        <w:tc>
          <w:tcPr>
            <w:tcW w:w="1275" w:type="dxa"/>
            <w:shd w:val="clear" w:color="auto" w:fill="auto"/>
            <w:vAlign w:val="center"/>
            <w:hideMark/>
          </w:tcPr>
          <w:p w14:paraId="691C6405" w14:textId="4A8FC79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w:t>
            </w:r>
            <w:r>
              <w:rPr>
                <w:rFonts w:eastAsia="Times New Roman" w:cs="Calibri"/>
                <w:color w:val="000000"/>
                <w:sz w:val="16"/>
                <w:szCs w:val="16"/>
              </w:rPr>
              <w:t>,</w:t>
            </w:r>
            <w:r w:rsidRPr="002E3196">
              <w:rPr>
                <w:rFonts w:eastAsia="Times New Roman" w:cs="Calibri"/>
                <w:color w:val="000000"/>
                <w:sz w:val="16"/>
                <w:szCs w:val="16"/>
              </w:rPr>
              <w:t>298</w:t>
            </w:r>
          </w:p>
        </w:tc>
        <w:tc>
          <w:tcPr>
            <w:tcW w:w="1276" w:type="dxa"/>
            <w:shd w:val="clear" w:color="auto" w:fill="auto"/>
            <w:vAlign w:val="center"/>
            <w:hideMark/>
          </w:tcPr>
          <w:p w14:paraId="0135F1B5" w14:textId="3F4CBD8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w:t>
            </w:r>
            <w:r>
              <w:rPr>
                <w:rFonts w:eastAsia="Times New Roman" w:cs="Calibri"/>
                <w:color w:val="000000"/>
                <w:sz w:val="16"/>
                <w:szCs w:val="16"/>
              </w:rPr>
              <w:t>,</w:t>
            </w:r>
            <w:r w:rsidRPr="005A4A5A">
              <w:rPr>
                <w:rFonts w:eastAsia="Times New Roman" w:cs="Calibri"/>
                <w:color w:val="000000"/>
                <w:sz w:val="16"/>
                <w:szCs w:val="16"/>
              </w:rPr>
              <w:t>298</w:t>
            </w:r>
          </w:p>
        </w:tc>
        <w:tc>
          <w:tcPr>
            <w:tcW w:w="1418" w:type="dxa"/>
            <w:shd w:val="clear" w:color="auto" w:fill="auto"/>
            <w:vAlign w:val="center"/>
            <w:hideMark/>
          </w:tcPr>
          <w:p w14:paraId="0D8650B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4D383E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177165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00A096F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3AC47AE6" w14:textId="77777777" w:rsidTr="00780608">
        <w:trPr>
          <w:trHeight w:val="301"/>
        </w:trPr>
        <w:tc>
          <w:tcPr>
            <w:tcW w:w="1984" w:type="dxa"/>
            <w:shd w:val="clear" w:color="auto" w:fill="auto"/>
            <w:vAlign w:val="center"/>
            <w:hideMark/>
          </w:tcPr>
          <w:p w14:paraId="525FBEAB"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Unify Energy Ltd</w:t>
            </w:r>
          </w:p>
        </w:tc>
        <w:tc>
          <w:tcPr>
            <w:tcW w:w="1275" w:type="dxa"/>
            <w:shd w:val="clear" w:color="auto" w:fill="auto"/>
            <w:vAlign w:val="center"/>
            <w:hideMark/>
          </w:tcPr>
          <w:p w14:paraId="3E228A60" w14:textId="0AA55199"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46</w:t>
            </w:r>
            <w:r>
              <w:rPr>
                <w:rFonts w:eastAsia="Times New Roman" w:cs="Calibri"/>
                <w:color w:val="000000"/>
                <w:sz w:val="16"/>
                <w:szCs w:val="16"/>
              </w:rPr>
              <w:t>,</w:t>
            </w:r>
            <w:r w:rsidRPr="002E3196">
              <w:rPr>
                <w:rFonts w:eastAsia="Times New Roman" w:cs="Calibri"/>
                <w:color w:val="000000"/>
                <w:sz w:val="16"/>
                <w:szCs w:val="16"/>
              </w:rPr>
              <w:t>084</w:t>
            </w:r>
          </w:p>
        </w:tc>
        <w:tc>
          <w:tcPr>
            <w:tcW w:w="1276" w:type="dxa"/>
            <w:shd w:val="clear" w:color="auto" w:fill="auto"/>
            <w:vAlign w:val="center"/>
            <w:hideMark/>
          </w:tcPr>
          <w:p w14:paraId="4E236010" w14:textId="2046123D"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5</w:t>
            </w:r>
            <w:r>
              <w:rPr>
                <w:rFonts w:eastAsia="Times New Roman" w:cs="Calibri"/>
                <w:color w:val="000000"/>
                <w:sz w:val="16"/>
                <w:szCs w:val="16"/>
              </w:rPr>
              <w:t>,</w:t>
            </w:r>
            <w:r w:rsidRPr="005A4A5A">
              <w:rPr>
                <w:rFonts w:eastAsia="Times New Roman" w:cs="Calibri"/>
                <w:color w:val="000000"/>
                <w:sz w:val="16"/>
                <w:szCs w:val="16"/>
              </w:rPr>
              <w:t>509</w:t>
            </w:r>
          </w:p>
        </w:tc>
        <w:tc>
          <w:tcPr>
            <w:tcW w:w="1418" w:type="dxa"/>
            <w:shd w:val="clear" w:color="auto" w:fill="auto"/>
            <w:vAlign w:val="center"/>
            <w:hideMark/>
          </w:tcPr>
          <w:p w14:paraId="3E2921D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87</w:t>
            </w:r>
          </w:p>
        </w:tc>
        <w:tc>
          <w:tcPr>
            <w:tcW w:w="1417" w:type="dxa"/>
            <w:shd w:val="clear" w:color="auto" w:fill="auto"/>
            <w:vAlign w:val="center"/>
            <w:hideMark/>
          </w:tcPr>
          <w:p w14:paraId="4B03779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F0FB0D3"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£2,030,778.75</w:t>
            </w:r>
          </w:p>
        </w:tc>
        <w:tc>
          <w:tcPr>
            <w:tcW w:w="1561" w:type="dxa"/>
            <w:shd w:val="clear" w:color="auto" w:fill="auto"/>
            <w:vAlign w:val="center"/>
            <w:hideMark/>
          </w:tcPr>
          <w:p w14:paraId="77FF67B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24BF6A7" w14:textId="77777777" w:rsidTr="00780608">
        <w:trPr>
          <w:trHeight w:val="552"/>
        </w:trPr>
        <w:tc>
          <w:tcPr>
            <w:tcW w:w="1984" w:type="dxa"/>
            <w:shd w:val="clear" w:color="auto" w:fill="auto"/>
            <w:vAlign w:val="center"/>
            <w:hideMark/>
          </w:tcPr>
          <w:p w14:paraId="1EAB9409"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United Gas &amp; Power Ltd</w:t>
            </w:r>
          </w:p>
        </w:tc>
        <w:tc>
          <w:tcPr>
            <w:tcW w:w="1275" w:type="dxa"/>
            <w:shd w:val="clear" w:color="auto" w:fill="auto"/>
            <w:vAlign w:val="center"/>
            <w:hideMark/>
          </w:tcPr>
          <w:p w14:paraId="375AE5E0" w14:textId="680988B3"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70</w:t>
            </w:r>
            <w:r>
              <w:rPr>
                <w:rFonts w:eastAsia="Times New Roman" w:cs="Calibri"/>
                <w:color w:val="000000"/>
                <w:sz w:val="16"/>
                <w:szCs w:val="16"/>
              </w:rPr>
              <w:t>,</w:t>
            </w:r>
            <w:r w:rsidRPr="002E3196">
              <w:rPr>
                <w:rFonts w:eastAsia="Times New Roman" w:cs="Calibri"/>
                <w:color w:val="000000"/>
                <w:sz w:val="16"/>
                <w:szCs w:val="16"/>
              </w:rPr>
              <w:t>907</w:t>
            </w:r>
          </w:p>
        </w:tc>
        <w:tc>
          <w:tcPr>
            <w:tcW w:w="1276" w:type="dxa"/>
            <w:shd w:val="clear" w:color="auto" w:fill="auto"/>
            <w:vAlign w:val="center"/>
            <w:hideMark/>
          </w:tcPr>
          <w:p w14:paraId="35319C9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B511B0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185E0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802D1B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£3,548,895.35</w:t>
            </w:r>
          </w:p>
        </w:tc>
        <w:tc>
          <w:tcPr>
            <w:tcW w:w="1561" w:type="dxa"/>
            <w:shd w:val="clear" w:color="auto" w:fill="auto"/>
            <w:vAlign w:val="center"/>
            <w:hideMark/>
          </w:tcPr>
          <w:p w14:paraId="6F332D7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2BCCD982" w14:textId="77777777" w:rsidTr="00780608">
        <w:trPr>
          <w:trHeight w:val="301"/>
        </w:trPr>
        <w:tc>
          <w:tcPr>
            <w:tcW w:w="1984" w:type="dxa"/>
            <w:shd w:val="clear" w:color="auto" w:fill="auto"/>
            <w:vAlign w:val="center"/>
            <w:hideMark/>
          </w:tcPr>
          <w:p w14:paraId="0742258F" w14:textId="77777777" w:rsidR="00036B8A" w:rsidRPr="002E3196" w:rsidRDefault="00036B8A" w:rsidP="00C3023D">
            <w:pPr>
              <w:spacing w:after="0" w:line="240" w:lineRule="auto"/>
              <w:rPr>
                <w:rFonts w:eastAsia="Times New Roman" w:cs="Calibri"/>
                <w:color w:val="000000"/>
                <w:sz w:val="16"/>
                <w:szCs w:val="16"/>
              </w:rPr>
            </w:pPr>
            <w:proofErr w:type="spellStart"/>
            <w:r w:rsidRPr="002E3196">
              <w:rPr>
                <w:rFonts w:eastAsia="Times New Roman" w:cs="Calibri"/>
                <w:color w:val="000000"/>
                <w:sz w:val="16"/>
                <w:szCs w:val="16"/>
              </w:rPr>
              <w:t>Utilita</w:t>
            </w:r>
            <w:proofErr w:type="spellEnd"/>
            <w:r w:rsidRPr="002E3196">
              <w:rPr>
                <w:rFonts w:eastAsia="Times New Roman" w:cs="Calibri"/>
                <w:color w:val="000000"/>
                <w:sz w:val="16"/>
                <w:szCs w:val="16"/>
              </w:rPr>
              <w:t xml:space="preserve"> Energy Ltd</w:t>
            </w:r>
          </w:p>
        </w:tc>
        <w:tc>
          <w:tcPr>
            <w:tcW w:w="1275" w:type="dxa"/>
            <w:shd w:val="clear" w:color="auto" w:fill="auto"/>
            <w:vAlign w:val="center"/>
            <w:hideMark/>
          </w:tcPr>
          <w:p w14:paraId="0FA79DF8" w14:textId="66D23EED"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r>
              <w:rPr>
                <w:rFonts w:eastAsia="Times New Roman" w:cs="Calibri"/>
                <w:color w:val="000000"/>
                <w:sz w:val="16"/>
                <w:szCs w:val="16"/>
              </w:rPr>
              <w:t>,</w:t>
            </w:r>
            <w:r w:rsidRPr="002E3196">
              <w:rPr>
                <w:rFonts w:eastAsia="Times New Roman" w:cs="Calibri"/>
                <w:color w:val="000000"/>
                <w:sz w:val="16"/>
                <w:szCs w:val="16"/>
              </w:rPr>
              <w:t>208</w:t>
            </w:r>
            <w:r>
              <w:rPr>
                <w:rFonts w:eastAsia="Times New Roman" w:cs="Calibri"/>
                <w:color w:val="000000"/>
                <w:sz w:val="16"/>
                <w:szCs w:val="16"/>
              </w:rPr>
              <w:t>,</w:t>
            </w:r>
            <w:r w:rsidRPr="002E3196">
              <w:rPr>
                <w:rFonts w:eastAsia="Times New Roman" w:cs="Calibri"/>
                <w:color w:val="000000"/>
                <w:sz w:val="16"/>
                <w:szCs w:val="16"/>
              </w:rPr>
              <w:t>429</w:t>
            </w:r>
          </w:p>
        </w:tc>
        <w:tc>
          <w:tcPr>
            <w:tcW w:w="1276" w:type="dxa"/>
            <w:shd w:val="clear" w:color="auto" w:fill="auto"/>
            <w:vAlign w:val="center"/>
            <w:hideMark/>
          </w:tcPr>
          <w:p w14:paraId="2C63DD5B" w14:textId="0B5178F6"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471</w:t>
            </w:r>
            <w:r>
              <w:rPr>
                <w:rFonts w:eastAsia="Times New Roman" w:cs="Calibri"/>
                <w:color w:val="000000"/>
                <w:sz w:val="16"/>
                <w:szCs w:val="16"/>
              </w:rPr>
              <w:t>,</w:t>
            </w:r>
            <w:r w:rsidRPr="005A4A5A">
              <w:rPr>
                <w:rFonts w:eastAsia="Times New Roman" w:cs="Calibri"/>
                <w:color w:val="000000"/>
                <w:sz w:val="16"/>
                <w:szCs w:val="16"/>
              </w:rPr>
              <w:t>434</w:t>
            </w:r>
          </w:p>
        </w:tc>
        <w:tc>
          <w:tcPr>
            <w:tcW w:w="1418" w:type="dxa"/>
            <w:shd w:val="clear" w:color="auto" w:fill="auto"/>
            <w:vAlign w:val="center"/>
            <w:hideMark/>
          </w:tcPr>
          <w:p w14:paraId="0E2FB09F"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56977EF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0CEE438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£12,886,599.75</w:t>
            </w:r>
          </w:p>
        </w:tc>
        <w:tc>
          <w:tcPr>
            <w:tcW w:w="1561" w:type="dxa"/>
            <w:shd w:val="clear" w:color="auto" w:fill="auto"/>
            <w:vAlign w:val="center"/>
            <w:hideMark/>
          </w:tcPr>
          <w:p w14:paraId="2BA0CF8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£24,092,778.08</w:t>
            </w:r>
          </w:p>
        </w:tc>
      </w:tr>
      <w:tr w:rsidR="00036B8A" w:rsidRPr="006B3AC6" w14:paraId="2EEB63E1" w14:textId="77777777" w:rsidTr="00780608">
        <w:trPr>
          <w:trHeight w:val="301"/>
        </w:trPr>
        <w:tc>
          <w:tcPr>
            <w:tcW w:w="1984" w:type="dxa"/>
            <w:shd w:val="clear" w:color="auto" w:fill="auto"/>
            <w:vAlign w:val="center"/>
            <w:hideMark/>
          </w:tcPr>
          <w:p w14:paraId="6CC10FD7"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Utility Point Ltd</w:t>
            </w:r>
          </w:p>
        </w:tc>
        <w:tc>
          <w:tcPr>
            <w:tcW w:w="1275" w:type="dxa"/>
            <w:shd w:val="clear" w:color="auto" w:fill="auto"/>
            <w:vAlign w:val="center"/>
            <w:hideMark/>
          </w:tcPr>
          <w:p w14:paraId="45898D1D" w14:textId="536A71D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280</w:t>
            </w:r>
            <w:r>
              <w:rPr>
                <w:rFonts w:eastAsia="Times New Roman" w:cs="Calibri"/>
                <w:color w:val="000000"/>
                <w:sz w:val="16"/>
                <w:szCs w:val="16"/>
              </w:rPr>
              <w:t>,</w:t>
            </w:r>
            <w:r w:rsidRPr="002E3196">
              <w:rPr>
                <w:rFonts w:eastAsia="Times New Roman" w:cs="Calibri"/>
                <w:color w:val="000000"/>
                <w:sz w:val="16"/>
                <w:szCs w:val="16"/>
              </w:rPr>
              <w:t>132</w:t>
            </w:r>
          </w:p>
        </w:tc>
        <w:tc>
          <w:tcPr>
            <w:tcW w:w="1276" w:type="dxa"/>
            <w:shd w:val="clear" w:color="auto" w:fill="auto"/>
            <w:vAlign w:val="center"/>
            <w:hideMark/>
          </w:tcPr>
          <w:p w14:paraId="48F75B7D"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547DAEF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4AE0A6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3D2E97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5D543DD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£12,612.57</w:t>
            </w:r>
          </w:p>
        </w:tc>
      </w:tr>
      <w:tr w:rsidR="00036B8A" w:rsidRPr="006B3AC6" w14:paraId="51A7A7DF" w14:textId="77777777" w:rsidTr="00780608">
        <w:trPr>
          <w:trHeight w:val="301"/>
        </w:trPr>
        <w:tc>
          <w:tcPr>
            <w:tcW w:w="1984" w:type="dxa"/>
            <w:shd w:val="clear" w:color="auto" w:fill="auto"/>
            <w:vAlign w:val="center"/>
            <w:hideMark/>
          </w:tcPr>
          <w:p w14:paraId="17636896"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Valda Energy Ltd</w:t>
            </w:r>
          </w:p>
        </w:tc>
        <w:tc>
          <w:tcPr>
            <w:tcW w:w="1275" w:type="dxa"/>
            <w:shd w:val="clear" w:color="auto" w:fill="auto"/>
            <w:vAlign w:val="center"/>
            <w:hideMark/>
          </w:tcPr>
          <w:p w14:paraId="5BAFFEA9" w14:textId="4C82797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8</w:t>
            </w:r>
            <w:r>
              <w:rPr>
                <w:rFonts w:eastAsia="Times New Roman" w:cs="Calibri"/>
                <w:color w:val="000000"/>
                <w:sz w:val="16"/>
                <w:szCs w:val="16"/>
              </w:rPr>
              <w:t>,</w:t>
            </w:r>
            <w:r w:rsidRPr="002E3196">
              <w:rPr>
                <w:rFonts w:eastAsia="Times New Roman" w:cs="Calibri"/>
                <w:color w:val="000000"/>
                <w:sz w:val="16"/>
                <w:szCs w:val="16"/>
              </w:rPr>
              <w:t>536</w:t>
            </w:r>
          </w:p>
        </w:tc>
        <w:tc>
          <w:tcPr>
            <w:tcW w:w="1276" w:type="dxa"/>
            <w:shd w:val="clear" w:color="auto" w:fill="auto"/>
            <w:vAlign w:val="center"/>
            <w:hideMark/>
          </w:tcPr>
          <w:p w14:paraId="09C96DC4" w14:textId="5D47F49C"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8</w:t>
            </w:r>
            <w:r>
              <w:rPr>
                <w:rFonts w:eastAsia="Times New Roman" w:cs="Calibri"/>
                <w:color w:val="000000"/>
                <w:sz w:val="16"/>
                <w:szCs w:val="16"/>
              </w:rPr>
              <w:t>,</w:t>
            </w:r>
            <w:r w:rsidRPr="005A4A5A">
              <w:rPr>
                <w:rFonts w:eastAsia="Times New Roman" w:cs="Calibri"/>
                <w:color w:val="000000"/>
                <w:sz w:val="16"/>
                <w:szCs w:val="16"/>
              </w:rPr>
              <w:t>536</w:t>
            </w:r>
          </w:p>
        </w:tc>
        <w:tc>
          <w:tcPr>
            <w:tcW w:w="1418" w:type="dxa"/>
            <w:shd w:val="clear" w:color="auto" w:fill="auto"/>
            <w:vAlign w:val="center"/>
            <w:hideMark/>
          </w:tcPr>
          <w:p w14:paraId="0F84BFE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72C320F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2D47CF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CCB1CD1"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4C7296B" w14:textId="77777777" w:rsidTr="00780608">
        <w:trPr>
          <w:trHeight w:val="552"/>
        </w:trPr>
        <w:tc>
          <w:tcPr>
            <w:tcW w:w="1984" w:type="dxa"/>
            <w:shd w:val="clear" w:color="auto" w:fill="auto"/>
            <w:vAlign w:val="center"/>
            <w:hideMark/>
          </w:tcPr>
          <w:p w14:paraId="27DFE5E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 xml:space="preserve">Vattenfall Energy Trading GmbH </w:t>
            </w:r>
          </w:p>
        </w:tc>
        <w:tc>
          <w:tcPr>
            <w:tcW w:w="1275" w:type="dxa"/>
            <w:shd w:val="clear" w:color="auto" w:fill="auto"/>
            <w:vAlign w:val="center"/>
            <w:hideMark/>
          </w:tcPr>
          <w:p w14:paraId="53830111" w14:textId="1C4010C1"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14</w:t>
            </w:r>
            <w:r>
              <w:rPr>
                <w:rFonts w:eastAsia="Times New Roman" w:cs="Calibri"/>
                <w:color w:val="000000"/>
                <w:sz w:val="16"/>
                <w:szCs w:val="16"/>
              </w:rPr>
              <w:t>,</w:t>
            </w:r>
            <w:r w:rsidRPr="002E3196">
              <w:rPr>
                <w:rFonts w:eastAsia="Times New Roman" w:cs="Calibri"/>
                <w:color w:val="000000"/>
                <w:sz w:val="16"/>
                <w:szCs w:val="16"/>
              </w:rPr>
              <w:t>273</w:t>
            </w:r>
          </w:p>
        </w:tc>
        <w:tc>
          <w:tcPr>
            <w:tcW w:w="1276" w:type="dxa"/>
            <w:shd w:val="clear" w:color="auto" w:fill="auto"/>
            <w:vAlign w:val="center"/>
            <w:hideMark/>
          </w:tcPr>
          <w:p w14:paraId="63CCCD94" w14:textId="568D0938"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14</w:t>
            </w:r>
            <w:r>
              <w:rPr>
                <w:rFonts w:eastAsia="Times New Roman" w:cs="Calibri"/>
                <w:color w:val="000000"/>
                <w:sz w:val="16"/>
                <w:szCs w:val="16"/>
              </w:rPr>
              <w:t>,</w:t>
            </w:r>
            <w:r w:rsidRPr="005A4A5A">
              <w:rPr>
                <w:rFonts w:eastAsia="Times New Roman" w:cs="Calibri"/>
                <w:color w:val="000000"/>
                <w:sz w:val="16"/>
                <w:szCs w:val="16"/>
              </w:rPr>
              <w:t>273</w:t>
            </w:r>
          </w:p>
        </w:tc>
        <w:tc>
          <w:tcPr>
            <w:tcW w:w="1418" w:type="dxa"/>
            <w:shd w:val="clear" w:color="auto" w:fill="auto"/>
            <w:vAlign w:val="center"/>
            <w:hideMark/>
          </w:tcPr>
          <w:p w14:paraId="42F78FE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E57F19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7EDC5744"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60CBFF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F6AC26F" w14:textId="77777777" w:rsidTr="00780608">
        <w:trPr>
          <w:trHeight w:val="301"/>
        </w:trPr>
        <w:tc>
          <w:tcPr>
            <w:tcW w:w="1984" w:type="dxa"/>
            <w:shd w:val="clear" w:color="auto" w:fill="auto"/>
            <w:vAlign w:val="center"/>
            <w:hideMark/>
          </w:tcPr>
          <w:p w14:paraId="378CA6E4"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Wilton Energy Ltd</w:t>
            </w:r>
          </w:p>
        </w:tc>
        <w:tc>
          <w:tcPr>
            <w:tcW w:w="1275" w:type="dxa"/>
            <w:shd w:val="clear" w:color="auto" w:fill="auto"/>
            <w:vAlign w:val="center"/>
            <w:hideMark/>
          </w:tcPr>
          <w:p w14:paraId="29EB5B6F" w14:textId="50399B7F"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w:t>
            </w:r>
            <w:r>
              <w:rPr>
                <w:rFonts w:eastAsia="Times New Roman" w:cs="Calibri"/>
                <w:color w:val="000000"/>
                <w:sz w:val="16"/>
                <w:szCs w:val="16"/>
              </w:rPr>
              <w:t>,</w:t>
            </w:r>
            <w:r w:rsidRPr="002E3196">
              <w:rPr>
                <w:rFonts w:eastAsia="Times New Roman" w:cs="Calibri"/>
                <w:color w:val="000000"/>
                <w:sz w:val="16"/>
                <w:szCs w:val="16"/>
              </w:rPr>
              <w:t>693</w:t>
            </w:r>
          </w:p>
        </w:tc>
        <w:tc>
          <w:tcPr>
            <w:tcW w:w="1276" w:type="dxa"/>
            <w:shd w:val="clear" w:color="auto" w:fill="auto"/>
            <w:vAlign w:val="center"/>
            <w:hideMark/>
          </w:tcPr>
          <w:p w14:paraId="451F8CA9" w14:textId="38CC1609"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5</w:t>
            </w:r>
            <w:r>
              <w:rPr>
                <w:rFonts w:eastAsia="Times New Roman" w:cs="Calibri"/>
                <w:color w:val="000000"/>
                <w:sz w:val="16"/>
                <w:szCs w:val="16"/>
              </w:rPr>
              <w:t>,</w:t>
            </w:r>
            <w:r w:rsidRPr="005A4A5A">
              <w:rPr>
                <w:rFonts w:eastAsia="Times New Roman" w:cs="Calibri"/>
                <w:color w:val="000000"/>
                <w:sz w:val="16"/>
                <w:szCs w:val="16"/>
              </w:rPr>
              <w:t>693</w:t>
            </w:r>
          </w:p>
        </w:tc>
        <w:tc>
          <w:tcPr>
            <w:tcW w:w="1418" w:type="dxa"/>
            <w:shd w:val="clear" w:color="auto" w:fill="auto"/>
            <w:vAlign w:val="center"/>
            <w:hideMark/>
          </w:tcPr>
          <w:p w14:paraId="6664195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292D18A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4218077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2EE3A55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26A9F28" w14:textId="77777777" w:rsidTr="00780608">
        <w:trPr>
          <w:trHeight w:val="552"/>
        </w:trPr>
        <w:tc>
          <w:tcPr>
            <w:tcW w:w="1984" w:type="dxa"/>
            <w:shd w:val="clear" w:color="auto" w:fill="auto"/>
            <w:vAlign w:val="center"/>
            <w:hideMark/>
          </w:tcPr>
          <w:p w14:paraId="6DB2106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Yorkshire Gas &amp; Power</w:t>
            </w:r>
          </w:p>
        </w:tc>
        <w:tc>
          <w:tcPr>
            <w:tcW w:w="1275" w:type="dxa"/>
            <w:shd w:val="clear" w:color="auto" w:fill="auto"/>
            <w:vAlign w:val="center"/>
            <w:hideMark/>
          </w:tcPr>
          <w:p w14:paraId="632B8DBD" w14:textId="2A0F1F46"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24</w:t>
            </w:r>
            <w:r>
              <w:rPr>
                <w:rFonts w:eastAsia="Times New Roman" w:cs="Calibri"/>
                <w:color w:val="000000"/>
                <w:sz w:val="16"/>
                <w:szCs w:val="16"/>
              </w:rPr>
              <w:t>,</w:t>
            </w:r>
            <w:r w:rsidRPr="002E3196">
              <w:rPr>
                <w:rFonts w:eastAsia="Times New Roman" w:cs="Calibri"/>
                <w:color w:val="000000"/>
                <w:sz w:val="16"/>
                <w:szCs w:val="16"/>
              </w:rPr>
              <w:t>365</w:t>
            </w:r>
          </w:p>
        </w:tc>
        <w:tc>
          <w:tcPr>
            <w:tcW w:w="1276" w:type="dxa"/>
            <w:shd w:val="clear" w:color="auto" w:fill="auto"/>
            <w:vAlign w:val="center"/>
            <w:hideMark/>
          </w:tcPr>
          <w:p w14:paraId="18E97B88" w14:textId="729290FE"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24</w:t>
            </w:r>
            <w:r>
              <w:rPr>
                <w:rFonts w:eastAsia="Times New Roman" w:cs="Calibri"/>
                <w:color w:val="000000"/>
                <w:sz w:val="16"/>
                <w:szCs w:val="16"/>
              </w:rPr>
              <w:t>,</w:t>
            </w:r>
            <w:r w:rsidRPr="005A4A5A">
              <w:rPr>
                <w:rFonts w:eastAsia="Times New Roman" w:cs="Calibri"/>
                <w:color w:val="000000"/>
                <w:sz w:val="16"/>
                <w:szCs w:val="16"/>
              </w:rPr>
              <w:t>365</w:t>
            </w:r>
          </w:p>
        </w:tc>
        <w:tc>
          <w:tcPr>
            <w:tcW w:w="1418" w:type="dxa"/>
            <w:shd w:val="clear" w:color="auto" w:fill="auto"/>
            <w:vAlign w:val="center"/>
            <w:hideMark/>
          </w:tcPr>
          <w:p w14:paraId="5034CB26"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4625A3B"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16</w:t>
            </w:r>
          </w:p>
        </w:tc>
        <w:tc>
          <w:tcPr>
            <w:tcW w:w="1701" w:type="dxa"/>
            <w:shd w:val="clear" w:color="auto" w:fill="auto"/>
            <w:vAlign w:val="center"/>
            <w:hideMark/>
          </w:tcPr>
          <w:p w14:paraId="1C2C52B7"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c>
          <w:tcPr>
            <w:tcW w:w="1561" w:type="dxa"/>
            <w:shd w:val="clear" w:color="auto" w:fill="auto"/>
            <w:vAlign w:val="center"/>
            <w:hideMark/>
          </w:tcPr>
          <w:p w14:paraId="6B6E02AE"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6BC1CB33" w14:textId="77777777" w:rsidTr="00780608">
        <w:trPr>
          <w:trHeight w:val="624"/>
        </w:trPr>
        <w:tc>
          <w:tcPr>
            <w:tcW w:w="1984" w:type="dxa"/>
            <w:shd w:val="clear" w:color="auto" w:fill="auto"/>
            <w:vAlign w:val="center"/>
            <w:hideMark/>
          </w:tcPr>
          <w:p w14:paraId="5F68985F"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Yu Energy trading as Kensington Power Ltd</w:t>
            </w:r>
          </w:p>
        </w:tc>
        <w:tc>
          <w:tcPr>
            <w:tcW w:w="1275" w:type="dxa"/>
            <w:shd w:val="clear" w:color="auto" w:fill="auto"/>
            <w:vAlign w:val="center"/>
            <w:hideMark/>
          </w:tcPr>
          <w:p w14:paraId="4AAA625B" w14:textId="1954B612"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221</w:t>
            </w:r>
            <w:r>
              <w:rPr>
                <w:rFonts w:eastAsia="Times New Roman" w:cs="Calibri"/>
                <w:color w:val="000000"/>
                <w:sz w:val="16"/>
                <w:szCs w:val="16"/>
              </w:rPr>
              <w:t>,</w:t>
            </w:r>
            <w:r w:rsidRPr="002E3196">
              <w:rPr>
                <w:rFonts w:eastAsia="Times New Roman" w:cs="Calibri"/>
                <w:color w:val="000000"/>
                <w:sz w:val="16"/>
                <w:szCs w:val="16"/>
              </w:rPr>
              <w:t>084</w:t>
            </w:r>
          </w:p>
        </w:tc>
        <w:tc>
          <w:tcPr>
            <w:tcW w:w="1276" w:type="dxa"/>
            <w:shd w:val="clear" w:color="auto" w:fill="auto"/>
            <w:vAlign w:val="center"/>
            <w:hideMark/>
          </w:tcPr>
          <w:p w14:paraId="058C21D7" w14:textId="7B6354CA"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172</w:t>
            </w:r>
            <w:r>
              <w:rPr>
                <w:rFonts w:eastAsia="Times New Roman" w:cs="Calibri"/>
                <w:color w:val="000000"/>
                <w:sz w:val="16"/>
                <w:szCs w:val="16"/>
              </w:rPr>
              <w:t>,</w:t>
            </w:r>
            <w:r w:rsidRPr="005A4A5A">
              <w:rPr>
                <w:rFonts w:eastAsia="Times New Roman" w:cs="Calibri"/>
                <w:color w:val="000000"/>
                <w:sz w:val="16"/>
                <w:szCs w:val="16"/>
              </w:rPr>
              <w:t>741</w:t>
            </w:r>
          </w:p>
        </w:tc>
        <w:tc>
          <w:tcPr>
            <w:tcW w:w="1418" w:type="dxa"/>
            <w:shd w:val="clear" w:color="auto" w:fill="auto"/>
            <w:vAlign w:val="center"/>
            <w:hideMark/>
          </w:tcPr>
          <w:p w14:paraId="6BFAF45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157CB980"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6CE51BC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£2,419,567.15</w:t>
            </w:r>
          </w:p>
        </w:tc>
        <w:tc>
          <w:tcPr>
            <w:tcW w:w="1561" w:type="dxa"/>
            <w:shd w:val="clear" w:color="auto" w:fill="auto"/>
            <w:vAlign w:val="center"/>
            <w:hideMark/>
          </w:tcPr>
          <w:p w14:paraId="2C673E38"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7EF5BCA0" w14:textId="77777777" w:rsidTr="00780608">
        <w:trPr>
          <w:trHeight w:val="301"/>
        </w:trPr>
        <w:tc>
          <w:tcPr>
            <w:tcW w:w="1984" w:type="dxa"/>
            <w:shd w:val="clear" w:color="auto" w:fill="auto"/>
            <w:vAlign w:val="center"/>
            <w:hideMark/>
          </w:tcPr>
          <w:p w14:paraId="049D5233"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Zebra Power Ltd</w:t>
            </w:r>
          </w:p>
        </w:tc>
        <w:tc>
          <w:tcPr>
            <w:tcW w:w="1275" w:type="dxa"/>
            <w:shd w:val="clear" w:color="auto" w:fill="auto"/>
            <w:vAlign w:val="center"/>
            <w:hideMark/>
          </w:tcPr>
          <w:p w14:paraId="22672CF2" w14:textId="0934B348"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25</w:t>
            </w:r>
            <w:r>
              <w:rPr>
                <w:rFonts w:eastAsia="Times New Roman" w:cs="Calibri"/>
                <w:color w:val="000000"/>
                <w:sz w:val="16"/>
                <w:szCs w:val="16"/>
              </w:rPr>
              <w:t>,</w:t>
            </w:r>
            <w:r w:rsidRPr="002E3196">
              <w:rPr>
                <w:rFonts w:eastAsia="Times New Roman" w:cs="Calibri"/>
                <w:color w:val="000000"/>
                <w:sz w:val="16"/>
                <w:szCs w:val="16"/>
              </w:rPr>
              <w:t>916</w:t>
            </w:r>
          </w:p>
        </w:tc>
        <w:tc>
          <w:tcPr>
            <w:tcW w:w="1276" w:type="dxa"/>
            <w:shd w:val="clear" w:color="auto" w:fill="auto"/>
            <w:vAlign w:val="center"/>
            <w:hideMark/>
          </w:tcPr>
          <w:p w14:paraId="6B33FF27"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44D060B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091A6B4D"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5932C42"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£1,297,095.80</w:t>
            </w:r>
          </w:p>
        </w:tc>
        <w:tc>
          <w:tcPr>
            <w:tcW w:w="1561" w:type="dxa"/>
            <w:shd w:val="clear" w:color="auto" w:fill="auto"/>
            <w:vAlign w:val="center"/>
            <w:hideMark/>
          </w:tcPr>
          <w:p w14:paraId="0A15BE2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1CBDA0AF" w14:textId="77777777" w:rsidTr="00780608">
        <w:trPr>
          <w:trHeight w:val="301"/>
        </w:trPr>
        <w:tc>
          <w:tcPr>
            <w:tcW w:w="1984" w:type="dxa"/>
            <w:shd w:val="clear" w:color="auto" w:fill="auto"/>
            <w:vAlign w:val="center"/>
            <w:hideMark/>
          </w:tcPr>
          <w:p w14:paraId="34525085" w14:textId="77777777" w:rsidR="00036B8A" w:rsidRPr="002E3196" w:rsidRDefault="00036B8A" w:rsidP="00C3023D">
            <w:pPr>
              <w:spacing w:after="0" w:line="240" w:lineRule="auto"/>
              <w:rPr>
                <w:rFonts w:eastAsia="Times New Roman" w:cs="Calibri"/>
                <w:color w:val="000000"/>
                <w:sz w:val="16"/>
                <w:szCs w:val="16"/>
              </w:rPr>
            </w:pPr>
            <w:r w:rsidRPr="002E3196">
              <w:rPr>
                <w:rFonts w:eastAsia="Times New Roman" w:cs="Calibri"/>
                <w:color w:val="000000"/>
                <w:sz w:val="16"/>
                <w:szCs w:val="16"/>
              </w:rPr>
              <w:t>Zog Energy Ltd</w:t>
            </w:r>
          </w:p>
        </w:tc>
        <w:tc>
          <w:tcPr>
            <w:tcW w:w="1275" w:type="dxa"/>
            <w:shd w:val="clear" w:color="auto" w:fill="auto"/>
            <w:vAlign w:val="center"/>
            <w:hideMark/>
          </w:tcPr>
          <w:p w14:paraId="54E7C4A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1</w:t>
            </w:r>
          </w:p>
        </w:tc>
        <w:tc>
          <w:tcPr>
            <w:tcW w:w="1276" w:type="dxa"/>
            <w:shd w:val="clear" w:color="auto" w:fill="auto"/>
            <w:vAlign w:val="center"/>
            <w:hideMark/>
          </w:tcPr>
          <w:p w14:paraId="5A70E9D4" w14:textId="77777777" w:rsidR="00036B8A" w:rsidRPr="005A4A5A" w:rsidRDefault="00036B8A" w:rsidP="00780608">
            <w:pPr>
              <w:spacing w:after="0" w:line="240" w:lineRule="auto"/>
              <w:jc w:val="right"/>
              <w:rPr>
                <w:rFonts w:eastAsia="Times New Roman" w:cs="Calibri"/>
                <w:color w:val="000000"/>
                <w:sz w:val="16"/>
                <w:szCs w:val="16"/>
              </w:rPr>
            </w:pPr>
            <w:r w:rsidRPr="005A4A5A">
              <w:rPr>
                <w:rFonts w:eastAsia="Times New Roman" w:cs="Calibri"/>
                <w:color w:val="000000"/>
                <w:sz w:val="16"/>
                <w:szCs w:val="16"/>
              </w:rPr>
              <w:t>0</w:t>
            </w:r>
          </w:p>
        </w:tc>
        <w:tc>
          <w:tcPr>
            <w:tcW w:w="1418" w:type="dxa"/>
            <w:shd w:val="clear" w:color="auto" w:fill="auto"/>
            <w:vAlign w:val="center"/>
            <w:hideMark/>
          </w:tcPr>
          <w:p w14:paraId="38C740B5"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417" w:type="dxa"/>
            <w:shd w:val="clear" w:color="auto" w:fill="auto"/>
            <w:vAlign w:val="center"/>
            <w:hideMark/>
          </w:tcPr>
          <w:p w14:paraId="4F0A3FA9"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w:t>
            </w:r>
          </w:p>
        </w:tc>
        <w:tc>
          <w:tcPr>
            <w:tcW w:w="1701" w:type="dxa"/>
            <w:shd w:val="clear" w:color="auto" w:fill="auto"/>
            <w:vAlign w:val="center"/>
            <w:hideMark/>
          </w:tcPr>
          <w:p w14:paraId="5739236A"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£50.05</w:t>
            </w:r>
          </w:p>
        </w:tc>
        <w:tc>
          <w:tcPr>
            <w:tcW w:w="1561" w:type="dxa"/>
            <w:shd w:val="clear" w:color="auto" w:fill="auto"/>
            <w:vAlign w:val="center"/>
            <w:hideMark/>
          </w:tcPr>
          <w:p w14:paraId="46107E5C" w14:textId="77777777" w:rsidR="00036B8A" w:rsidRPr="002E3196" w:rsidRDefault="00036B8A" w:rsidP="00780608">
            <w:pPr>
              <w:spacing w:after="0" w:line="240" w:lineRule="auto"/>
              <w:jc w:val="right"/>
              <w:rPr>
                <w:rFonts w:eastAsia="Times New Roman" w:cs="Calibri"/>
                <w:color w:val="000000"/>
                <w:sz w:val="16"/>
                <w:szCs w:val="16"/>
              </w:rPr>
            </w:pPr>
            <w:r w:rsidRPr="002E3196">
              <w:rPr>
                <w:rFonts w:eastAsia="Times New Roman" w:cs="Calibri"/>
                <w:color w:val="000000"/>
                <w:sz w:val="16"/>
                <w:szCs w:val="16"/>
              </w:rPr>
              <w:t>£0.00</w:t>
            </w:r>
          </w:p>
        </w:tc>
      </w:tr>
      <w:tr w:rsidR="00036B8A" w:rsidRPr="006B3AC6" w14:paraId="521E5B3F" w14:textId="77777777" w:rsidTr="00780608">
        <w:trPr>
          <w:trHeight w:val="301"/>
        </w:trPr>
        <w:tc>
          <w:tcPr>
            <w:tcW w:w="1984" w:type="dxa"/>
            <w:shd w:val="clear" w:color="auto" w:fill="2363AF"/>
            <w:vAlign w:val="center"/>
            <w:hideMark/>
          </w:tcPr>
          <w:p w14:paraId="31CA1226" w14:textId="46970874" w:rsidR="00036B8A" w:rsidRPr="008650ED" w:rsidRDefault="00036B8A" w:rsidP="00780608">
            <w:pPr>
              <w:spacing w:after="0" w:line="240" w:lineRule="auto"/>
              <w:rPr>
                <w:rFonts w:eastAsia="Times New Roman" w:cs="Calibri"/>
                <w:color w:val="FFFFFF" w:themeColor="background1"/>
                <w:sz w:val="16"/>
                <w:szCs w:val="16"/>
              </w:rPr>
            </w:pPr>
            <w:r w:rsidRPr="008650ED">
              <w:rPr>
                <w:rFonts w:eastAsia="Times New Roman" w:cs="Calibri"/>
                <w:color w:val="FFFFFF" w:themeColor="background1"/>
                <w:sz w:val="16"/>
                <w:szCs w:val="16"/>
              </w:rPr>
              <w:t>T</w:t>
            </w:r>
            <w:r>
              <w:rPr>
                <w:rFonts w:eastAsia="Times New Roman" w:cs="Calibri"/>
                <w:color w:val="FFFFFF" w:themeColor="background1"/>
                <w:sz w:val="16"/>
                <w:szCs w:val="16"/>
              </w:rPr>
              <w:t>otal</w:t>
            </w:r>
          </w:p>
        </w:tc>
        <w:tc>
          <w:tcPr>
            <w:tcW w:w="1275" w:type="dxa"/>
            <w:shd w:val="clear" w:color="auto" w:fill="2363AF"/>
            <w:vAlign w:val="center"/>
            <w:hideMark/>
          </w:tcPr>
          <w:p w14:paraId="30270B9B"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107,037,807</w:t>
            </w:r>
          </w:p>
        </w:tc>
        <w:tc>
          <w:tcPr>
            <w:tcW w:w="1276" w:type="dxa"/>
            <w:shd w:val="clear" w:color="auto" w:fill="2363AF"/>
            <w:vAlign w:val="center"/>
            <w:hideMark/>
          </w:tcPr>
          <w:p w14:paraId="64F4FDF1"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93,998,100</w:t>
            </w:r>
          </w:p>
        </w:tc>
        <w:tc>
          <w:tcPr>
            <w:tcW w:w="1418" w:type="dxa"/>
            <w:shd w:val="clear" w:color="auto" w:fill="2363AF"/>
            <w:vAlign w:val="center"/>
            <w:hideMark/>
          </w:tcPr>
          <w:p w14:paraId="25BEEF14"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235,646</w:t>
            </w:r>
          </w:p>
        </w:tc>
        <w:tc>
          <w:tcPr>
            <w:tcW w:w="1417" w:type="dxa"/>
            <w:shd w:val="clear" w:color="auto" w:fill="2363AF"/>
            <w:vAlign w:val="center"/>
            <w:hideMark/>
          </w:tcPr>
          <w:p w14:paraId="28E694A7"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689,981</w:t>
            </w:r>
          </w:p>
        </w:tc>
        <w:tc>
          <w:tcPr>
            <w:tcW w:w="1701" w:type="dxa"/>
            <w:shd w:val="clear" w:color="auto" w:fill="2363AF"/>
            <w:vAlign w:val="center"/>
            <w:hideMark/>
          </w:tcPr>
          <w:p w14:paraId="30E1A1F6"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£395,468,062.28</w:t>
            </w:r>
          </w:p>
        </w:tc>
        <w:tc>
          <w:tcPr>
            <w:tcW w:w="1561" w:type="dxa"/>
            <w:shd w:val="clear" w:color="auto" w:fill="2363AF"/>
            <w:vAlign w:val="center"/>
            <w:hideMark/>
          </w:tcPr>
          <w:p w14:paraId="5B0F254B" w14:textId="77777777" w:rsidR="00036B8A" w:rsidRPr="008650ED" w:rsidRDefault="00036B8A"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£53,006,557.99</w:t>
            </w:r>
          </w:p>
        </w:tc>
      </w:tr>
    </w:tbl>
    <w:p w14:paraId="5ADB079F" w14:textId="25CC477F" w:rsidR="00E54E83" w:rsidRPr="006B3AC6" w:rsidRDefault="00E54E83" w:rsidP="00780608">
      <w:pPr>
        <w:spacing w:line="276" w:lineRule="auto"/>
        <w:rPr>
          <w:rFonts w:eastAsia="Times New Roman" w:cstheme="minorHAnsi"/>
          <w:b/>
          <w:bCs/>
          <w:color w:val="000000"/>
        </w:rPr>
      </w:pPr>
      <w:r w:rsidRPr="006B3AC6">
        <w:rPr>
          <w:rFonts w:eastAsia="Times New Roman" w:cstheme="minorHAnsi"/>
          <w:b/>
          <w:bCs/>
          <w:color w:val="000000"/>
        </w:rPr>
        <w:lastRenderedPageBreak/>
        <w:t>Table A</w:t>
      </w:r>
      <w:r>
        <w:rPr>
          <w:rFonts w:eastAsia="Times New Roman" w:cstheme="minorHAnsi"/>
          <w:b/>
          <w:bCs/>
          <w:color w:val="000000"/>
        </w:rPr>
        <w:t>1</w:t>
      </w:r>
      <w:r w:rsidRPr="006B3AC6">
        <w:rPr>
          <w:rFonts w:eastAsia="Times New Roman" w:cstheme="minorHAnsi"/>
          <w:b/>
          <w:bCs/>
          <w:color w:val="000000"/>
        </w:rPr>
        <w:t>.3: Compliance by licensee</w:t>
      </w:r>
      <w:r w:rsidRPr="006B3AC6">
        <w:rPr>
          <w:rStyle w:val="FootnoteReference"/>
          <w:rFonts w:eastAsia="Times New Roman" w:cstheme="minorHAnsi"/>
          <w:b/>
          <w:bCs/>
          <w:color w:val="000000"/>
        </w:rPr>
        <w:footnoteReference w:id="102"/>
      </w:r>
      <w:r w:rsidRPr="006B3AC6">
        <w:rPr>
          <w:rFonts w:eastAsia="Times New Roman" w:cstheme="minorHAnsi"/>
          <w:b/>
          <w:bCs/>
          <w:color w:val="000000"/>
        </w:rPr>
        <w:t xml:space="preserve"> with an obligation in Scotland</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322"/>
        <w:gridCol w:w="1465"/>
        <w:gridCol w:w="1465"/>
        <w:gridCol w:w="1418"/>
        <w:gridCol w:w="1511"/>
        <w:gridCol w:w="1465"/>
      </w:tblGrid>
      <w:tr w:rsidR="00450F5F" w:rsidRPr="006B3AC6" w14:paraId="281B1584" w14:textId="77777777" w:rsidTr="00780608">
        <w:trPr>
          <w:trHeight w:val="588"/>
          <w:tblHeader/>
        </w:trPr>
        <w:tc>
          <w:tcPr>
            <w:tcW w:w="1986" w:type="dxa"/>
            <w:shd w:val="clear" w:color="auto" w:fill="2363AF"/>
            <w:vAlign w:val="center"/>
          </w:tcPr>
          <w:p w14:paraId="1FC032D5" w14:textId="77777777" w:rsidR="00E54E83" w:rsidRPr="008650ED" w:rsidRDefault="00E54E83" w:rsidP="00780608">
            <w:pPr>
              <w:spacing w:after="0" w:line="240" w:lineRule="auto"/>
              <w:rPr>
                <w:rFonts w:eastAsia="Times New Roman" w:cs="Calibri"/>
                <w:color w:val="FFFFFF" w:themeColor="background1"/>
                <w:sz w:val="16"/>
                <w:szCs w:val="16"/>
              </w:rPr>
            </w:pPr>
            <w:r w:rsidRPr="008650ED">
              <w:rPr>
                <w:rFonts w:eastAsia="Times New Roman" w:cs="Calibri"/>
                <w:color w:val="FFFFFF" w:themeColor="background1"/>
                <w:sz w:val="16"/>
                <w:szCs w:val="16"/>
              </w:rPr>
              <w:t>License</w:t>
            </w:r>
          </w:p>
        </w:tc>
        <w:tc>
          <w:tcPr>
            <w:tcW w:w="1322" w:type="dxa"/>
            <w:shd w:val="clear" w:color="auto" w:fill="2363AF"/>
            <w:vAlign w:val="center"/>
          </w:tcPr>
          <w:p w14:paraId="53B16C85" w14:textId="4516840C"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 xml:space="preserve">Obligation </w:t>
            </w:r>
          </w:p>
          <w:p w14:paraId="02208700"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(ROCs)</w:t>
            </w:r>
          </w:p>
        </w:tc>
        <w:tc>
          <w:tcPr>
            <w:tcW w:w="1465" w:type="dxa"/>
            <w:shd w:val="clear" w:color="auto" w:fill="2363AF"/>
            <w:vAlign w:val="center"/>
          </w:tcPr>
          <w:p w14:paraId="34E7B303"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Total ROCs presented</w:t>
            </w:r>
          </w:p>
        </w:tc>
        <w:tc>
          <w:tcPr>
            <w:tcW w:w="1465" w:type="dxa"/>
            <w:shd w:val="clear" w:color="auto" w:fill="2363AF"/>
            <w:vAlign w:val="center"/>
          </w:tcPr>
          <w:p w14:paraId="37CB53C8"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Bioliquid ROCs presented</w:t>
            </w:r>
          </w:p>
        </w:tc>
        <w:tc>
          <w:tcPr>
            <w:tcW w:w="1418" w:type="dxa"/>
            <w:shd w:val="clear" w:color="auto" w:fill="2363AF"/>
            <w:vAlign w:val="center"/>
          </w:tcPr>
          <w:p w14:paraId="0E59FA66"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Banked ROCs presented</w:t>
            </w:r>
          </w:p>
        </w:tc>
        <w:tc>
          <w:tcPr>
            <w:tcW w:w="1511" w:type="dxa"/>
            <w:shd w:val="clear" w:color="auto" w:fill="2363AF"/>
            <w:vAlign w:val="center"/>
          </w:tcPr>
          <w:p w14:paraId="2CE7CD42"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Buyout Payments Made</w:t>
            </w:r>
          </w:p>
        </w:tc>
        <w:tc>
          <w:tcPr>
            <w:tcW w:w="1465" w:type="dxa"/>
            <w:shd w:val="clear" w:color="auto" w:fill="2363AF"/>
            <w:vAlign w:val="center"/>
          </w:tcPr>
          <w:p w14:paraId="53BA2B47"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Late Payments Made</w:t>
            </w:r>
          </w:p>
        </w:tc>
      </w:tr>
      <w:tr w:rsidR="00C85B64" w:rsidRPr="006B3AC6" w14:paraId="15BA06E3" w14:textId="77777777" w:rsidTr="00780608">
        <w:trPr>
          <w:trHeight w:val="285"/>
        </w:trPr>
        <w:tc>
          <w:tcPr>
            <w:tcW w:w="1986" w:type="dxa"/>
            <w:vAlign w:val="center"/>
          </w:tcPr>
          <w:p w14:paraId="321530C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Affect Energy Ltd</w:t>
            </w:r>
          </w:p>
        </w:tc>
        <w:tc>
          <w:tcPr>
            <w:tcW w:w="1322" w:type="dxa"/>
            <w:vAlign w:val="center"/>
          </w:tcPr>
          <w:p w14:paraId="71FE567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30</w:t>
            </w:r>
          </w:p>
        </w:tc>
        <w:tc>
          <w:tcPr>
            <w:tcW w:w="1465" w:type="dxa"/>
            <w:vAlign w:val="center"/>
          </w:tcPr>
          <w:p w14:paraId="4547978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68BF0F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1A87AB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7798F4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£1,501.50</w:t>
            </w:r>
          </w:p>
        </w:tc>
        <w:tc>
          <w:tcPr>
            <w:tcW w:w="1465" w:type="dxa"/>
            <w:vAlign w:val="center"/>
          </w:tcPr>
          <w:p w14:paraId="6D7AA93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44893BA3" w14:textId="77777777" w:rsidTr="00780608">
        <w:trPr>
          <w:trHeight w:val="285"/>
        </w:trPr>
        <w:tc>
          <w:tcPr>
            <w:tcW w:w="1986" w:type="dxa"/>
            <w:vAlign w:val="center"/>
          </w:tcPr>
          <w:p w14:paraId="1CA6E19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Ampoweruk</w:t>
            </w:r>
            <w:proofErr w:type="spellEnd"/>
            <w:r w:rsidRPr="002E3196">
              <w:rPr>
                <w:rFonts w:cstheme="minorHAnsi"/>
                <w:color w:val="000000"/>
                <w:sz w:val="16"/>
                <w:szCs w:val="16"/>
                <w:lang w:eastAsia="en-US"/>
              </w:rPr>
              <w:t xml:space="preserve"> Ltd</w:t>
            </w:r>
          </w:p>
        </w:tc>
        <w:tc>
          <w:tcPr>
            <w:tcW w:w="1322" w:type="dxa"/>
            <w:vAlign w:val="center"/>
          </w:tcPr>
          <w:p w14:paraId="492967B9" w14:textId="2BEA442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w:t>
            </w:r>
            <w:r w:rsidR="00295D31">
              <w:rPr>
                <w:rFonts w:cstheme="minorHAnsi"/>
                <w:color w:val="000000"/>
                <w:sz w:val="16"/>
                <w:szCs w:val="16"/>
                <w:lang w:eastAsia="en-US"/>
              </w:rPr>
              <w:t>,</w:t>
            </w:r>
            <w:r w:rsidRPr="002E3196">
              <w:rPr>
                <w:rFonts w:cstheme="minorHAnsi"/>
                <w:color w:val="000000"/>
                <w:sz w:val="16"/>
                <w:szCs w:val="16"/>
                <w:lang w:eastAsia="en-US"/>
              </w:rPr>
              <w:t>890</w:t>
            </w:r>
          </w:p>
        </w:tc>
        <w:tc>
          <w:tcPr>
            <w:tcW w:w="1465" w:type="dxa"/>
            <w:vAlign w:val="center"/>
          </w:tcPr>
          <w:p w14:paraId="547D067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B6CD58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949340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85EA88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274C3D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4FB3C8B" w14:textId="77777777" w:rsidTr="00780608">
        <w:trPr>
          <w:trHeight w:val="285"/>
        </w:trPr>
        <w:tc>
          <w:tcPr>
            <w:tcW w:w="1986" w:type="dxa"/>
            <w:vAlign w:val="center"/>
          </w:tcPr>
          <w:p w14:paraId="5FC1A8B7"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Avro Energy Ltd</w:t>
            </w:r>
          </w:p>
        </w:tc>
        <w:tc>
          <w:tcPr>
            <w:tcW w:w="1322" w:type="dxa"/>
            <w:vAlign w:val="center"/>
          </w:tcPr>
          <w:p w14:paraId="23725FC8" w14:textId="15D05FF2"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27</w:t>
            </w:r>
            <w:r w:rsidR="00295D31">
              <w:rPr>
                <w:rFonts w:cstheme="minorHAnsi"/>
                <w:color w:val="000000"/>
                <w:sz w:val="16"/>
                <w:szCs w:val="16"/>
                <w:lang w:eastAsia="en-US"/>
              </w:rPr>
              <w:t>,</w:t>
            </w:r>
            <w:r w:rsidRPr="002E3196">
              <w:rPr>
                <w:rFonts w:cstheme="minorHAnsi"/>
                <w:color w:val="000000"/>
                <w:sz w:val="16"/>
                <w:szCs w:val="16"/>
                <w:lang w:eastAsia="en-US"/>
              </w:rPr>
              <w:t>448</w:t>
            </w:r>
          </w:p>
        </w:tc>
        <w:tc>
          <w:tcPr>
            <w:tcW w:w="1465" w:type="dxa"/>
            <w:vAlign w:val="center"/>
          </w:tcPr>
          <w:p w14:paraId="75D1335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75AAF5C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AA3D29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9D3027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F1147C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4D117D5" w14:textId="77777777" w:rsidTr="00780608">
        <w:trPr>
          <w:trHeight w:val="285"/>
        </w:trPr>
        <w:tc>
          <w:tcPr>
            <w:tcW w:w="1986" w:type="dxa"/>
            <w:vAlign w:val="center"/>
          </w:tcPr>
          <w:p w14:paraId="354E4A3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AXPO UK Ltd</w:t>
            </w:r>
          </w:p>
        </w:tc>
        <w:tc>
          <w:tcPr>
            <w:tcW w:w="1322" w:type="dxa"/>
            <w:vAlign w:val="center"/>
          </w:tcPr>
          <w:p w14:paraId="178299F2" w14:textId="3247B96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18</w:t>
            </w:r>
            <w:r w:rsidR="00295D31">
              <w:rPr>
                <w:rFonts w:cstheme="minorHAnsi"/>
                <w:color w:val="000000"/>
                <w:sz w:val="16"/>
                <w:szCs w:val="16"/>
                <w:lang w:eastAsia="en-US"/>
              </w:rPr>
              <w:t>,</w:t>
            </w:r>
            <w:r w:rsidRPr="002E3196">
              <w:rPr>
                <w:rFonts w:cstheme="minorHAnsi"/>
                <w:color w:val="000000"/>
                <w:sz w:val="16"/>
                <w:szCs w:val="16"/>
                <w:lang w:eastAsia="en-US"/>
              </w:rPr>
              <w:t>828</w:t>
            </w:r>
          </w:p>
        </w:tc>
        <w:tc>
          <w:tcPr>
            <w:tcW w:w="1465" w:type="dxa"/>
            <w:vAlign w:val="center"/>
          </w:tcPr>
          <w:p w14:paraId="08588A98" w14:textId="456FB7F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18</w:t>
            </w:r>
            <w:r w:rsidR="00295D31">
              <w:rPr>
                <w:rFonts w:cstheme="minorHAnsi"/>
                <w:color w:val="000000"/>
                <w:sz w:val="16"/>
                <w:szCs w:val="16"/>
                <w:lang w:eastAsia="en-US"/>
              </w:rPr>
              <w:t>,</w:t>
            </w:r>
            <w:r w:rsidRPr="002E3196">
              <w:rPr>
                <w:rFonts w:cstheme="minorHAnsi"/>
                <w:color w:val="000000"/>
                <w:sz w:val="16"/>
                <w:szCs w:val="16"/>
                <w:lang w:eastAsia="en-US"/>
              </w:rPr>
              <w:t>828</w:t>
            </w:r>
          </w:p>
        </w:tc>
        <w:tc>
          <w:tcPr>
            <w:tcW w:w="1465" w:type="dxa"/>
            <w:vAlign w:val="center"/>
          </w:tcPr>
          <w:p w14:paraId="47C9AD1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F02AE0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4DA94B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086F77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E645A86" w14:textId="77777777" w:rsidTr="00780608">
        <w:trPr>
          <w:trHeight w:val="285"/>
        </w:trPr>
        <w:tc>
          <w:tcPr>
            <w:tcW w:w="1986" w:type="dxa"/>
            <w:vAlign w:val="center"/>
          </w:tcPr>
          <w:p w14:paraId="048BFA4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BES Commercial Electricity Ltd</w:t>
            </w:r>
          </w:p>
        </w:tc>
        <w:tc>
          <w:tcPr>
            <w:tcW w:w="1322" w:type="dxa"/>
            <w:vAlign w:val="center"/>
          </w:tcPr>
          <w:p w14:paraId="090E5775" w14:textId="40CB6B4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w:t>
            </w:r>
            <w:r w:rsidR="00295D31">
              <w:rPr>
                <w:rFonts w:cstheme="minorHAnsi"/>
                <w:color w:val="000000"/>
                <w:sz w:val="16"/>
                <w:szCs w:val="16"/>
                <w:lang w:eastAsia="en-US"/>
              </w:rPr>
              <w:t>,</w:t>
            </w:r>
            <w:r w:rsidRPr="002E3196">
              <w:rPr>
                <w:rFonts w:cstheme="minorHAnsi"/>
                <w:color w:val="000000"/>
                <w:sz w:val="16"/>
                <w:szCs w:val="16"/>
                <w:lang w:eastAsia="en-US"/>
              </w:rPr>
              <w:t>153</w:t>
            </w:r>
          </w:p>
        </w:tc>
        <w:tc>
          <w:tcPr>
            <w:tcW w:w="1465" w:type="dxa"/>
            <w:vAlign w:val="center"/>
          </w:tcPr>
          <w:p w14:paraId="063DE42C" w14:textId="44C25A4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w:t>
            </w:r>
            <w:r w:rsidR="00295D31">
              <w:rPr>
                <w:rFonts w:cstheme="minorHAnsi"/>
                <w:color w:val="000000"/>
                <w:sz w:val="16"/>
                <w:szCs w:val="16"/>
                <w:lang w:eastAsia="en-US"/>
              </w:rPr>
              <w:t>,</w:t>
            </w:r>
            <w:r w:rsidRPr="002E3196">
              <w:rPr>
                <w:rFonts w:cstheme="minorHAnsi"/>
                <w:color w:val="000000"/>
                <w:sz w:val="16"/>
                <w:szCs w:val="16"/>
                <w:lang w:eastAsia="en-US"/>
              </w:rPr>
              <w:t>153</w:t>
            </w:r>
          </w:p>
        </w:tc>
        <w:tc>
          <w:tcPr>
            <w:tcW w:w="1465" w:type="dxa"/>
            <w:vAlign w:val="center"/>
          </w:tcPr>
          <w:p w14:paraId="0F67161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0C773B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EAEAA3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DC3DF9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F743719" w14:textId="77777777" w:rsidTr="00780608">
        <w:trPr>
          <w:trHeight w:val="285"/>
        </w:trPr>
        <w:tc>
          <w:tcPr>
            <w:tcW w:w="1986" w:type="dxa"/>
            <w:vAlign w:val="center"/>
          </w:tcPr>
          <w:p w14:paraId="5AF19DE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Blue Green Energy</w:t>
            </w:r>
          </w:p>
        </w:tc>
        <w:tc>
          <w:tcPr>
            <w:tcW w:w="1322" w:type="dxa"/>
            <w:vAlign w:val="center"/>
          </w:tcPr>
          <w:p w14:paraId="0243448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131</w:t>
            </w:r>
          </w:p>
        </w:tc>
        <w:tc>
          <w:tcPr>
            <w:tcW w:w="1465" w:type="dxa"/>
            <w:vAlign w:val="center"/>
          </w:tcPr>
          <w:p w14:paraId="69A84C2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787D4F1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A50835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DCC8EC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£6,556.55</w:t>
            </w:r>
          </w:p>
        </w:tc>
        <w:tc>
          <w:tcPr>
            <w:tcW w:w="1465" w:type="dxa"/>
            <w:vAlign w:val="center"/>
          </w:tcPr>
          <w:p w14:paraId="2B8E5C3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C61AD2B" w14:textId="77777777" w:rsidTr="00780608">
        <w:trPr>
          <w:trHeight w:val="285"/>
        </w:trPr>
        <w:tc>
          <w:tcPr>
            <w:tcW w:w="1986" w:type="dxa"/>
            <w:vAlign w:val="center"/>
          </w:tcPr>
          <w:p w14:paraId="78726563"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Bristol Energy Technology &amp; Services (Supply) Ltd</w:t>
            </w:r>
          </w:p>
        </w:tc>
        <w:tc>
          <w:tcPr>
            <w:tcW w:w="1322" w:type="dxa"/>
            <w:vAlign w:val="center"/>
          </w:tcPr>
          <w:p w14:paraId="57A886B7" w14:textId="47B776B5"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295D31">
              <w:rPr>
                <w:rFonts w:cstheme="minorHAnsi"/>
                <w:color w:val="000000"/>
                <w:sz w:val="16"/>
                <w:szCs w:val="16"/>
                <w:lang w:eastAsia="en-US"/>
              </w:rPr>
              <w:t>,</w:t>
            </w:r>
            <w:r w:rsidRPr="002E3196">
              <w:rPr>
                <w:rFonts w:cstheme="minorHAnsi"/>
                <w:color w:val="000000"/>
                <w:sz w:val="16"/>
                <w:szCs w:val="16"/>
                <w:lang w:eastAsia="en-US"/>
              </w:rPr>
              <w:t>823</w:t>
            </w:r>
          </w:p>
        </w:tc>
        <w:tc>
          <w:tcPr>
            <w:tcW w:w="1465" w:type="dxa"/>
            <w:vAlign w:val="center"/>
          </w:tcPr>
          <w:p w14:paraId="77450F2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F62D12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CFF001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DB439C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£141,291.15</w:t>
            </w:r>
          </w:p>
        </w:tc>
        <w:tc>
          <w:tcPr>
            <w:tcW w:w="1465" w:type="dxa"/>
            <w:vAlign w:val="center"/>
          </w:tcPr>
          <w:p w14:paraId="6619F1E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0F018C5" w14:textId="77777777" w:rsidTr="00780608">
        <w:trPr>
          <w:trHeight w:val="285"/>
        </w:trPr>
        <w:tc>
          <w:tcPr>
            <w:tcW w:w="1986" w:type="dxa"/>
            <w:vAlign w:val="center"/>
          </w:tcPr>
          <w:p w14:paraId="1A3D0F5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British Gas Trading Ltd</w:t>
            </w:r>
          </w:p>
        </w:tc>
        <w:tc>
          <w:tcPr>
            <w:tcW w:w="1322" w:type="dxa"/>
            <w:vAlign w:val="center"/>
          </w:tcPr>
          <w:p w14:paraId="3381F903" w14:textId="073BEDB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971</w:t>
            </w:r>
            <w:r w:rsidR="00295D31">
              <w:rPr>
                <w:rFonts w:cstheme="minorHAnsi"/>
                <w:color w:val="000000"/>
                <w:sz w:val="16"/>
                <w:szCs w:val="16"/>
                <w:lang w:eastAsia="en-US"/>
              </w:rPr>
              <w:t>,</w:t>
            </w:r>
            <w:r w:rsidRPr="002E3196">
              <w:rPr>
                <w:rFonts w:cstheme="minorHAnsi"/>
                <w:color w:val="000000"/>
                <w:sz w:val="16"/>
                <w:szCs w:val="16"/>
                <w:lang w:eastAsia="en-US"/>
              </w:rPr>
              <w:t>714</w:t>
            </w:r>
          </w:p>
        </w:tc>
        <w:tc>
          <w:tcPr>
            <w:tcW w:w="1465" w:type="dxa"/>
            <w:vAlign w:val="center"/>
          </w:tcPr>
          <w:p w14:paraId="1C3AA65C" w14:textId="51862616"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971</w:t>
            </w:r>
            <w:r w:rsidR="00295D31">
              <w:rPr>
                <w:rFonts w:cstheme="minorHAnsi"/>
                <w:color w:val="000000"/>
                <w:sz w:val="16"/>
                <w:szCs w:val="16"/>
                <w:lang w:eastAsia="en-US"/>
              </w:rPr>
              <w:t>,</w:t>
            </w:r>
            <w:r w:rsidRPr="002E3196">
              <w:rPr>
                <w:rFonts w:cstheme="minorHAnsi"/>
                <w:color w:val="000000"/>
                <w:sz w:val="16"/>
                <w:szCs w:val="16"/>
                <w:lang w:eastAsia="en-US"/>
              </w:rPr>
              <w:t>714</w:t>
            </w:r>
          </w:p>
        </w:tc>
        <w:tc>
          <w:tcPr>
            <w:tcW w:w="1465" w:type="dxa"/>
            <w:vAlign w:val="center"/>
          </w:tcPr>
          <w:p w14:paraId="110CC8BA" w14:textId="356072D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w:t>
            </w:r>
            <w:r w:rsidR="00295D31">
              <w:rPr>
                <w:rFonts w:cstheme="minorHAnsi"/>
                <w:color w:val="000000"/>
                <w:sz w:val="16"/>
                <w:szCs w:val="16"/>
                <w:lang w:eastAsia="en-US"/>
              </w:rPr>
              <w:t>,</w:t>
            </w:r>
            <w:r w:rsidRPr="002E3196">
              <w:rPr>
                <w:rFonts w:cstheme="minorHAnsi"/>
                <w:color w:val="000000"/>
                <w:sz w:val="16"/>
                <w:szCs w:val="16"/>
                <w:lang w:eastAsia="en-US"/>
              </w:rPr>
              <w:t>204</w:t>
            </w:r>
          </w:p>
        </w:tc>
        <w:tc>
          <w:tcPr>
            <w:tcW w:w="1418" w:type="dxa"/>
            <w:vAlign w:val="center"/>
          </w:tcPr>
          <w:p w14:paraId="327D4EF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C4BAAA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DDDCC3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1C3A60D" w14:textId="77777777" w:rsidTr="00780608">
        <w:trPr>
          <w:trHeight w:val="285"/>
        </w:trPr>
        <w:tc>
          <w:tcPr>
            <w:tcW w:w="1986" w:type="dxa"/>
            <w:vAlign w:val="center"/>
          </w:tcPr>
          <w:p w14:paraId="25F31FA6"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Brook Green Trading Ltd</w:t>
            </w:r>
          </w:p>
        </w:tc>
        <w:tc>
          <w:tcPr>
            <w:tcW w:w="1322" w:type="dxa"/>
            <w:vAlign w:val="center"/>
          </w:tcPr>
          <w:p w14:paraId="7B11F439" w14:textId="064F2EF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w:t>
            </w:r>
            <w:r w:rsidR="00295D31">
              <w:rPr>
                <w:rFonts w:cstheme="minorHAnsi"/>
                <w:color w:val="000000"/>
                <w:sz w:val="16"/>
                <w:szCs w:val="16"/>
                <w:lang w:eastAsia="en-US"/>
              </w:rPr>
              <w:t>,</w:t>
            </w:r>
            <w:r w:rsidRPr="002E3196">
              <w:rPr>
                <w:rFonts w:cstheme="minorHAnsi"/>
                <w:color w:val="000000"/>
                <w:sz w:val="16"/>
                <w:szCs w:val="16"/>
                <w:lang w:eastAsia="en-US"/>
              </w:rPr>
              <w:t>660</w:t>
            </w:r>
          </w:p>
        </w:tc>
        <w:tc>
          <w:tcPr>
            <w:tcW w:w="1465" w:type="dxa"/>
            <w:vAlign w:val="center"/>
          </w:tcPr>
          <w:p w14:paraId="7AD3358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3B8670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454AD2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F8309C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£1,084,083.00</w:t>
            </w:r>
          </w:p>
        </w:tc>
        <w:tc>
          <w:tcPr>
            <w:tcW w:w="1465" w:type="dxa"/>
            <w:vAlign w:val="center"/>
          </w:tcPr>
          <w:p w14:paraId="411A1C7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F5C4C6F" w14:textId="77777777" w:rsidTr="00780608">
        <w:trPr>
          <w:trHeight w:val="285"/>
        </w:trPr>
        <w:tc>
          <w:tcPr>
            <w:tcW w:w="1986" w:type="dxa"/>
            <w:vAlign w:val="center"/>
          </w:tcPr>
          <w:p w14:paraId="69C614D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Bryt</w:t>
            </w:r>
            <w:proofErr w:type="spellEnd"/>
            <w:r w:rsidRPr="002E3196">
              <w:rPr>
                <w:rFonts w:cstheme="minorHAnsi"/>
                <w:color w:val="000000"/>
                <w:sz w:val="16"/>
                <w:szCs w:val="16"/>
                <w:lang w:eastAsia="en-US"/>
              </w:rPr>
              <w:t xml:space="preserve"> Energy Ltd</w:t>
            </w:r>
          </w:p>
        </w:tc>
        <w:tc>
          <w:tcPr>
            <w:tcW w:w="1322" w:type="dxa"/>
            <w:vAlign w:val="center"/>
          </w:tcPr>
          <w:p w14:paraId="6F1B61D0" w14:textId="6704CD5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43</w:t>
            </w:r>
            <w:r w:rsidR="00295D31">
              <w:rPr>
                <w:rFonts w:cstheme="minorHAnsi"/>
                <w:color w:val="000000"/>
                <w:sz w:val="16"/>
                <w:szCs w:val="16"/>
                <w:lang w:eastAsia="en-US"/>
              </w:rPr>
              <w:t>,</w:t>
            </w:r>
            <w:r w:rsidRPr="002E3196">
              <w:rPr>
                <w:rFonts w:cstheme="minorHAnsi"/>
                <w:color w:val="000000"/>
                <w:sz w:val="16"/>
                <w:szCs w:val="16"/>
                <w:lang w:eastAsia="en-US"/>
              </w:rPr>
              <w:t>349</w:t>
            </w:r>
          </w:p>
        </w:tc>
        <w:tc>
          <w:tcPr>
            <w:tcW w:w="1465" w:type="dxa"/>
            <w:vAlign w:val="center"/>
          </w:tcPr>
          <w:p w14:paraId="08844840" w14:textId="667EECF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43</w:t>
            </w:r>
            <w:r w:rsidR="00295D31">
              <w:rPr>
                <w:rFonts w:cstheme="minorHAnsi"/>
                <w:color w:val="000000"/>
                <w:sz w:val="16"/>
                <w:szCs w:val="16"/>
                <w:lang w:eastAsia="en-US"/>
              </w:rPr>
              <w:t>,</w:t>
            </w:r>
            <w:r w:rsidRPr="002E3196">
              <w:rPr>
                <w:rFonts w:cstheme="minorHAnsi"/>
                <w:color w:val="000000"/>
                <w:sz w:val="16"/>
                <w:szCs w:val="16"/>
                <w:lang w:eastAsia="en-US"/>
              </w:rPr>
              <w:t>349</w:t>
            </w:r>
          </w:p>
        </w:tc>
        <w:tc>
          <w:tcPr>
            <w:tcW w:w="1465" w:type="dxa"/>
            <w:vAlign w:val="center"/>
          </w:tcPr>
          <w:p w14:paraId="55D4711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202DE1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30ED95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BB3E4C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C18C01F" w14:textId="77777777" w:rsidTr="00780608">
        <w:trPr>
          <w:trHeight w:val="285"/>
        </w:trPr>
        <w:tc>
          <w:tcPr>
            <w:tcW w:w="1986" w:type="dxa"/>
            <w:vAlign w:val="center"/>
          </w:tcPr>
          <w:p w14:paraId="52ED035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Bulb Energy Ltd</w:t>
            </w:r>
          </w:p>
        </w:tc>
        <w:tc>
          <w:tcPr>
            <w:tcW w:w="1322" w:type="dxa"/>
            <w:vAlign w:val="center"/>
          </w:tcPr>
          <w:p w14:paraId="69A5B8E1" w14:textId="6F47ED6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401</w:t>
            </w:r>
            <w:r w:rsidR="00295D31">
              <w:rPr>
                <w:rFonts w:cstheme="minorHAnsi"/>
                <w:color w:val="000000"/>
                <w:sz w:val="16"/>
                <w:szCs w:val="16"/>
                <w:lang w:eastAsia="en-US"/>
              </w:rPr>
              <w:t>,</w:t>
            </w:r>
            <w:r w:rsidRPr="002E3196">
              <w:rPr>
                <w:rFonts w:cstheme="minorHAnsi"/>
                <w:color w:val="000000"/>
                <w:sz w:val="16"/>
                <w:szCs w:val="16"/>
                <w:lang w:eastAsia="en-US"/>
              </w:rPr>
              <w:t>685</w:t>
            </w:r>
          </w:p>
        </w:tc>
        <w:tc>
          <w:tcPr>
            <w:tcW w:w="1465" w:type="dxa"/>
            <w:vAlign w:val="center"/>
          </w:tcPr>
          <w:p w14:paraId="15B28A40" w14:textId="135157F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401</w:t>
            </w:r>
            <w:r w:rsidR="00295D31">
              <w:rPr>
                <w:rFonts w:cstheme="minorHAnsi"/>
                <w:color w:val="000000"/>
                <w:sz w:val="16"/>
                <w:szCs w:val="16"/>
                <w:lang w:eastAsia="en-US"/>
              </w:rPr>
              <w:t>,</w:t>
            </w:r>
            <w:r w:rsidRPr="002E3196">
              <w:rPr>
                <w:rFonts w:cstheme="minorHAnsi"/>
                <w:color w:val="000000"/>
                <w:sz w:val="16"/>
                <w:szCs w:val="16"/>
                <w:lang w:eastAsia="en-US"/>
              </w:rPr>
              <w:t>685</w:t>
            </w:r>
          </w:p>
        </w:tc>
        <w:tc>
          <w:tcPr>
            <w:tcW w:w="1465" w:type="dxa"/>
            <w:vAlign w:val="center"/>
          </w:tcPr>
          <w:p w14:paraId="7D6E6C0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0340E6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81983F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5E8B94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67C33B3" w14:textId="77777777" w:rsidTr="00780608">
        <w:trPr>
          <w:trHeight w:val="285"/>
        </w:trPr>
        <w:tc>
          <w:tcPr>
            <w:tcW w:w="1986" w:type="dxa"/>
            <w:vAlign w:val="center"/>
          </w:tcPr>
          <w:p w14:paraId="2C8F2B3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Business Power and Gas Ltd</w:t>
            </w:r>
          </w:p>
        </w:tc>
        <w:tc>
          <w:tcPr>
            <w:tcW w:w="1322" w:type="dxa"/>
            <w:vAlign w:val="center"/>
          </w:tcPr>
          <w:p w14:paraId="0B7ADC64" w14:textId="5DC404F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w:t>
            </w:r>
            <w:r w:rsidR="00295D31">
              <w:rPr>
                <w:rFonts w:cstheme="minorHAnsi"/>
                <w:color w:val="000000"/>
                <w:sz w:val="16"/>
                <w:szCs w:val="16"/>
                <w:lang w:eastAsia="en-US"/>
              </w:rPr>
              <w:t>,</w:t>
            </w:r>
            <w:r w:rsidRPr="002E3196">
              <w:rPr>
                <w:rFonts w:cstheme="minorHAnsi"/>
                <w:color w:val="000000"/>
                <w:sz w:val="16"/>
                <w:szCs w:val="16"/>
                <w:lang w:eastAsia="en-US"/>
              </w:rPr>
              <w:t>075</w:t>
            </w:r>
          </w:p>
        </w:tc>
        <w:tc>
          <w:tcPr>
            <w:tcW w:w="1465" w:type="dxa"/>
            <w:vAlign w:val="center"/>
          </w:tcPr>
          <w:p w14:paraId="0365AD4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EB4C15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76B582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C21360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£604,354.00</w:t>
            </w:r>
          </w:p>
        </w:tc>
        <w:tc>
          <w:tcPr>
            <w:tcW w:w="1465" w:type="dxa"/>
            <w:vAlign w:val="center"/>
          </w:tcPr>
          <w:p w14:paraId="0122289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0A80F4F" w14:textId="77777777" w:rsidTr="00780608">
        <w:trPr>
          <w:trHeight w:val="285"/>
        </w:trPr>
        <w:tc>
          <w:tcPr>
            <w:tcW w:w="1986" w:type="dxa"/>
            <w:vAlign w:val="center"/>
          </w:tcPr>
          <w:p w14:paraId="35D823C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CNG Electricity Ltd</w:t>
            </w:r>
          </w:p>
        </w:tc>
        <w:tc>
          <w:tcPr>
            <w:tcW w:w="1322" w:type="dxa"/>
            <w:vAlign w:val="center"/>
          </w:tcPr>
          <w:p w14:paraId="3FE0A4A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173</w:t>
            </w:r>
          </w:p>
        </w:tc>
        <w:tc>
          <w:tcPr>
            <w:tcW w:w="1465" w:type="dxa"/>
            <w:vAlign w:val="center"/>
          </w:tcPr>
          <w:p w14:paraId="281879E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4E08417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DC564A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8B41BE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£8,658.65</w:t>
            </w:r>
          </w:p>
        </w:tc>
        <w:tc>
          <w:tcPr>
            <w:tcW w:w="1465" w:type="dxa"/>
            <w:vAlign w:val="center"/>
          </w:tcPr>
          <w:p w14:paraId="009EA18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EF3B4D5" w14:textId="77777777" w:rsidTr="00780608">
        <w:trPr>
          <w:trHeight w:val="285"/>
        </w:trPr>
        <w:tc>
          <w:tcPr>
            <w:tcW w:w="1986" w:type="dxa"/>
            <w:vAlign w:val="center"/>
          </w:tcPr>
          <w:p w14:paraId="2A60444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Colorado Energy</w:t>
            </w:r>
          </w:p>
        </w:tc>
        <w:tc>
          <w:tcPr>
            <w:tcW w:w="1322" w:type="dxa"/>
            <w:vAlign w:val="center"/>
          </w:tcPr>
          <w:p w14:paraId="4A2869C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496</w:t>
            </w:r>
          </w:p>
        </w:tc>
        <w:tc>
          <w:tcPr>
            <w:tcW w:w="1465" w:type="dxa"/>
            <w:vAlign w:val="center"/>
          </w:tcPr>
          <w:p w14:paraId="0B6DE4A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1E9EF2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6896B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0F3215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A52A0E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71402C5" w14:textId="77777777" w:rsidTr="00780608">
        <w:trPr>
          <w:trHeight w:val="285"/>
        </w:trPr>
        <w:tc>
          <w:tcPr>
            <w:tcW w:w="1986" w:type="dxa"/>
            <w:vAlign w:val="center"/>
          </w:tcPr>
          <w:p w14:paraId="366D0CF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Co-Operative Energy Ltd</w:t>
            </w:r>
          </w:p>
        </w:tc>
        <w:tc>
          <w:tcPr>
            <w:tcW w:w="1322" w:type="dxa"/>
            <w:vAlign w:val="center"/>
          </w:tcPr>
          <w:p w14:paraId="10976BC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p>
        </w:tc>
        <w:tc>
          <w:tcPr>
            <w:tcW w:w="1465" w:type="dxa"/>
            <w:vAlign w:val="center"/>
          </w:tcPr>
          <w:p w14:paraId="1C0E511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C48AD4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B2B534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827B64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£300.30</w:t>
            </w:r>
          </w:p>
        </w:tc>
        <w:tc>
          <w:tcPr>
            <w:tcW w:w="1465" w:type="dxa"/>
            <w:vAlign w:val="center"/>
          </w:tcPr>
          <w:p w14:paraId="7688543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B24D600" w14:textId="77777777" w:rsidTr="00780608">
        <w:trPr>
          <w:trHeight w:val="285"/>
        </w:trPr>
        <w:tc>
          <w:tcPr>
            <w:tcW w:w="1986" w:type="dxa"/>
            <w:vAlign w:val="center"/>
          </w:tcPr>
          <w:p w14:paraId="05BB275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Corona Energy Retail 4 Ltd</w:t>
            </w:r>
          </w:p>
        </w:tc>
        <w:tc>
          <w:tcPr>
            <w:tcW w:w="1322" w:type="dxa"/>
            <w:vAlign w:val="center"/>
          </w:tcPr>
          <w:p w14:paraId="77E12465" w14:textId="76C3F7C2"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295D31">
              <w:rPr>
                <w:rFonts w:cstheme="minorHAnsi"/>
                <w:color w:val="000000"/>
                <w:sz w:val="16"/>
                <w:szCs w:val="16"/>
                <w:lang w:eastAsia="en-US"/>
              </w:rPr>
              <w:t>,</w:t>
            </w:r>
            <w:r w:rsidRPr="002E3196">
              <w:rPr>
                <w:rFonts w:cstheme="minorHAnsi"/>
                <w:color w:val="000000"/>
                <w:sz w:val="16"/>
                <w:szCs w:val="16"/>
                <w:lang w:eastAsia="en-US"/>
              </w:rPr>
              <w:t>289</w:t>
            </w:r>
          </w:p>
        </w:tc>
        <w:tc>
          <w:tcPr>
            <w:tcW w:w="1465" w:type="dxa"/>
            <w:vAlign w:val="center"/>
          </w:tcPr>
          <w:p w14:paraId="133E3732" w14:textId="23422D4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295D31">
              <w:rPr>
                <w:rFonts w:cstheme="minorHAnsi"/>
                <w:color w:val="000000"/>
                <w:sz w:val="16"/>
                <w:szCs w:val="16"/>
                <w:lang w:eastAsia="en-US"/>
              </w:rPr>
              <w:t>,</w:t>
            </w:r>
            <w:r w:rsidRPr="002E3196">
              <w:rPr>
                <w:rFonts w:cstheme="minorHAnsi"/>
                <w:color w:val="000000"/>
                <w:sz w:val="16"/>
                <w:szCs w:val="16"/>
                <w:lang w:eastAsia="en-US"/>
              </w:rPr>
              <w:t>289</w:t>
            </w:r>
          </w:p>
        </w:tc>
        <w:tc>
          <w:tcPr>
            <w:tcW w:w="1465" w:type="dxa"/>
            <w:vAlign w:val="center"/>
          </w:tcPr>
          <w:p w14:paraId="54D8406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72C3F1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77DE0C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324F05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5FF9D36" w14:textId="77777777" w:rsidTr="00780608">
        <w:trPr>
          <w:trHeight w:val="285"/>
        </w:trPr>
        <w:tc>
          <w:tcPr>
            <w:tcW w:w="1986" w:type="dxa"/>
            <w:vAlign w:val="center"/>
          </w:tcPr>
          <w:p w14:paraId="4F32B82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Daisy Energy Supply Limited</w:t>
            </w:r>
          </w:p>
        </w:tc>
        <w:tc>
          <w:tcPr>
            <w:tcW w:w="1322" w:type="dxa"/>
            <w:vAlign w:val="center"/>
          </w:tcPr>
          <w:p w14:paraId="67CECD30" w14:textId="314374B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295D31">
              <w:rPr>
                <w:rFonts w:cstheme="minorHAnsi"/>
                <w:color w:val="000000"/>
                <w:sz w:val="16"/>
                <w:szCs w:val="16"/>
                <w:lang w:eastAsia="en-US"/>
              </w:rPr>
              <w:t>,</w:t>
            </w:r>
            <w:r w:rsidRPr="002E3196">
              <w:rPr>
                <w:rFonts w:cstheme="minorHAnsi"/>
                <w:color w:val="000000"/>
                <w:sz w:val="16"/>
                <w:szCs w:val="16"/>
                <w:lang w:eastAsia="en-US"/>
              </w:rPr>
              <w:t>102</w:t>
            </w:r>
          </w:p>
        </w:tc>
        <w:tc>
          <w:tcPr>
            <w:tcW w:w="1465" w:type="dxa"/>
            <w:vAlign w:val="center"/>
          </w:tcPr>
          <w:p w14:paraId="03A2864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D0705F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17CFEA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342BE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29194A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B9DE069" w14:textId="77777777" w:rsidTr="00780608">
        <w:trPr>
          <w:trHeight w:val="285"/>
        </w:trPr>
        <w:tc>
          <w:tcPr>
            <w:tcW w:w="1986" w:type="dxa"/>
            <w:vAlign w:val="center"/>
          </w:tcPr>
          <w:p w14:paraId="5A3EE75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Delta Gas And Power Ltd</w:t>
            </w:r>
          </w:p>
        </w:tc>
        <w:tc>
          <w:tcPr>
            <w:tcW w:w="1322" w:type="dxa"/>
            <w:vAlign w:val="center"/>
          </w:tcPr>
          <w:p w14:paraId="3A3E4428" w14:textId="2A605AD1"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295D31">
              <w:rPr>
                <w:rFonts w:cstheme="minorHAnsi"/>
                <w:color w:val="000000"/>
                <w:sz w:val="16"/>
                <w:szCs w:val="16"/>
                <w:lang w:eastAsia="en-US"/>
              </w:rPr>
              <w:t>,</w:t>
            </w:r>
            <w:r w:rsidRPr="002E3196">
              <w:rPr>
                <w:rFonts w:cstheme="minorHAnsi"/>
                <w:color w:val="000000"/>
                <w:sz w:val="16"/>
                <w:szCs w:val="16"/>
                <w:lang w:eastAsia="en-US"/>
              </w:rPr>
              <w:t>003</w:t>
            </w:r>
          </w:p>
        </w:tc>
        <w:tc>
          <w:tcPr>
            <w:tcW w:w="1465" w:type="dxa"/>
            <w:vAlign w:val="center"/>
          </w:tcPr>
          <w:p w14:paraId="01C991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CEFA09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FF1825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F23777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EAADAE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AF3F374" w14:textId="77777777" w:rsidTr="00780608">
        <w:trPr>
          <w:trHeight w:val="285"/>
        </w:trPr>
        <w:tc>
          <w:tcPr>
            <w:tcW w:w="1986" w:type="dxa"/>
          </w:tcPr>
          <w:p w14:paraId="589CF9D0" w14:textId="791BAB38" w:rsidR="00C85B64" w:rsidRPr="002E3196" w:rsidRDefault="00C85B64">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 (Gas and Electricity) Ltd</w:t>
            </w:r>
          </w:p>
        </w:tc>
        <w:tc>
          <w:tcPr>
            <w:tcW w:w="1322" w:type="dxa"/>
            <w:vAlign w:val="center"/>
          </w:tcPr>
          <w:p w14:paraId="51AD050F" w14:textId="67C32828"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27</w:t>
            </w:r>
            <w:r>
              <w:rPr>
                <w:rFonts w:cstheme="minorHAnsi"/>
                <w:color w:val="000000"/>
                <w:sz w:val="16"/>
                <w:szCs w:val="16"/>
                <w:lang w:eastAsia="en-US"/>
              </w:rPr>
              <w:t>,</w:t>
            </w:r>
            <w:r w:rsidRPr="002E3196">
              <w:rPr>
                <w:rFonts w:cstheme="minorHAnsi"/>
                <w:color w:val="000000"/>
                <w:sz w:val="16"/>
                <w:szCs w:val="16"/>
                <w:lang w:eastAsia="en-US"/>
              </w:rPr>
              <w:t>069</w:t>
            </w:r>
          </w:p>
        </w:tc>
        <w:tc>
          <w:tcPr>
            <w:tcW w:w="1465" w:type="dxa"/>
            <w:vAlign w:val="center"/>
          </w:tcPr>
          <w:p w14:paraId="75A7EBEF" w14:textId="2CC4E22A"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27</w:t>
            </w:r>
            <w:r>
              <w:rPr>
                <w:rFonts w:cstheme="minorHAnsi"/>
                <w:color w:val="000000"/>
                <w:sz w:val="16"/>
                <w:szCs w:val="16"/>
                <w:lang w:eastAsia="en-US"/>
              </w:rPr>
              <w:t>,</w:t>
            </w:r>
            <w:r w:rsidRPr="002E3196">
              <w:rPr>
                <w:rFonts w:cstheme="minorHAnsi"/>
                <w:color w:val="000000"/>
                <w:sz w:val="16"/>
                <w:szCs w:val="16"/>
                <w:lang w:eastAsia="en-US"/>
              </w:rPr>
              <w:t>069</w:t>
            </w:r>
          </w:p>
        </w:tc>
        <w:tc>
          <w:tcPr>
            <w:tcW w:w="1465" w:type="dxa"/>
            <w:vAlign w:val="center"/>
          </w:tcPr>
          <w:p w14:paraId="461327B6"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7E73C91"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D0B8382"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DC0DD3B"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4FF68AD8" w14:textId="77777777" w:rsidTr="00780608">
        <w:trPr>
          <w:trHeight w:val="285"/>
        </w:trPr>
        <w:tc>
          <w:tcPr>
            <w:tcW w:w="1986" w:type="dxa"/>
            <w:vAlign w:val="center"/>
          </w:tcPr>
          <w:p w14:paraId="5BCF8CDE"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E.ON Energy Ltd</w:t>
            </w:r>
          </w:p>
        </w:tc>
        <w:tc>
          <w:tcPr>
            <w:tcW w:w="1322" w:type="dxa"/>
            <w:vAlign w:val="center"/>
          </w:tcPr>
          <w:p w14:paraId="445C17C9" w14:textId="52258C1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345</w:t>
            </w:r>
            <w:r w:rsidR="00295D31">
              <w:rPr>
                <w:rFonts w:cstheme="minorHAnsi"/>
                <w:color w:val="000000"/>
                <w:sz w:val="16"/>
                <w:szCs w:val="16"/>
                <w:lang w:eastAsia="en-US"/>
              </w:rPr>
              <w:t>,</w:t>
            </w:r>
            <w:r w:rsidRPr="002E3196">
              <w:rPr>
                <w:rFonts w:cstheme="minorHAnsi"/>
                <w:color w:val="000000"/>
                <w:sz w:val="16"/>
                <w:szCs w:val="16"/>
                <w:lang w:eastAsia="en-US"/>
              </w:rPr>
              <w:t>611</w:t>
            </w:r>
          </w:p>
        </w:tc>
        <w:tc>
          <w:tcPr>
            <w:tcW w:w="1465" w:type="dxa"/>
            <w:vAlign w:val="center"/>
          </w:tcPr>
          <w:p w14:paraId="1C094C85" w14:textId="7715455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345</w:t>
            </w:r>
            <w:r w:rsidR="00295D31">
              <w:rPr>
                <w:rFonts w:cstheme="minorHAnsi"/>
                <w:color w:val="000000"/>
                <w:sz w:val="16"/>
                <w:szCs w:val="16"/>
                <w:lang w:eastAsia="en-US"/>
              </w:rPr>
              <w:t>,</w:t>
            </w:r>
            <w:r w:rsidRPr="002E3196">
              <w:rPr>
                <w:rFonts w:cstheme="minorHAnsi"/>
                <w:color w:val="000000"/>
                <w:sz w:val="16"/>
                <w:szCs w:val="16"/>
                <w:lang w:eastAsia="en-US"/>
              </w:rPr>
              <w:t>611</w:t>
            </w:r>
          </w:p>
        </w:tc>
        <w:tc>
          <w:tcPr>
            <w:tcW w:w="1465" w:type="dxa"/>
            <w:vAlign w:val="center"/>
          </w:tcPr>
          <w:p w14:paraId="2BC93D4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240475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6FD0B0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49CD72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7219A91" w14:textId="77777777" w:rsidTr="00780608">
        <w:trPr>
          <w:trHeight w:val="285"/>
        </w:trPr>
        <w:tc>
          <w:tcPr>
            <w:tcW w:w="1986" w:type="dxa"/>
            <w:vAlign w:val="center"/>
          </w:tcPr>
          <w:p w14:paraId="40396998"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 xml:space="preserve">E.ON Next Supply Ltd </w:t>
            </w:r>
          </w:p>
        </w:tc>
        <w:tc>
          <w:tcPr>
            <w:tcW w:w="1322" w:type="dxa"/>
            <w:vAlign w:val="center"/>
          </w:tcPr>
          <w:p w14:paraId="7594BFFC" w14:textId="53DD335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28</w:t>
            </w:r>
            <w:r w:rsidR="00295D31">
              <w:rPr>
                <w:rFonts w:cstheme="minorHAnsi"/>
                <w:color w:val="000000"/>
                <w:sz w:val="16"/>
                <w:szCs w:val="16"/>
                <w:lang w:eastAsia="en-US"/>
              </w:rPr>
              <w:t>,</w:t>
            </w:r>
            <w:r w:rsidRPr="002E3196">
              <w:rPr>
                <w:rFonts w:cstheme="minorHAnsi"/>
                <w:color w:val="000000"/>
                <w:sz w:val="16"/>
                <w:szCs w:val="16"/>
                <w:lang w:eastAsia="en-US"/>
              </w:rPr>
              <w:t>781</w:t>
            </w:r>
          </w:p>
        </w:tc>
        <w:tc>
          <w:tcPr>
            <w:tcW w:w="1465" w:type="dxa"/>
            <w:vAlign w:val="center"/>
          </w:tcPr>
          <w:p w14:paraId="66962998" w14:textId="1548CFB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28</w:t>
            </w:r>
            <w:r w:rsidR="00295D31">
              <w:rPr>
                <w:rFonts w:cstheme="minorHAnsi"/>
                <w:color w:val="000000"/>
                <w:sz w:val="16"/>
                <w:szCs w:val="16"/>
                <w:lang w:eastAsia="en-US"/>
              </w:rPr>
              <w:t>,</w:t>
            </w:r>
            <w:r w:rsidRPr="002E3196">
              <w:rPr>
                <w:rFonts w:cstheme="minorHAnsi"/>
                <w:color w:val="000000"/>
                <w:sz w:val="16"/>
                <w:szCs w:val="16"/>
                <w:lang w:eastAsia="en-US"/>
              </w:rPr>
              <w:t>781</w:t>
            </w:r>
          </w:p>
        </w:tc>
        <w:tc>
          <w:tcPr>
            <w:tcW w:w="1465" w:type="dxa"/>
            <w:vAlign w:val="center"/>
          </w:tcPr>
          <w:p w14:paraId="29C6A09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40B515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13C4EF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1AD79A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D9C1FB6" w14:textId="77777777" w:rsidTr="00780608">
        <w:trPr>
          <w:trHeight w:val="285"/>
        </w:trPr>
        <w:tc>
          <w:tcPr>
            <w:tcW w:w="1986" w:type="dxa"/>
            <w:vAlign w:val="center"/>
          </w:tcPr>
          <w:p w14:paraId="5F33A54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E.ON UK Plc</w:t>
            </w:r>
          </w:p>
        </w:tc>
        <w:tc>
          <w:tcPr>
            <w:tcW w:w="1322" w:type="dxa"/>
            <w:vAlign w:val="center"/>
          </w:tcPr>
          <w:p w14:paraId="5B582BA5" w14:textId="0697C5C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210</w:t>
            </w:r>
            <w:r w:rsidR="00295D31">
              <w:rPr>
                <w:rFonts w:cstheme="minorHAnsi"/>
                <w:color w:val="000000"/>
                <w:sz w:val="16"/>
                <w:szCs w:val="16"/>
                <w:lang w:eastAsia="en-US"/>
              </w:rPr>
              <w:t>,</w:t>
            </w:r>
            <w:r w:rsidRPr="002E3196">
              <w:rPr>
                <w:rFonts w:cstheme="minorHAnsi"/>
                <w:color w:val="000000"/>
                <w:sz w:val="16"/>
                <w:szCs w:val="16"/>
                <w:lang w:eastAsia="en-US"/>
              </w:rPr>
              <w:t>972</w:t>
            </w:r>
          </w:p>
        </w:tc>
        <w:tc>
          <w:tcPr>
            <w:tcW w:w="1465" w:type="dxa"/>
            <w:vAlign w:val="center"/>
          </w:tcPr>
          <w:p w14:paraId="608F4224" w14:textId="68D65D33"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210</w:t>
            </w:r>
            <w:r w:rsidR="00295D31">
              <w:rPr>
                <w:rFonts w:cstheme="minorHAnsi"/>
                <w:color w:val="000000"/>
                <w:sz w:val="16"/>
                <w:szCs w:val="16"/>
                <w:lang w:eastAsia="en-US"/>
              </w:rPr>
              <w:t>,</w:t>
            </w:r>
            <w:r w:rsidRPr="002E3196">
              <w:rPr>
                <w:rFonts w:cstheme="minorHAnsi"/>
                <w:color w:val="000000"/>
                <w:sz w:val="16"/>
                <w:szCs w:val="16"/>
                <w:lang w:eastAsia="en-US"/>
              </w:rPr>
              <w:t>972</w:t>
            </w:r>
          </w:p>
        </w:tc>
        <w:tc>
          <w:tcPr>
            <w:tcW w:w="1465" w:type="dxa"/>
            <w:vAlign w:val="center"/>
          </w:tcPr>
          <w:p w14:paraId="72E939D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85BDF7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799B33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E7D727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BE1A9D9" w14:textId="77777777" w:rsidTr="00780608">
        <w:trPr>
          <w:trHeight w:val="285"/>
        </w:trPr>
        <w:tc>
          <w:tcPr>
            <w:tcW w:w="1986" w:type="dxa"/>
            <w:vAlign w:val="center"/>
          </w:tcPr>
          <w:p w14:paraId="3979479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Ecotricity</w:t>
            </w:r>
            <w:proofErr w:type="spellEnd"/>
          </w:p>
        </w:tc>
        <w:tc>
          <w:tcPr>
            <w:tcW w:w="1322" w:type="dxa"/>
            <w:vAlign w:val="center"/>
          </w:tcPr>
          <w:p w14:paraId="7CBCF1E0" w14:textId="64B33653"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w:t>
            </w:r>
            <w:r w:rsidR="00295D31">
              <w:rPr>
                <w:rFonts w:cstheme="minorHAnsi"/>
                <w:color w:val="000000"/>
                <w:sz w:val="16"/>
                <w:szCs w:val="16"/>
                <w:lang w:eastAsia="en-US"/>
              </w:rPr>
              <w:t>,</w:t>
            </w:r>
            <w:r w:rsidRPr="002E3196">
              <w:rPr>
                <w:rFonts w:cstheme="minorHAnsi"/>
                <w:color w:val="000000"/>
                <w:sz w:val="16"/>
                <w:szCs w:val="16"/>
                <w:lang w:eastAsia="en-US"/>
              </w:rPr>
              <w:t>340</w:t>
            </w:r>
          </w:p>
        </w:tc>
        <w:tc>
          <w:tcPr>
            <w:tcW w:w="1465" w:type="dxa"/>
            <w:vAlign w:val="center"/>
          </w:tcPr>
          <w:p w14:paraId="77982624" w14:textId="51B2FC9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w:t>
            </w:r>
            <w:r w:rsidR="00295D31">
              <w:rPr>
                <w:rFonts w:cstheme="minorHAnsi"/>
                <w:color w:val="000000"/>
                <w:sz w:val="16"/>
                <w:szCs w:val="16"/>
                <w:lang w:eastAsia="en-US"/>
              </w:rPr>
              <w:t>,</w:t>
            </w:r>
            <w:r w:rsidRPr="002E3196">
              <w:rPr>
                <w:rFonts w:cstheme="minorHAnsi"/>
                <w:color w:val="000000"/>
                <w:sz w:val="16"/>
                <w:szCs w:val="16"/>
                <w:lang w:eastAsia="en-US"/>
              </w:rPr>
              <w:t>340</w:t>
            </w:r>
          </w:p>
        </w:tc>
        <w:tc>
          <w:tcPr>
            <w:tcW w:w="1465" w:type="dxa"/>
            <w:vAlign w:val="center"/>
          </w:tcPr>
          <w:p w14:paraId="22FC386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10B9A1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523F8D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00E33B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E218B34" w14:textId="77777777" w:rsidTr="00780608">
        <w:trPr>
          <w:trHeight w:val="285"/>
        </w:trPr>
        <w:tc>
          <w:tcPr>
            <w:tcW w:w="1986" w:type="dxa"/>
            <w:vAlign w:val="center"/>
          </w:tcPr>
          <w:p w14:paraId="5B3DCB8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EDF Energy Customers Ltd</w:t>
            </w:r>
          </w:p>
        </w:tc>
        <w:tc>
          <w:tcPr>
            <w:tcW w:w="1322" w:type="dxa"/>
            <w:vAlign w:val="center"/>
          </w:tcPr>
          <w:p w14:paraId="6CB64F36" w14:textId="4BD8F7D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295D31">
              <w:rPr>
                <w:rFonts w:cstheme="minorHAnsi"/>
                <w:color w:val="000000"/>
                <w:sz w:val="16"/>
                <w:szCs w:val="16"/>
                <w:lang w:eastAsia="en-US"/>
              </w:rPr>
              <w:t>,</w:t>
            </w:r>
            <w:r w:rsidRPr="002E3196">
              <w:rPr>
                <w:rFonts w:cstheme="minorHAnsi"/>
                <w:color w:val="000000"/>
                <w:sz w:val="16"/>
                <w:szCs w:val="16"/>
                <w:lang w:eastAsia="en-US"/>
              </w:rPr>
              <w:t>911</w:t>
            </w:r>
            <w:r w:rsidR="00295D31">
              <w:rPr>
                <w:rFonts w:cstheme="minorHAnsi"/>
                <w:color w:val="000000"/>
                <w:sz w:val="16"/>
                <w:szCs w:val="16"/>
                <w:lang w:eastAsia="en-US"/>
              </w:rPr>
              <w:t>,</w:t>
            </w:r>
            <w:r w:rsidRPr="002E3196">
              <w:rPr>
                <w:rFonts w:cstheme="minorHAnsi"/>
                <w:color w:val="000000"/>
                <w:sz w:val="16"/>
                <w:szCs w:val="16"/>
                <w:lang w:eastAsia="en-US"/>
              </w:rPr>
              <w:t>517</w:t>
            </w:r>
          </w:p>
        </w:tc>
        <w:tc>
          <w:tcPr>
            <w:tcW w:w="1465" w:type="dxa"/>
            <w:vAlign w:val="center"/>
          </w:tcPr>
          <w:p w14:paraId="2909C1E8" w14:textId="7B65C91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295D31">
              <w:rPr>
                <w:rFonts w:cstheme="minorHAnsi"/>
                <w:color w:val="000000"/>
                <w:sz w:val="16"/>
                <w:szCs w:val="16"/>
                <w:lang w:eastAsia="en-US"/>
              </w:rPr>
              <w:t>,</w:t>
            </w:r>
            <w:r w:rsidRPr="002E3196">
              <w:rPr>
                <w:rFonts w:cstheme="minorHAnsi"/>
                <w:color w:val="000000"/>
                <w:sz w:val="16"/>
                <w:szCs w:val="16"/>
                <w:lang w:eastAsia="en-US"/>
              </w:rPr>
              <w:t>911</w:t>
            </w:r>
            <w:r w:rsidR="00295D31">
              <w:rPr>
                <w:rFonts w:cstheme="minorHAnsi"/>
                <w:color w:val="000000"/>
                <w:sz w:val="16"/>
                <w:szCs w:val="16"/>
                <w:lang w:eastAsia="en-US"/>
              </w:rPr>
              <w:t>,</w:t>
            </w:r>
            <w:r w:rsidRPr="002E3196">
              <w:rPr>
                <w:rFonts w:cstheme="minorHAnsi"/>
                <w:color w:val="000000"/>
                <w:sz w:val="16"/>
                <w:szCs w:val="16"/>
                <w:lang w:eastAsia="en-US"/>
              </w:rPr>
              <w:t>517</w:t>
            </w:r>
          </w:p>
        </w:tc>
        <w:tc>
          <w:tcPr>
            <w:tcW w:w="1465" w:type="dxa"/>
            <w:vAlign w:val="center"/>
          </w:tcPr>
          <w:p w14:paraId="76609B59" w14:textId="461F534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w:t>
            </w:r>
            <w:r w:rsidR="00295D31">
              <w:rPr>
                <w:rFonts w:cstheme="minorHAnsi"/>
                <w:color w:val="000000"/>
                <w:sz w:val="16"/>
                <w:szCs w:val="16"/>
                <w:lang w:eastAsia="en-US"/>
              </w:rPr>
              <w:t>,</w:t>
            </w:r>
            <w:r w:rsidRPr="002E3196">
              <w:rPr>
                <w:rFonts w:cstheme="minorHAnsi"/>
                <w:color w:val="000000"/>
                <w:sz w:val="16"/>
                <w:szCs w:val="16"/>
                <w:lang w:eastAsia="en-US"/>
              </w:rPr>
              <w:t>445</w:t>
            </w:r>
          </w:p>
        </w:tc>
        <w:tc>
          <w:tcPr>
            <w:tcW w:w="1418" w:type="dxa"/>
            <w:vAlign w:val="center"/>
          </w:tcPr>
          <w:p w14:paraId="73349CC4" w14:textId="108CC1E1"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175</w:t>
            </w:r>
            <w:r w:rsidR="00295D31">
              <w:rPr>
                <w:rFonts w:cstheme="minorHAnsi"/>
                <w:color w:val="000000"/>
                <w:sz w:val="16"/>
                <w:szCs w:val="16"/>
                <w:lang w:eastAsia="en-US"/>
              </w:rPr>
              <w:t>,</w:t>
            </w:r>
            <w:r w:rsidRPr="002E3196">
              <w:rPr>
                <w:rFonts w:cstheme="minorHAnsi"/>
                <w:color w:val="000000"/>
                <w:sz w:val="16"/>
                <w:szCs w:val="16"/>
                <w:lang w:eastAsia="en-US"/>
              </w:rPr>
              <w:t>064</w:t>
            </w:r>
          </w:p>
        </w:tc>
        <w:tc>
          <w:tcPr>
            <w:tcW w:w="1511" w:type="dxa"/>
            <w:vAlign w:val="center"/>
          </w:tcPr>
          <w:p w14:paraId="446EF9B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06F050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2C11822" w14:textId="77777777" w:rsidTr="00780608">
        <w:trPr>
          <w:trHeight w:val="285"/>
        </w:trPr>
        <w:tc>
          <w:tcPr>
            <w:tcW w:w="1986" w:type="dxa"/>
            <w:vAlign w:val="center"/>
          </w:tcPr>
          <w:p w14:paraId="17E62ED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Effortless Energy Ltd</w:t>
            </w:r>
          </w:p>
        </w:tc>
        <w:tc>
          <w:tcPr>
            <w:tcW w:w="1322" w:type="dxa"/>
            <w:vAlign w:val="center"/>
          </w:tcPr>
          <w:p w14:paraId="749EFB8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198</w:t>
            </w:r>
          </w:p>
        </w:tc>
        <w:tc>
          <w:tcPr>
            <w:tcW w:w="1465" w:type="dxa"/>
            <w:vAlign w:val="center"/>
          </w:tcPr>
          <w:p w14:paraId="1224C16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71BCE4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0C649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20EB66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9796FC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3EF5BE1" w14:textId="77777777" w:rsidTr="00780608">
        <w:trPr>
          <w:trHeight w:val="285"/>
        </w:trPr>
        <w:tc>
          <w:tcPr>
            <w:tcW w:w="1986" w:type="dxa"/>
            <w:vAlign w:val="center"/>
          </w:tcPr>
          <w:p w14:paraId="14C792B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Electricity Plus Supply Ltd</w:t>
            </w:r>
          </w:p>
        </w:tc>
        <w:tc>
          <w:tcPr>
            <w:tcW w:w="1322" w:type="dxa"/>
            <w:vAlign w:val="center"/>
          </w:tcPr>
          <w:p w14:paraId="4754D7FA" w14:textId="56151958"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47</w:t>
            </w:r>
            <w:r w:rsidR="00016049">
              <w:rPr>
                <w:rFonts w:cstheme="minorHAnsi"/>
                <w:color w:val="000000"/>
                <w:sz w:val="16"/>
                <w:szCs w:val="16"/>
                <w:lang w:eastAsia="en-US"/>
              </w:rPr>
              <w:t>,</w:t>
            </w:r>
            <w:r w:rsidRPr="002E3196">
              <w:rPr>
                <w:rFonts w:cstheme="minorHAnsi"/>
                <w:color w:val="000000"/>
                <w:sz w:val="16"/>
                <w:szCs w:val="16"/>
                <w:lang w:eastAsia="en-US"/>
              </w:rPr>
              <w:t>573</w:t>
            </w:r>
          </w:p>
        </w:tc>
        <w:tc>
          <w:tcPr>
            <w:tcW w:w="1465" w:type="dxa"/>
            <w:vAlign w:val="center"/>
          </w:tcPr>
          <w:p w14:paraId="1CEE7152" w14:textId="6A0A6AE3"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47</w:t>
            </w:r>
            <w:r w:rsidR="00016049">
              <w:rPr>
                <w:rFonts w:cstheme="minorHAnsi"/>
                <w:color w:val="000000"/>
                <w:sz w:val="16"/>
                <w:szCs w:val="16"/>
                <w:lang w:eastAsia="en-US"/>
              </w:rPr>
              <w:t>,</w:t>
            </w:r>
            <w:r w:rsidRPr="002E3196">
              <w:rPr>
                <w:rFonts w:cstheme="minorHAnsi"/>
                <w:color w:val="000000"/>
                <w:sz w:val="16"/>
                <w:szCs w:val="16"/>
                <w:lang w:eastAsia="en-US"/>
              </w:rPr>
              <w:t>573</w:t>
            </w:r>
          </w:p>
        </w:tc>
        <w:tc>
          <w:tcPr>
            <w:tcW w:w="1465" w:type="dxa"/>
            <w:vAlign w:val="center"/>
          </w:tcPr>
          <w:p w14:paraId="027E0A5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85F843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3613A2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400F62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1FB4B29" w14:textId="77777777" w:rsidTr="00780608">
        <w:trPr>
          <w:trHeight w:val="285"/>
        </w:trPr>
        <w:tc>
          <w:tcPr>
            <w:tcW w:w="1986" w:type="dxa"/>
            <w:vAlign w:val="center"/>
          </w:tcPr>
          <w:p w14:paraId="00A4A54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Eneco</w:t>
            </w:r>
            <w:proofErr w:type="spellEnd"/>
            <w:r w:rsidRPr="002E3196">
              <w:rPr>
                <w:rFonts w:cstheme="minorHAnsi"/>
                <w:color w:val="000000"/>
                <w:sz w:val="16"/>
                <w:szCs w:val="16"/>
                <w:lang w:eastAsia="en-US"/>
              </w:rPr>
              <w:t xml:space="preserve"> energy Trade BV</w:t>
            </w:r>
          </w:p>
        </w:tc>
        <w:tc>
          <w:tcPr>
            <w:tcW w:w="1322" w:type="dxa"/>
            <w:vAlign w:val="center"/>
          </w:tcPr>
          <w:p w14:paraId="4766374A" w14:textId="2C594DF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w:t>
            </w:r>
            <w:r w:rsidR="00016049">
              <w:rPr>
                <w:rFonts w:cstheme="minorHAnsi"/>
                <w:color w:val="000000"/>
                <w:sz w:val="16"/>
                <w:szCs w:val="16"/>
                <w:lang w:eastAsia="en-US"/>
              </w:rPr>
              <w:t>,</w:t>
            </w:r>
            <w:r w:rsidRPr="002E3196">
              <w:rPr>
                <w:rFonts w:cstheme="minorHAnsi"/>
                <w:color w:val="000000"/>
                <w:sz w:val="16"/>
                <w:szCs w:val="16"/>
                <w:lang w:eastAsia="en-US"/>
              </w:rPr>
              <w:t>932</w:t>
            </w:r>
          </w:p>
        </w:tc>
        <w:tc>
          <w:tcPr>
            <w:tcW w:w="1465" w:type="dxa"/>
            <w:vAlign w:val="center"/>
          </w:tcPr>
          <w:p w14:paraId="3763F431" w14:textId="5FF74992"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w:t>
            </w:r>
            <w:r w:rsidR="00016049">
              <w:rPr>
                <w:rFonts w:cstheme="minorHAnsi"/>
                <w:color w:val="000000"/>
                <w:sz w:val="16"/>
                <w:szCs w:val="16"/>
                <w:lang w:eastAsia="en-US"/>
              </w:rPr>
              <w:t>,</w:t>
            </w:r>
            <w:r w:rsidRPr="002E3196">
              <w:rPr>
                <w:rFonts w:cstheme="minorHAnsi"/>
                <w:color w:val="000000"/>
                <w:sz w:val="16"/>
                <w:szCs w:val="16"/>
                <w:lang w:eastAsia="en-US"/>
              </w:rPr>
              <w:t>932</w:t>
            </w:r>
          </w:p>
        </w:tc>
        <w:tc>
          <w:tcPr>
            <w:tcW w:w="1465" w:type="dxa"/>
            <w:vAlign w:val="center"/>
          </w:tcPr>
          <w:p w14:paraId="109BC6B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323BFF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D890E6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DFA2F7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77C7097" w14:textId="77777777" w:rsidTr="00780608">
        <w:trPr>
          <w:trHeight w:val="285"/>
        </w:trPr>
        <w:tc>
          <w:tcPr>
            <w:tcW w:w="1986" w:type="dxa"/>
            <w:vAlign w:val="center"/>
          </w:tcPr>
          <w:p w14:paraId="407F2B74"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ENGIE Power Ltd</w:t>
            </w:r>
          </w:p>
        </w:tc>
        <w:tc>
          <w:tcPr>
            <w:tcW w:w="1322" w:type="dxa"/>
            <w:vAlign w:val="center"/>
          </w:tcPr>
          <w:p w14:paraId="69B2C686" w14:textId="1C917A8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197</w:t>
            </w:r>
            <w:r w:rsidR="00016049">
              <w:rPr>
                <w:rFonts w:cstheme="minorHAnsi"/>
                <w:color w:val="000000"/>
                <w:sz w:val="16"/>
                <w:szCs w:val="16"/>
                <w:lang w:eastAsia="en-US"/>
              </w:rPr>
              <w:t>,</w:t>
            </w:r>
            <w:r w:rsidRPr="002E3196">
              <w:rPr>
                <w:rFonts w:cstheme="minorHAnsi"/>
                <w:color w:val="000000"/>
                <w:sz w:val="16"/>
                <w:szCs w:val="16"/>
                <w:lang w:eastAsia="en-US"/>
              </w:rPr>
              <w:t>614</w:t>
            </w:r>
          </w:p>
        </w:tc>
        <w:tc>
          <w:tcPr>
            <w:tcW w:w="1465" w:type="dxa"/>
            <w:vAlign w:val="center"/>
          </w:tcPr>
          <w:p w14:paraId="0A76E42A" w14:textId="021D3B0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197</w:t>
            </w:r>
            <w:r w:rsidR="00016049">
              <w:rPr>
                <w:rFonts w:cstheme="minorHAnsi"/>
                <w:color w:val="000000"/>
                <w:sz w:val="16"/>
                <w:szCs w:val="16"/>
                <w:lang w:eastAsia="en-US"/>
              </w:rPr>
              <w:t>,</w:t>
            </w:r>
            <w:r w:rsidRPr="002E3196">
              <w:rPr>
                <w:rFonts w:cstheme="minorHAnsi"/>
                <w:color w:val="000000"/>
                <w:sz w:val="16"/>
                <w:szCs w:val="16"/>
                <w:lang w:eastAsia="en-US"/>
              </w:rPr>
              <w:t>614</w:t>
            </w:r>
          </w:p>
        </w:tc>
        <w:tc>
          <w:tcPr>
            <w:tcW w:w="1465" w:type="dxa"/>
            <w:vAlign w:val="center"/>
          </w:tcPr>
          <w:p w14:paraId="0E1BDEC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E3F132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4CE66E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D4DA9E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69D598C" w14:textId="77777777" w:rsidTr="00780608">
        <w:trPr>
          <w:trHeight w:val="285"/>
        </w:trPr>
        <w:tc>
          <w:tcPr>
            <w:tcW w:w="1986" w:type="dxa"/>
            <w:vAlign w:val="center"/>
          </w:tcPr>
          <w:p w14:paraId="5BF830F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Enstroga</w:t>
            </w:r>
            <w:proofErr w:type="spellEnd"/>
            <w:r w:rsidRPr="002E3196">
              <w:rPr>
                <w:rFonts w:cstheme="minorHAnsi"/>
                <w:color w:val="000000"/>
                <w:sz w:val="16"/>
                <w:szCs w:val="16"/>
                <w:lang w:eastAsia="en-US"/>
              </w:rPr>
              <w:t xml:space="preserve"> Ltd </w:t>
            </w:r>
          </w:p>
        </w:tc>
        <w:tc>
          <w:tcPr>
            <w:tcW w:w="1322" w:type="dxa"/>
            <w:vAlign w:val="center"/>
          </w:tcPr>
          <w:p w14:paraId="5B7C3579" w14:textId="0FEC4F8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389</w:t>
            </w:r>
          </w:p>
        </w:tc>
        <w:tc>
          <w:tcPr>
            <w:tcW w:w="1465" w:type="dxa"/>
            <w:vAlign w:val="center"/>
          </w:tcPr>
          <w:p w14:paraId="471C3B7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121721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B23730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A0027E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308E09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E88F640" w14:textId="77777777" w:rsidTr="00780608">
        <w:trPr>
          <w:trHeight w:val="285"/>
        </w:trPr>
        <w:tc>
          <w:tcPr>
            <w:tcW w:w="1986" w:type="dxa"/>
            <w:vAlign w:val="center"/>
          </w:tcPr>
          <w:p w14:paraId="0D813564"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Entice Energy</w:t>
            </w:r>
          </w:p>
        </w:tc>
        <w:tc>
          <w:tcPr>
            <w:tcW w:w="1322" w:type="dxa"/>
            <w:vAlign w:val="center"/>
          </w:tcPr>
          <w:p w14:paraId="30E9F59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433</w:t>
            </w:r>
          </w:p>
        </w:tc>
        <w:tc>
          <w:tcPr>
            <w:tcW w:w="1465" w:type="dxa"/>
            <w:vAlign w:val="center"/>
          </w:tcPr>
          <w:p w14:paraId="1A7FD83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5972D9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3BDEC9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82AA07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65BE5B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6C59C84" w14:textId="77777777" w:rsidTr="00780608">
        <w:trPr>
          <w:trHeight w:val="285"/>
        </w:trPr>
        <w:tc>
          <w:tcPr>
            <w:tcW w:w="1986" w:type="dxa"/>
            <w:vAlign w:val="center"/>
          </w:tcPr>
          <w:p w14:paraId="375BBB6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EPG Energy Ltd</w:t>
            </w:r>
          </w:p>
        </w:tc>
        <w:tc>
          <w:tcPr>
            <w:tcW w:w="1322" w:type="dxa"/>
            <w:vAlign w:val="center"/>
          </w:tcPr>
          <w:p w14:paraId="5530790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280</w:t>
            </w:r>
          </w:p>
        </w:tc>
        <w:tc>
          <w:tcPr>
            <w:tcW w:w="1465" w:type="dxa"/>
            <w:vAlign w:val="center"/>
          </w:tcPr>
          <w:p w14:paraId="3FA057B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550D9B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9BD5F6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102D4E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£14,014.00</w:t>
            </w:r>
          </w:p>
        </w:tc>
        <w:tc>
          <w:tcPr>
            <w:tcW w:w="1465" w:type="dxa"/>
            <w:vAlign w:val="center"/>
          </w:tcPr>
          <w:p w14:paraId="24AE88D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148FC94" w14:textId="77777777" w:rsidTr="00780608">
        <w:trPr>
          <w:trHeight w:val="285"/>
        </w:trPr>
        <w:tc>
          <w:tcPr>
            <w:tcW w:w="1986" w:type="dxa"/>
            <w:vAlign w:val="center"/>
          </w:tcPr>
          <w:p w14:paraId="7612550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ESB Energy Ltd</w:t>
            </w:r>
          </w:p>
        </w:tc>
        <w:tc>
          <w:tcPr>
            <w:tcW w:w="1322" w:type="dxa"/>
            <w:vAlign w:val="center"/>
          </w:tcPr>
          <w:p w14:paraId="385609E0" w14:textId="0286260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w:t>
            </w:r>
            <w:r w:rsidR="00016049">
              <w:rPr>
                <w:rFonts w:cstheme="minorHAnsi"/>
                <w:color w:val="000000"/>
                <w:sz w:val="16"/>
                <w:szCs w:val="16"/>
                <w:lang w:eastAsia="en-US"/>
              </w:rPr>
              <w:t>,</w:t>
            </w:r>
            <w:r w:rsidRPr="002E3196">
              <w:rPr>
                <w:rFonts w:cstheme="minorHAnsi"/>
                <w:color w:val="000000"/>
                <w:sz w:val="16"/>
                <w:szCs w:val="16"/>
                <w:lang w:eastAsia="en-US"/>
              </w:rPr>
              <w:t>895</w:t>
            </w:r>
          </w:p>
        </w:tc>
        <w:tc>
          <w:tcPr>
            <w:tcW w:w="1465" w:type="dxa"/>
            <w:vAlign w:val="center"/>
          </w:tcPr>
          <w:p w14:paraId="57C59FBB" w14:textId="276E84B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w:t>
            </w:r>
            <w:r w:rsidR="00016049">
              <w:rPr>
                <w:rFonts w:cstheme="minorHAnsi"/>
                <w:color w:val="000000"/>
                <w:sz w:val="16"/>
                <w:szCs w:val="16"/>
                <w:lang w:eastAsia="en-US"/>
              </w:rPr>
              <w:t>,</w:t>
            </w:r>
            <w:r w:rsidRPr="002E3196">
              <w:rPr>
                <w:rFonts w:cstheme="minorHAnsi"/>
                <w:color w:val="000000"/>
                <w:sz w:val="16"/>
                <w:szCs w:val="16"/>
                <w:lang w:eastAsia="en-US"/>
              </w:rPr>
              <w:t>895</w:t>
            </w:r>
          </w:p>
        </w:tc>
        <w:tc>
          <w:tcPr>
            <w:tcW w:w="1465" w:type="dxa"/>
            <w:vAlign w:val="center"/>
          </w:tcPr>
          <w:p w14:paraId="538D9C1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AAA831C" w14:textId="2875E56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016049">
              <w:rPr>
                <w:rFonts w:cstheme="minorHAnsi"/>
                <w:color w:val="000000"/>
                <w:sz w:val="16"/>
                <w:szCs w:val="16"/>
                <w:lang w:eastAsia="en-US"/>
              </w:rPr>
              <w:t>,</w:t>
            </w:r>
            <w:r w:rsidRPr="002E3196">
              <w:rPr>
                <w:rFonts w:cstheme="minorHAnsi"/>
                <w:color w:val="000000"/>
                <w:sz w:val="16"/>
                <w:szCs w:val="16"/>
                <w:lang w:eastAsia="en-US"/>
              </w:rPr>
              <w:t>473</w:t>
            </w:r>
          </w:p>
        </w:tc>
        <w:tc>
          <w:tcPr>
            <w:tcW w:w="1511" w:type="dxa"/>
            <w:vAlign w:val="center"/>
          </w:tcPr>
          <w:p w14:paraId="7A74B81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AC6376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793CB67" w14:textId="77777777" w:rsidTr="00780608">
        <w:trPr>
          <w:trHeight w:val="285"/>
        </w:trPr>
        <w:tc>
          <w:tcPr>
            <w:tcW w:w="1986" w:type="dxa"/>
            <w:vAlign w:val="center"/>
          </w:tcPr>
          <w:p w14:paraId="780EAB94"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lastRenderedPageBreak/>
              <w:t>Euston Energy Ltd</w:t>
            </w:r>
          </w:p>
        </w:tc>
        <w:tc>
          <w:tcPr>
            <w:tcW w:w="1322" w:type="dxa"/>
            <w:vAlign w:val="center"/>
          </w:tcPr>
          <w:p w14:paraId="65D9499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225</w:t>
            </w:r>
          </w:p>
        </w:tc>
        <w:tc>
          <w:tcPr>
            <w:tcW w:w="1465" w:type="dxa"/>
            <w:vAlign w:val="center"/>
          </w:tcPr>
          <w:p w14:paraId="5BE93DB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DF2364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018371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C06B1F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7E6428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£11,354.09</w:t>
            </w:r>
          </w:p>
        </w:tc>
      </w:tr>
      <w:tr w:rsidR="00C85B64" w:rsidRPr="006B3AC6" w14:paraId="71AA4BE4" w14:textId="77777777" w:rsidTr="00780608">
        <w:trPr>
          <w:trHeight w:val="285"/>
        </w:trPr>
        <w:tc>
          <w:tcPr>
            <w:tcW w:w="1986" w:type="dxa"/>
            <w:vAlign w:val="center"/>
          </w:tcPr>
          <w:p w14:paraId="3BEF0064"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F &amp; S Energy Ltd</w:t>
            </w:r>
          </w:p>
        </w:tc>
        <w:tc>
          <w:tcPr>
            <w:tcW w:w="1322" w:type="dxa"/>
            <w:vAlign w:val="center"/>
          </w:tcPr>
          <w:p w14:paraId="5AEECB3A" w14:textId="00C4376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909</w:t>
            </w:r>
          </w:p>
        </w:tc>
        <w:tc>
          <w:tcPr>
            <w:tcW w:w="1465" w:type="dxa"/>
            <w:vAlign w:val="center"/>
          </w:tcPr>
          <w:p w14:paraId="15F7542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4C650F9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C1444D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0A1A0E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£95,545.45</w:t>
            </w:r>
          </w:p>
        </w:tc>
        <w:tc>
          <w:tcPr>
            <w:tcW w:w="1465" w:type="dxa"/>
            <w:vAlign w:val="center"/>
          </w:tcPr>
          <w:p w14:paraId="23A7A67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4A5F05F" w14:textId="77777777" w:rsidTr="00780608">
        <w:trPr>
          <w:trHeight w:val="285"/>
        </w:trPr>
        <w:tc>
          <w:tcPr>
            <w:tcW w:w="1986" w:type="dxa"/>
            <w:vAlign w:val="center"/>
          </w:tcPr>
          <w:p w14:paraId="2D2E652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Farringdon Energy Ltd</w:t>
            </w:r>
          </w:p>
        </w:tc>
        <w:tc>
          <w:tcPr>
            <w:tcW w:w="1322" w:type="dxa"/>
            <w:vAlign w:val="center"/>
          </w:tcPr>
          <w:p w14:paraId="67EBAF2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123</w:t>
            </w:r>
          </w:p>
        </w:tc>
        <w:tc>
          <w:tcPr>
            <w:tcW w:w="1465" w:type="dxa"/>
            <w:vAlign w:val="center"/>
          </w:tcPr>
          <w:p w14:paraId="57AA920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45B0045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CA408A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BECB03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£6,211.50</w:t>
            </w:r>
          </w:p>
        </w:tc>
        <w:tc>
          <w:tcPr>
            <w:tcW w:w="1465" w:type="dxa"/>
            <w:vAlign w:val="center"/>
          </w:tcPr>
          <w:p w14:paraId="12319EC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494985E" w14:textId="77777777" w:rsidTr="00780608">
        <w:trPr>
          <w:trHeight w:val="285"/>
        </w:trPr>
        <w:tc>
          <w:tcPr>
            <w:tcW w:w="1986" w:type="dxa"/>
            <w:vAlign w:val="center"/>
          </w:tcPr>
          <w:p w14:paraId="3D03347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Foxglove Energy Supply Ltd</w:t>
            </w:r>
          </w:p>
        </w:tc>
        <w:tc>
          <w:tcPr>
            <w:tcW w:w="1322" w:type="dxa"/>
            <w:vAlign w:val="center"/>
          </w:tcPr>
          <w:p w14:paraId="3EFFBB47" w14:textId="2C30454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18</w:t>
            </w:r>
            <w:r w:rsidR="00016049">
              <w:rPr>
                <w:rFonts w:cstheme="minorHAnsi"/>
                <w:color w:val="000000"/>
                <w:sz w:val="16"/>
                <w:szCs w:val="16"/>
                <w:lang w:eastAsia="en-US"/>
              </w:rPr>
              <w:t>,</w:t>
            </w:r>
            <w:r w:rsidRPr="002E3196">
              <w:rPr>
                <w:rFonts w:cstheme="minorHAnsi"/>
                <w:color w:val="000000"/>
                <w:sz w:val="16"/>
                <w:szCs w:val="16"/>
                <w:lang w:eastAsia="en-US"/>
              </w:rPr>
              <w:t>607</w:t>
            </w:r>
          </w:p>
        </w:tc>
        <w:tc>
          <w:tcPr>
            <w:tcW w:w="1465" w:type="dxa"/>
            <w:vAlign w:val="center"/>
          </w:tcPr>
          <w:p w14:paraId="73C05FA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6230AE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965E30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4C4978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£931,280.35</w:t>
            </w:r>
          </w:p>
        </w:tc>
        <w:tc>
          <w:tcPr>
            <w:tcW w:w="1465" w:type="dxa"/>
            <w:vAlign w:val="center"/>
          </w:tcPr>
          <w:p w14:paraId="14F70C0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9361144" w14:textId="77777777" w:rsidTr="00780608">
        <w:trPr>
          <w:trHeight w:val="285"/>
        </w:trPr>
        <w:tc>
          <w:tcPr>
            <w:tcW w:w="1986" w:type="dxa"/>
            <w:vAlign w:val="center"/>
          </w:tcPr>
          <w:p w14:paraId="33A640B7"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Gas and Power Ltd T/A HUB Energy</w:t>
            </w:r>
          </w:p>
        </w:tc>
        <w:tc>
          <w:tcPr>
            <w:tcW w:w="1322" w:type="dxa"/>
            <w:vAlign w:val="center"/>
          </w:tcPr>
          <w:p w14:paraId="0C0D7BE8" w14:textId="51CE1A22"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w:t>
            </w:r>
            <w:r w:rsidR="00016049">
              <w:rPr>
                <w:rFonts w:cstheme="minorHAnsi"/>
                <w:color w:val="000000"/>
                <w:sz w:val="16"/>
                <w:szCs w:val="16"/>
                <w:lang w:eastAsia="en-US"/>
              </w:rPr>
              <w:t>,</w:t>
            </w:r>
            <w:r w:rsidRPr="002E3196">
              <w:rPr>
                <w:rFonts w:cstheme="minorHAnsi"/>
                <w:color w:val="000000"/>
                <w:sz w:val="16"/>
                <w:szCs w:val="16"/>
                <w:lang w:eastAsia="en-US"/>
              </w:rPr>
              <w:t>386</w:t>
            </w:r>
          </w:p>
        </w:tc>
        <w:tc>
          <w:tcPr>
            <w:tcW w:w="1465" w:type="dxa"/>
            <w:vAlign w:val="center"/>
          </w:tcPr>
          <w:p w14:paraId="7C573B6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9900E7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6875F2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25AC51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F4806B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A366B44" w14:textId="77777777" w:rsidTr="00780608">
        <w:trPr>
          <w:trHeight w:val="285"/>
        </w:trPr>
        <w:tc>
          <w:tcPr>
            <w:tcW w:w="1986" w:type="dxa"/>
            <w:vAlign w:val="center"/>
          </w:tcPr>
          <w:p w14:paraId="1A412A6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Gazprom Marketing &amp; Trading Retail Ltd</w:t>
            </w:r>
          </w:p>
        </w:tc>
        <w:tc>
          <w:tcPr>
            <w:tcW w:w="1322" w:type="dxa"/>
            <w:vAlign w:val="center"/>
          </w:tcPr>
          <w:p w14:paraId="510597CD" w14:textId="7267FE5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11</w:t>
            </w:r>
            <w:r w:rsidR="00016049">
              <w:rPr>
                <w:rFonts w:cstheme="minorHAnsi"/>
                <w:color w:val="000000"/>
                <w:sz w:val="16"/>
                <w:szCs w:val="16"/>
                <w:lang w:eastAsia="en-US"/>
              </w:rPr>
              <w:t>,</w:t>
            </w:r>
            <w:r w:rsidRPr="002E3196">
              <w:rPr>
                <w:rFonts w:cstheme="minorHAnsi"/>
                <w:color w:val="000000"/>
                <w:sz w:val="16"/>
                <w:szCs w:val="16"/>
                <w:lang w:eastAsia="en-US"/>
              </w:rPr>
              <w:t>409</w:t>
            </w:r>
          </w:p>
        </w:tc>
        <w:tc>
          <w:tcPr>
            <w:tcW w:w="1465" w:type="dxa"/>
            <w:vAlign w:val="center"/>
          </w:tcPr>
          <w:p w14:paraId="5E9D6525" w14:textId="232D8B4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11</w:t>
            </w:r>
            <w:r w:rsidR="00016049">
              <w:rPr>
                <w:rFonts w:cstheme="minorHAnsi"/>
                <w:color w:val="000000"/>
                <w:sz w:val="16"/>
                <w:szCs w:val="16"/>
                <w:lang w:eastAsia="en-US"/>
              </w:rPr>
              <w:t>,</w:t>
            </w:r>
            <w:r w:rsidRPr="002E3196">
              <w:rPr>
                <w:rFonts w:cstheme="minorHAnsi"/>
                <w:color w:val="000000"/>
                <w:sz w:val="16"/>
                <w:szCs w:val="16"/>
                <w:lang w:eastAsia="en-US"/>
              </w:rPr>
              <w:t>409</w:t>
            </w:r>
          </w:p>
        </w:tc>
        <w:tc>
          <w:tcPr>
            <w:tcW w:w="1465" w:type="dxa"/>
            <w:vAlign w:val="center"/>
          </w:tcPr>
          <w:p w14:paraId="573E15D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3D85A9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E18B81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55A09C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823882E" w14:textId="77777777" w:rsidTr="00780608">
        <w:trPr>
          <w:trHeight w:val="285"/>
        </w:trPr>
        <w:tc>
          <w:tcPr>
            <w:tcW w:w="1986" w:type="dxa"/>
            <w:vAlign w:val="center"/>
          </w:tcPr>
          <w:p w14:paraId="74BDE438"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Go Effortless</w:t>
            </w:r>
          </w:p>
        </w:tc>
        <w:tc>
          <w:tcPr>
            <w:tcW w:w="1322" w:type="dxa"/>
            <w:vAlign w:val="center"/>
          </w:tcPr>
          <w:p w14:paraId="33E9345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575</w:t>
            </w:r>
          </w:p>
        </w:tc>
        <w:tc>
          <w:tcPr>
            <w:tcW w:w="1465" w:type="dxa"/>
            <w:vAlign w:val="center"/>
          </w:tcPr>
          <w:p w14:paraId="148A2BD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3C104C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EE194D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F19008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D36533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401C19F0" w14:textId="77777777" w:rsidTr="00780608">
        <w:trPr>
          <w:trHeight w:val="285"/>
        </w:trPr>
        <w:tc>
          <w:tcPr>
            <w:tcW w:w="1986" w:type="dxa"/>
            <w:vAlign w:val="center"/>
          </w:tcPr>
          <w:p w14:paraId="562BF15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Good Energy Ltd</w:t>
            </w:r>
          </w:p>
        </w:tc>
        <w:tc>
          <w:tcPr>
            <w:tcW w:w="1322" w:type="dxa"/>
            <w:vAlign w:val="center"/>
          </w:tcPr>
          <w:p w14:paraId="6ED6DCB7" w14:textId="3B8E70C6"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13</w:t>
            </w:r>
            <w:r w:rsidR="00016049">
              <w:rPr>
                <w:rFonts w:cstheme="minorHAnsi"/>
                <w:color w:val="000000"/>
                <w:sz w:val="16"/>
                <w:szCs w:val="16"/>
                <w:lang w:eastAsia="en-US"/>
              </w:rPr>
              <w:t>,</w:t>
            </w:r>
            <w:r w:rsidRPr="002E3196">
              <w:rPr>
                <w:rFonts w:cstheme="minorHAnsi"/>
                <w:color w:val="000000"/>
                <w:sz w:val="16"/>
                <w:szCs w:val="16"/>
                <w:lang w:eastAsia="en-US"/>
              </w:rPr>
              <w:t>104</w:t>
            </w:r>
          </w:p>
        </w:tc>
        <w:tc>
          <w:tcPr>
            <w:tcW w:w="1465" w:type="dxa"/>
            <w:vAlign w:val="center"/>
          </w:tcPr>
          <w:p w14:paraId="43DE3C36" w14:textId="64468D3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13</w:t>
            </w:r>
            <w:r w:rsidR="00016049">
              <w:rPr>
                <w:rFonts w:cstheme="minorHAnsi"/>
                <w:color w:val="000000"/>
                <w:sz w:val="16"/>
                <w:szCs w:val="16"/>
                <w:lang w:eastAsia="en-US"/>
              </w:rPr>
              <w:t>,</w:t>
            </w:r>
            <w:r w:rsidRPr="002E3196">
              <w:rPr>
                <w:rFonts w:cstheme="minorHAnsi"/>
                <w:color w:val="000000"/>
                <w:sz w:val="16"/>
                <w:szCs w:val="16"/>
                <w:lang w:eastAsia="en-US"/>
              </w:rPr>
              <w:t>104</w:t>
            </w:r>
          </w:p>
        </w:tc>
        <w:tc>
          <w:tcPr>
            <w:tcW w:w="1465" w:type="dxa"/>
            <w:vAlign w:val="center"/>
          </w:tcPr>
          <w:p w14:paraId="3FB8B4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BF012B2" w14:textId="10E1E86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016049">
              <w:rPr>
                <w:rFonts w:cstheme="minorHAnsi"/>
                <w:color w:val="000000"/>
                <w:sz w:val="16"/>
                <w:szCs w:val="16"/>
                <w:lang w:eastAsia="en-US"/>
              </w:rPr>
              <w:t>,</w:t>
            </w:r>
            <w:r w:rsidRPr="002E3196">
              <w:rPr>
                <w:rFonts w:cstheme="minorHAnsi"/>
                <w:color w:val="000000"/>
                <w:sz w:val="16"/>
                <w:szCs w:val="16"/>
                <w:lang w:eastAsia="en-US"/>
              </w:rPr>
              <w:t>979</w:t>
            </w:r>
          </w:p>
        </w:tc>
        <w:tc>
          <w:tcPr>
            <w:tcW w:w="1511" w:type="dxa"/>
            <w:vAlign w:val="center"/>
          </w:tcPr>
          <w:p w14:paraId="340A0BD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075BE8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DA1833D" w14:textId="77777777" w:rsidTr="00780608">
        <w:trPr>
          <w:trHeight w:val="285"/>
        </w:trPr>
        <w:tc>
          <w:tcPr>
            <w:tcW w:w="1986" w:type="dxa"/>
            <w:vAlign w:val="center"/>
          </w:tcPr>
          <w:p w14:paraId="111BE98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Goto</w:t>
            </w:r>
            <w:proofErr w:type="spellEnd"/>
            <w:r w:rsidRPr="002E3196">
              <w:rPr>
                <w:rFonts w:cstheme="minorHAnsi"/>
                <w:color w:val="000000"/>
                <w:sz w:val="16"/>
                <w:szCs w:val="16"/>
                <w:lang w:eastAsia="en-US"/>
              </w:rPr>
              <w:t xml:space="preserve"> Energy (UK) Ltd</w:t>
            </w:r>
          </w:p>
        </w:tc>
        <w:tc>
          <w:tcPr>
            <w:tcW w:w="1322" w:type="dxa"/>
            <w:vAlign w:val="center"/>
          </w:tcPr>
          <w:p w14:paraId="76DB9199" w14:textId="2FAF40A1"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r w:rsidR="00016049">
              <w:rPr>
                <w:rFonts w:cstheme="minorHAnsi"/>
                <w:color w:val="000000"/>
                <w:sz w:val="16"/>
                <w:szCs w:val="16"/>
                <w:lang w:eastAsia="en-US"/>
              </w:rPr>
              <w:t>,</w:t>
            </w:r>
            <w:r w:rsidRPr="002E3196">
              <w:rPr>
                <w:rFonts w:cstheme="minorHAnsi"/>
                <w:color w:val="000000"/>
                <w:sz w:val="16"/>
                <w:szCs w:val="16"/>
                <w:lang w:eastAsia="en-US"/>
              </w:rPr>
              <w:t>953</w:t>
            </w:r>
          </w:p>
        </w:tc>
        <w:tc>
          <w:tcPr>
            <w:tcW w:w="1465" w:type="dxa"/>
            <w:vAlign w:val="center"/>
          </w:tcPr>
          <w:p w14:paraId="606D907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64B349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E2E44A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00C777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94EC32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B40CA1A" w14:textId="77777777" w:rsidTr="00780608">
        <w:trPr>
          <w:trHeight w:val="285"/>
        </w:trPr>
        <w:tc>
          <w:tcPr>
            <w:tcW w:w="1986" w:type="dxa"/>
            <w:vAlign w:val="center"/>
          </w:tcPr>
          <w:p w14:paraId="18349B2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Green Energy (UK) Plc</w:t>
            </w:r>
          </w:p>
        </w:tc>
        <w:tc>
          <w:tcPr>
            <w:tcW w:w="1322" w:type="dxa"/>
            <w:vAlign w:val="center"/>
          </w:tcPr>
          <w:p w14:paraId="3530A811" w14:textId="5F363BC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666</w:t>
            </w:r>
          </w:p>
        </w:tc>
        <w:tc>
          <w:tcPr>
            <w:tcW w:w="1465" w:type="dxa"/>
            <w:vAlign w:val="center"/>
          </w:tcPr>
          <w:p w14:paraId="26AC74E9" w14:textId="4B53AB0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666</w:t>
            </w:r>
          </w:p>
        </w:tc>
        <w:tc>
          <w:tcPr>
            <w:tcW w:w="1465" w:type="dxa"/>
            <w:vAlign w:val="center"/>
          </w:tcPr>
          <w:p w14:paraId="410DD53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AB9EFF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A37545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7AB21E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D22B80C" w14:textId="77777777" w:rsidTr="00780608">
        <w:trPr>
          <w:trHeight w:val="285"/>
        </w:trPr>
        <w:tc>
          <w:tcPr>
            <w:tcW w:w="1986" w:type="dxa"/>
            <w:vAlign w:val="center"/>
          </w:tcPr>
          <w:p w14:paraId="1F9614D9"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Green Network Energy LTD</w:t>
            </w:r>
          </w:p>
        </w:tc>
        <w:tc>
          <w:tcPr>
            <w:tcW w:w="1322" w:type="dxa"/>
            <w:vAlign w:val="center"/>
          </w:tcPr>
          <w:p w14:paraId="5BAA94A8" w14:textId="6627833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56</w:t>
            </w:r>
            <w:r w:rsidR="00016049">
              <w:rPr>
                <w:rFonts w:cstheme="minorHAnsi"/>
                <w:color w:val="000000"/>
                <w:sz w:val="16"/>
                <w:szCs w:val="16"/>
                <w:lang w:eastAsia="en-US"/>
              </w:rPr>
              <w:t>,</w:t>
            </w:r>
            <w:r w:rsidRPr="002E3196">
              <w:rPr>
                <w:rFonts w:cstheme="minorHAnsi"/>
                <w:color w:val="000000"/>
                <w:sz w:val="16"/>
                <w:szCs w:val="16"/>
                <w:lang w:eastAsia="en-US"/>
              </w:rPr>
              <w:t>882</w:t>
            </w:r>
          </w:p>
        </w:tc>
        <w:tc>
          <w:tcPr>
            <w:tcW w:w="1465" w:type="dxa"/>
            <w:vAlign w:val="center"/>
          </w:tcPr>
          <w:p w14:paraId="3A15EA5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75CBE85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A9E330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218FF3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402DE9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4FEC3FC" w14:textId="77777777" w:rsidTr="00780608">
        <w:trPr>
          <w:trHeight w:val="285"/>
        </w:trPr>
        <w:tc>
          <w:tcPr>
            <w:tcW w:w="1986" w:type="dxa"/>
            <w:vAlign w:val="center"/>
          </w:tcPr>
          <w:p w14:paraId="17FB991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Green Supplier Ltd</w:t>
            </w:r>
          </w:p>
        </w:tc>
        <w:tc>
          <w:tcPr>
            <w:tcW w:w="1322" w:type="dxa"/>
            <w:vAlign w:val="center"/>
          </w:tcPr>
          <w:p w14:paraId="2A2D2DC6" w14:textId="0761C14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w:t>
            </w:r>
            <w:r w:rsidR="00016049">
              <w:rPr>
                <w:rFonts w:cstheme="minorHAnsi"/>
                <w:color w:val="000000"/>
                <w:sz w:val="16"/>
                <w:szCs w:val="16"/>
                <w:lang w:eastAsia="en-US"/>
              </w:rPr>
              <w:t>,</w:t>
            </w:r>
            <w:r w:rsidRPr="002E3196">
              <w:rPr>
                <w:rFonts w:cstheme="minorHAnsi"/>
                <w:color w:val="000000"/>
                <w:sz w:val="16"/>
                <w:szCs w:val="16"/>
                <w:lang w:eastAsia="en-US"/>
              </w:rPr>
              <w:t>242</w:t>
            </w:r>
          </w:p>
        </w:tc>
        <w:tc>
          <w:tcPr>
            <w:tcW w:w="1465" w:type="dxa"/>
            <w:vAlign w:val="center"/>
          </w:tcPr>
          <w:p w14:paraId="2241C8A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0BC036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7DAE0C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2EF11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88442A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FE62C0A" w14:textId="77777777" w:rsidTr="00780608">
        <w:trPr>
          <w:trHeight w:val="285"/>
        </w:trPr>
        <w:tc>
          <w:tcPr>
            <w:tcW w:w="1986" w:type="dxa"/>
            <w:vAlign w:val="center"/>
          </w:tcPr>
          <w:p w14:paraId="6CB182E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Haven Power Ltd</w:t>
            </w:r>
          </w:p>
        </w:tc>
        <w:tc>
          <w:tcPr>
            <w:tcW w:w="1322" w:type="dxa"/>
            <w:vAlign w:val="center"/>
          </w:tcPr>
          <w:p w14:paraId="70F8729F" w14:textId="5666D5D6"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253</w:t>
            </w:r>
            <w:r w:rsidR="00016049">
              <w:rPr>
                <w:rFonts w:cstheme="minorHAnsi"/>
                <w:color w:val="000000"/>
                <w:sz w:val="16"/>
                <w:szCs w:val="16"/>
                <w:lang w:eastAsia="en-US"/>
              </w:rPr>
              <w:t>,</w:t>
            </w:r>
            <w:r w:rsidRPr="002E3196">
              <w:rPr>
                <w:rFonts w:cstheme="minorHAnsi"/>
                <w:color w:val="000000"/>
                <w:sz w:val="16"/>
                <w:szCs w:val="16"/>
                <w:lang w:eastAsia="en-US"/>
              </w:rPr>
              <w:t>310</w:t>
            </w:r>
          </w:p>
        </w:tc>
        <w:tc>
          <w:tcPr>
            <w:tcW w:w="1465" w:type="dxa"/>
            <w:vAlign w:val="center"/>
          </w:tcPr>
          <w:p w14:paraId="06522458" w14:textId="6F1BA4A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253</w:t>
            </w:r>
            <w:r w:rsidR="00016049">
              <w:rPr>
                <w:rFonts w:cstheme="minorHAnsi"/>
                <w:color w:val="000000"/>
                <w:sz w:val="16"/>
                <w:szCs w:val="16"/>
                <w:lang w:eastAsia="en-US"/>
              </w:rPr>
              <w:t>,</w:t>
            </w:r>
            <w:r w:rsidRPr="002E3196">
              <w:rPr>
                <w:rFonts w:cstheme="minorHAnsi"/>
                <w:color w:val="000000"/>
                <w:sz w:val="16"/>
                <w:szCs w:val="16"/>
                <w:lang w:eastAsia="en-US"/>
              </w:rPr>
              <w:t>310</w:t>
            </w:r>
          </w:p>
        </w:tc>
        <w:tc>
          <w:tcPr>
            <w:tcW w:w="1465" w:type="dxa"/>
            <w:vAlign w:val="center"/>
          </w:tcPr>
          <w:p w14:paraId="1848EAB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060F812" w14:textId="0B0E34A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r w:rsidR="00016049">
              <w:rPr>
                <w:rFonts w:cstheme="minorHAnsi"/>
                <w:color w:val="000000"/>
                <w:sz w:val="16"/>
                <w:szCs w:val="16"/>
                <w:lang w:eastAsia="en-US"/>
              </w:rPr>
              <w:t>,</w:t>
            </w:r>
            <w:r w:rsidRPr="002E3196">
              <w:rPr>
                <w:rFonts w:cstheme="minorHAnsi"/>
                <w:color w:val="000000"/>
                <w:sz w:val="16"/>
                <w:szCs w:val="16"/>
                <w:lang w:eastAsia="en-US"/>
              </w:rPr>
              <w:t>018</w:t>
            </w:r>
          </w:p>
        </w:tc>
        <w:tc>
          <w:tcPr>
            <w:tcW w:w="1511" w:type="dxa"/>
            <w:vAlign w:val="center"/>
          </w:tcPr>
          <w:p w14:paraId="6319ADF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B33DE5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6B788CC" w14:textId="77777777" w:rsidTr="00780608">
        <w:trPr>
          <w:trHeight w:val="285"/>
        </w:trPr>
        <w:tc>
          <w:tcPr>
            <w:tcW w:w="1986" w:type="dxa"/>
            <w:vAlign w:val="center"/>
          </w:tcPr>
          <w:p w14:paraId="7C34538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Home Energy Trading Ltd</w:t>
            </w:r>
          </w:p>
        </w:tc>
        <w:tc>
          <w:tcPr>
            <w:tcW w:w="1322" w:type="dxa"/>
            <w:vAlign w:val="center"/>
          </w:tcPr>
          <w:p w14:paraId="7E7517F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p>
        </w:tc>
        <w:tc>
          <w:tcPr>
            <w:tcW w:w="1465" w:type="dxa"/>
            <w:vAlign w:val="center"/>
          </w:tcPr>
          <w:p w14:paraId="6D263CB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EF449C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CBEC5D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DB8704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7B8C70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£50.29</w:t>
            </w:r>
          </w:p>
        </w:tc>
      </w:tr>
      <w:tr w:rsidR="00C85B64" w:rsidRPr="006B3AC6" w14:paraId="1A22CDF2" w14:textId="77777777" w:rsidTr="00780608">
        <w:trPr>
          <w:trHeight w:val="285"/>
        </w:trPr>
        <w:tc>
          <w:tcPr>
            <w:tcW w:w="1986" w:type="dxa"/>
            <w:vAlign w:val="center"/>
          </w:tcPr>
          <w:p w14:paraId="6A07B14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 xml:space="preserve">I Supply Energy </w:t>
            </w:r>
          </w:p>
        </w:tc>
        <w:tc>
          <w:tcPr>
            <w:tcW w:w="1322" w:type="dxa"/>
            <w:vAlign w:val="center"/>
          </w:tcPr>
          <w:p w14:paraId="4427FED4" w14:textId="51E0263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427</w:t>
            </w:r>
          </w:p>
        </w:tc>
        <w:tc>
          <w:tcPr>
            <w:tcW w:w="1465" w:type="dxa"/>
            <w:vAlign w:val="center"/>
          </w:tcPr>
          <w:p w14:paraId="4D67DA4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42E297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9F9993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7789F4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£71,421.35</w:t>
            </w:r>
          </w:p>
        </w:tc>
        <w:tc>
          <w:tcPr>
            <w:tcW w:w="1465" w:type="dxa"/>
            <w:vAlign w:val="center"/>
          </w:tcPr>
          <w:p w14:paraId="0983A3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61399DC" w14:textId="77777777" w:rsidTr="00780608">
        <w:trPr>
          <w:trHeight w:val="285"/>
        </w:trPr>
        <w:tc>
          <w:tcPr>
            <w:tcW w:w="1986" w:type="dxa"/>
            <w:vAlign w:val="center"/>
          </w:tcPr>
          <w:p w14:paraId="44437BD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Igloo Energy Supply Ltd</w:t>
            </w:r>
          </w:p>
        </w:tc>
        <w:tc>
          <w:tcPr>
            <w:tcW w:w="1322" w:type="dxa"/>
            <w:vAlign w:val="center"/>
          </w:tcPr>
          <w:p w14:paraId="6BF34A36" w14:textId="2C559C6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11</w:t>
            </w:r>
            <w:r w:rsidR="00016049">
              <w:rPr>
                <w:rFonts w:cstheme="minorHAnsi"/>
                <w:color w:val="000000"/>
                <w:sz w:val="16"/>
                <w:szCs w:val="16"/>
                <w:lang w:eastAsia="en-US"/>
              </w:rPr>
              <w:t>,</w:t>
            </w:r>
            <w:r w:rsidRPr="002E3196">
              <w:rPr>
                <w:rFonts w:cstheme="minorHAnsi"/>
                <w:color w:val="000000"/>
                <w:sz w:val="16"/>
                <w:szCs w:val="16"/>
                <w:lang w:eastAsia="en-US"/>
              </w:rPr>
              <w:t>078</w:t>
            </w:r>
          </w:p>
        </w:tc>
        <w:tc>
          <w:tcPr>
            <w:tcW w:w="1465" w:type="dxa"/>
            <w:vAlign w:val="center"/>
          </w:tcPr>
          <w:p w14:paraId="6F72E8A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6547CB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241C39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FFA21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9F423F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4E5DCB5" w14:textId="77777777" w:rsidTr="00780608">
        <w:trPr>
          <w:trHeight w:val="285"/>
        </w:trPr>
        <w:tc>
          <w:tcPr>
            <w:tcW w:w="1986" w:type="dxa"/>
            <w:vAlign w:val="center"/>
          </w:tcPr>
          <w:p w14:paraId="19026770"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Limejump</w:t>
            </w:r>
            <w:proofErr w:type="spellEnd"/>
            <w:r w:rsidRPr="002E3196">
              <w:rPr>
                <w:rFonts w:cstheme="minorHAnsi"/>
                <w:color w:val="000000"/>
                <w:sz w:val="16"/>
                <w:szCs w:val="16"/>
                <w:lang w:eastAsia="en-US"/>
              </w:rPr>
              <w:t xml:space="preserve"> Energy Ltd</w:t>
            </w:r>
          </w:p>
        </w:tc>
        <w:tc>
          <w:tcPr>
            <w:tcW w:w="1322" w:type="dxa"/>
            <w:vAlign w:val="center"/>
          </w:tcPr>
          <w:p w14:paraId="0C46F75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87</w:t>
            </w:r>
          </w:p>
        </w:tc>
        <w:tc>
          <w:tcPr>
            <w:tcW w:w="1465" w:type="dxa"/>
            <w:vAlign w:val="center"/>
          </w:tcPr>
          <w:p w14:paraId="198BEBF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87</w:t>
            </w:r>
          </w:p>
        </w:tc>
        <w:tc>
          <w:tcPr>
            <w:tcW w:w="1465" w:type="dxa"/>
            <w:vAlign w:val="center"/>
          </w:tcPr>
          <w:p w14:paraId="27E9673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02A3B3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20</w:t>
            </w:r>
          </w:p>
        </w:tc>
        <w:tc>
          <w:tcPr>
            <w:tcW w:w="1511" w:type="dxa"/>
            <w:vAlign w:val="center"/>
          </w:tcPr>
          <w:p w14:paraId="2F2EA5B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B9742A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F49BA1C" w14:textId="77777777" w:rsidTr="00780608">
        <w:trPr>
          <w:trHeight w:val="285"/>
        </w:trPr>
        <w:tc>
          <w:tcPr>
            <w:tcW w:w="1986" w:type="dxa"/>
            <w:vAlign w:val="center"/>
          </w:tcPr>
          <w:p w14:paraId="6151013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Logicor</w:t>
            </w:r>
            <w:proofErr w:type="spellEnd"/>
            <w:r w:rsidRPr="002E3196">
              <w:rPr>
                <w:rFonts w:cstheme="minorHAnsi"/>
                <w:color w:val="000000"/>
                <w:sz w:val="16"/>
                <w:szCs w:val="16"/>
                <w:lang w:eastAsia="en-US"/>
              </w:rPr>
              <w:t xml:space="preserve"> Energy Ltd</w:t>
            </w:r>
          </w:p>
        </w:tc>
        <w:tc>
          <w:tcPr>
            <w:tcW w:w="1322" w:type="dxa"/>
            <w:vAlign w:val="center"/>
          </w:tcPr>
          <w:p w14:paraId="7BA97A2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p>
        </w:tc>
        <w:tc>
          <w:tcPr>
            <w:tcW w:w="1465" w:type="dxa"/>
            <w:vAlign w:val="center"/>
          </w:tcPr>
          <w:p w14:paraId="2FC0AAE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D68128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C9C16B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B1F66F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£300.30</w:t>
            </w:r>
          </w:p>
        </w:tc>
        <w:tc>
          <w:tcPr>
            <w:tcW w:w="1465" w:type="dxa"/>
            <w:vAlign w:val="center"/>
          </w:tcPr>
          <w:p w14:paraId="3EBE8D9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9C3E6CE" w14:textId="77777777" w:rsidTr="00780608">
        <w:trPr>
          <w:trHeight w:val="285"/>
        </w:trPr>
        <w:tc>
          <w:tcPr>
            <w:tcW w:w="1986" w:type="dxa"/>
            <w:vAlign w:val="center"/>
          </w:tcPr>
          <w:p w14:paraId="3A75941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MA Energy Ltd</w:t>
            </w:r>
          </w:p>
        </w:tc>
        <w:tc>
          <w:tcPr>
            <w:tcW w:w="1322" w:type="dxa"/>
            <w:vAlign w:val="center"/>
          </w:tcPr>
          <w:p w14:paraId="4BC03BD5" w14:textId="79CC825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016049">
              <w:rPr>
                <w:rFonts w:cstheme="minorHAnsi"/>
                <w:color w:val="000000"/>
                <w:sz w:val="16"/>
                <w:szCs w:val="16"/>
                <w:lang w:eastAsia="en-US"/>
              </w:rPr>
              <w:t>,</w:t>
            </w:r>
            <w:r w:rsidRPr="002E3196">
              <w:rPr>
                <w:rFonts w:cstheme="minorHAnsi"/>
                <w:color w:val="000000"/>
                <w:sz w:val="16"/>
                <w:szCs w:val="16"/>
                <w:lang w:eastAsia="en-US"/>
              </w:rPr>
              <w:t>890</w:t>
            </w:r>
          </w:p>
        </w:tc>
        <w:tc>
          <w:tcPr>
            <w:tcW w:w="1465" w:type="dxa"/>
            <w:vAlign w:val="center"/>
          </w:tcPr>
          <w:p w14:paraId="28C43AA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B0B4EE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BDE777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098F22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£144,644.50</w:t>
            </w:r>
          </w:p>
        </w:tc>
        <w:tc>
          <w:tcPr>
            <w:tcW w:w="1465" w:type="dxa"/>
            <w:vAlign w:val="center"/>
          </w:tcPr>
          <w:p w14:paraId="768DD22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CA7250D" w14:textId="77777777" w:rsidTr="00780608">
        <w:trPr>
          <w:trHeight w:val="285"/>
        </w:trPr>
        <w:tc>
          <w:tcPr>
            <w:tcW w:w="1986" w:type="dxa"/>
            <w:vAlign w:val="center"/>
          </w:tcPr>
          <w:p w14:paraId="2B7A2F00"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Marble Power Ltd</w:t>
            </w:r>
          </w:p>
        </w:tc>
        <w:tc>
          <w:tcPr>
            <w:tcW w:w="1322" w:type="dxa"/>
            <w:vAlign w:val="center"/>
          </w:tcPr>
          <w:p w14:paraId="0969D564" w14:textId="754A494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w:t>
            </w:r>
            <w:r w:rsidR="00016049">
              <w:rPr>
                <w:rFonts w:cstheme="minorHAnsi"/>
                <w:color w:val="000000"/>
                <w:sz w:val="16"/>
                <w:szCs w:val="16"/>
                <w:lang w:eastAsia="en-US"/>
              </w:rPr>
              <w:t>,</w:t>
            </w:r>
            <w:r w:rsidRPr="002E3196">
              <w:rPr>
                <w:rFonts w:cstheme="minorHAnsi"/>
                <w:color w:val="000000"/>
                <w:sz w:val="16"/>
                <w:szCs w:val="16"/>
                <w:lang w:eastAsia="en-US"/>
              </w:rPr>
              <w:t>796</w:t>
            </w:r>
          </w:p>
        </w:tc>
        <w:tc>
          <w:tcPr>
            <w:tcW w:w="1465" w:type="dxa"/>
            <w:vAlign w:val="center"/>
          </w:tcPr>
          <w:p w14:paraId="3C2C0E4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12BC4E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72DC45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1D1D8B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£840,639.80</w:t>
            </w:r>
          </w:p>
        </w:tc>
        <w:tc>
          <w:tcPr>
            <w:tcW w:w="1465" w:type="dxa"/>
            <w:vAlign w:val="center"/>
          </w:tcPr>
          <w:p w14:paraId="6A7459D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6C10313" w14:textId="77777777" w:rsidTr="00780608">
        <w:trPr>
          <w:trHeight w:val="285"/>
        </w:trPr>
        <w:tc>
          <w:tcPr>
            <w:tcW w:w="1986" w:type="dxa"/>
            <w:vAlign w:val="center"/>
          </w:tcPr>
          <w:p w14:paraId="03451C4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Maxen</w:t>
            </w:r>
            <w:proofErr w:type="spellEnd"/>
            <w:r w:rsidRPr="002E3196">
              <w:rPr>
                <w:rFonts w:cstheme="minorHAnsi"/>
                <w:color w:val="000000"/>
                <w:sz w:val="16"/>
                <w:szCs w:val="16"/>
                <w:lang w:eastAsia="en-US"/>
              </w:rPr>
              <w:t xml:space="preserve"> Power supply Ltd</w:t>
            </w:r>
          </w:p>
        </w:tc>
        <w:tc>
          <w:tcPr>
            <w:tcW w:w="1322" w:type="dxa"/>
            <w:vAlign w:val="center"/>
          </w:tcPr>
          <w:p w14:paraId="0D5B4869" w14:textId="5FC2564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550</w:t>
            </w:r>
          </w:p>
        </w:tc>
        <w:tc>
          <w:tcPr>
            <w:tcW w:w="1465" w:type="dxa"/>
            <w:vAlign w:val="center"/>
          </w:tcPr>
          <w:p w14:paraId="01F58B7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43F4EC6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61D71B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2A0BC4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£77,577.51</w:t>
            </w:r>
          </w:p>
        </w:tc>
        <w:tc>
          <w:tcPr>
            <w:tcW w:w="1465" w:type="dxa"/>
            <w:vAlign w:val="center"/>
          </w:tcPr>
          <w:p w14:paraId="7B646D4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44DC0FF" w14:textId="77777777" w:rsidTr="00780608">
        <w:trPr>
          <w:trHeight w:val="285"/>
        </w:trPr>
        <w:tc>
          <w:tcPr>
            <w:tcW w:w="1986" w:type="dxa"/>
            <w:vAlign w:val="center"/>
          </w:tcPr>
          <w:p w14:paraId="459FD86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MoneyPlus</w:t>
            </w:r>
            <w:proofErr w:type="spellEnd"/>
            <w:r w:rsidRPr="002E3196">
              <w:rPr>
                <w:rFonts w:cstheme="minorHAnsi"/>
                <w:color w:val="000000"/>
                <w:sz w:val="16"/>
                <w:szCs w:val="16"/>
                <w:lang w:eastAsia="en-US"/>
              </w:rPr>
              <w:t xml:space="preserve"> Energy</w:t>
            </w:r>
          </w:p>
        </w:tc>
        <w:tc>
          <w:tcPr>
            <w:tcW w:w="1322" w:type="dxa"/>
            <w:vAlign w:val="center"/>
          </w:tcPr>
          <w:p w14:paraId="203EB65A" w14:textId="174AEFE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w:t>
            </w:r>
            <w:r w:rsidR="00016049">
              <w:rPr>
                <w:rFonts w:cstheme="minorHAnsi"/>
                <w:color w:val="000000"/>
                <w:sz w:val="16"/>
                <w:szCs w:val="16"/>
                <w:lang w:eastAsia="en-US"/>
              </w:rPr>
              <w:t>,</w:t>
            </w:r>
            <w:r w:rsidRPr="002E3196">
              <w:rPr>
                <w:rFonts w:cstheme="minorHAnsi"/>
                <w:color w:val="000000"/>
                <w:sz w:val="16"/>
                <w:szCs w:val="16"/>
                <w:lang w:eastAsia="en-US"/>
              </w:rPr>
              <w:t>474</w:t>
            </w:r>
          </w:p>
        </w:tc>
        <w:tc>
          <w:tcPr>
            <w:tcW w:w="1465" w:type="dxa"/>
            <w:vAlign w:val="center"/>
          </w:tcPr>
          <w:p w14:paraId="20E64BA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DF0040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BD8592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5E07B9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FF13A1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4AA057E" w14:textId="77777777" w:rsidTr="00780608">
        <w:trPr>
          <w:trHeight w:val="285"/>
        </w:trPr>
        <w:tc>
          <w:tcPr>
            <w:tcW w:w="1986" w:type="dxa"/>
          </w:tcPr>
          <w:p w14:paraId="29D61CF3" w14:textId="73D34667" w:rsidR="00C85B64" w:rsidRPr="002E3196" w:rsidRDefault="001A6FC0">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MVV Environment Services  Ltd</w:t>
            </w:r>
          </w:p>
        </w:tc>
        <w:tc>
          <w:tcPr>
            <w:tcW w:w="1322" w:type="dxa"/>
            <w:vAlign w:val="center"/>
          </w:tcPr>
          <w:p w14:paraId="3918D92C" w14:textId="55BFCBF0"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w:t>
            </w:r>
            <w:r>
              <w:rPr>
                <w:rFonts w:cstheme="minorHAnsi"/>
                <w:color w:val="000000"/>
                <w:sz w:val="16"/>
                <w:szCs w:val="16"/>
                <w:lang w:eastAsia="en-US"/>
              </w:rPr>
              <w:t>,</w:t>
            </w:r>
            <w:r w:rsidRPr="002E3196">
              <w:rPr>
                <w:rFonts w:cstheme="minorHAnsi"/>
                <w:color w:val="000000"/>
                <w:sz w:val="16"/>
                <w:szCs w:val="16"/>
                <w:lang w:eastAsia="en-US"/>
              </w:rPr>
              <w:t>282</w:t>
            </w:r>
          </w:p>
        </w:tc>
        <w:tc>
          <w:tcPr>
            <w:tcW w:w="1465" w:type="dxa"/>
            <w:vAlign w:val="center"/>
          </w:tcPr>
          <w:p w14:paraId="09504F5E"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9018F94"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BEE1713"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7F82CD5"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£214,314.10</w:t>
            </w:r>
          </w:p>
        </w:tc>
        <w:tc>
          <w:tcPr>
            <w:tcW w:w="1465" w:type="dxa"/>
            <w:vAlign w:val="center"/>
          </w:tcPr>
          <w:p w14:paraId="06DCEE2E" w14:textId="77777777" w:rsidR="00C85B64" w:rsidRPr="002E3196" w:rsidRDefault="00C85B64"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D90EFEF" w14:textId="77777777" w:rsidTr="00780608">
        <w:trPr>
          <w:trHeight w:val="285"/>
        </w:trPr>
        <w:tc>
          <w:tcPr>
            <w:tcW w:w="1986" w:type="dxa"/>
            <w:vAlign w:val="center"/>
          </w:tcPr>
          <w:p w14:paraId="69A1A81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Nabuh</w:t>
            </w:r>
            <w:proofErr w:type="spellEnd"/>
            <w:r w:rsidRPr="002E3196">
              <w:rPr>
                <w:rFonts w:cstheme="minorHAnsi"/>
                <w:color w:val="000000"/>
                <w:sz w:val="16"/>
                <w:szCs w:val="16"/>
                <w:lang w:eastAsia="en-US"/>
              </w:rPr>
              <w:t xml:space="preserve"> Energy Ltd</w:t>
            </w:r>
          </w:p>
        </w:tc>
        <w:tc>
          <w:tcPr>
            <w:tcW w:w="1322" w:type="dxa"/>
            <w:vAlign w:val="center"/>
          </w:tcPr>
          <w:p w14:paraId="79BB253E" w14:textId="79F17D1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w:t>
            </w:r>
            <w:r w:rsidR="00016049">
              <w:rPr>
                <w:rFonts w:cstheme="minorHAnsi"/>
                <w:color w:val="000000"/>
                <w:sz w:val="16"/>
                <w:szCs w:val="16"/>
                <w:lang w:eastAsia="en-US"/>
              </w:rPr>
              <w:t>,</w:t>
            </w:r>
            <w:r w:rsidRPr="002E3196">
              <w:rPr>
                <w:rFonts w:cstheme="minorHAnsi"/>
                <w:color w:val="000000"/>
                <w:sz w:val="16"/>
                <w:szCs w:val="16"/>
                <w:lang w:eastAsia="en-US"/>
              </w:rPr>
              <w:t>357</w:t>
            </w:r>
          </w:p>
        </w:tc>
        <w:tc>
          <w:tcPr>
            <w:tcW w:w="1465" w:type="dxa"/>
            <w:vAlign w:val="center"/>
          </w:tcPr>
          <w:p w14:paraId="1B90AB0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7FD9D1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780064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57E590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B29CC5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15B6E6F" w14:textId="77777777" w:rsidTr="00780608">
        <w:trPr>
          <w:trHeight w:val="285"/>
        </w:trPr>
        <w:tc>
          <w:tcPr>
            <w:tcW w:w="1986" w:type="dxa"/>
            <w:vAlign w:val="center"/>
          </w:tcPr>
          <w:p w14:paraId="6C5184D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Neon Reef Ltd</w:t>
            </w:r>
          </w:p>
        </w:tc>
        <w:tc>
          <w:tcPr>
            <w:tcW w:w="1322" w:type="dxa"/>
            <w:vAlign w:val="center"/>
          </w:tcPr>
          <w:p w14:paraId="0E62A81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545</w:t>
            </w:r>
          </w:p>
        </w:tc>
        <w:tc>
          <w:tcPr>
            <w:tcW w:w="1465" w:type="dxa"/>
            <w:vAlign w:val="center"/>
          </w:tcPr>
          <w:p w14:paraId="79D74EC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3F6DD2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08ECA2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0EE21B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A906AB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E726FAC" w14:textId="77777777" w:rsidTr="00780608">
        <w:trPr>
          <w:trHeight w:val="285"/>
        </w:trPr>
        <w:tc>
          <w:tcPr>
            <w:tcW w:w="1986" w:type="dxa"/>
            <w:vAlign w:val="center"/>
          </w:tcPr>
          <w:p w14:paraId="0BA884C0"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Npower Ltd</w:t>
            </w:r>
          </w:p>
        </w:tc>
        <w:tc>
          <w:tcPr>
            <w:tcW w:w="1322" w:type="dxa"/>
            <w:vAlign w:val="center"/>
          </w:tcPr>
          <w:p w14:paraId="5AF966DB" w14:textId="7217D4F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800</w:t>
            </w:r>
            <w:r w:rsidR="00016049">
              <w:rPr>
                <w:rFonts w:cstheme="minorHAnsi"/>
                <w:color w:val="000000"/>
                <w:sz w:val="16"/>
                <w:szCs w:val="16"/>
                <w:lang w:eastAsia="en-US"/>
              </w:rPr>
              <w:t>,</w:t>
            </w:r>
            <w:r w:rsidRPr="002E3196">
              <w:rPr>
                <w:rFonts w:cstheme="minorHAnsi"/>
                <w:color w:val="000000"/>
                <w:sz w:val="16"/>
                <w:szCs w:val="16"/>
                <w:lang w:eastAsia="en-US"/>
              </w:rPr>
              <w:t>489</w:t>
            </w:r>
          </w:p>
        </w:tc>
        <w:tc>
          <w:tcPr>
            <w:tcW w:w="1465" w:type="dxa"/>
            <w:vAlign w:val="center"/>
          </w:tcPr>
          <w:p w14:paraId="2CEBC6BD" w14:textId="067C5215"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800</w:t>
            </w:r>
            <w:r w:rsidR="00016049">
              <w:rPr>
                <w:rFonts w:cstheme="minorHAnsi"/>
                <w:color w:val="000000"/>
                <w:sz w:val="16"/>
                <w:szCs w:val="16"/>
                <w:lang w:eastAsia="en-US"/>
              </w:rPr>
              <w:t>,</w:t>
            </w:r>
            <w:r w:rsidRPr="002E3196">
              <w:rPr>
                <w:rFonts w:cstheme="minorHAnsi"/>
                <w:color w:val="000000"/>
                <w:sz w:val="16"/>
                <w:szCs w:val="16"/>
                <w:lang w:eastAsia="en-US"/>
              </w:rPr>
              <w:t>489</w:t>
            </w:r>
          </w:p>
        </w:tc>
        <w:tc>
          <w:tcPr>
            <w:tcW w:w="1465" w:type="dxa"/>
            <w:vAlign w:val="center"/>
          </w:tcPr>
          <w:p w14:paraId="6C33F8B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449</w:t>
            </w:r>
          </w:p>
        </w:tc>
        <w:tc>
          <w:tcPr>
            <w:tcW w:w="1418" w:type="dxa"/>
            <w:vAlign w:val="center"/>
          </w:tcPr>
          <w:p w14:paraId="20D90C8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1C14EC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FF7548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217E5E8" w14:textId="77777777" w:rsidTr="00780608">
        <w:trPr>
          <w:trHeight w:val="285"/>
        </w:trPr>
        <w:tc>
          <w:tcPr>
            <w:tcW w:w="1986" w:type="dxa"/>
            <w:vAlign w:val="center"/>
          </w:tcPr>
          <w:p w14:paraId="4732EEE7"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Npower Northern Ltd</w:t>
            </w:r>
          </w:p>
        </w:tc>
        <w:tc>
          <w:tcPr>
            <w:tcW w:w="1322" w:type="dxa"/>
            <w:vAlign w:val="center"/>
          </w:tcPr>
          <w:p w14:paraId="0803F075" w14:textId="0FD87CA5"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74</w:t>
            </w:r>
            <w:r w:rsidR="00016049">
              <w:rPr>
                <w:rFonts w:cstheme="minorHAnsi"/>
                <w:color w:val="000000"/>
                <w:sz w:val="16"/>
                <w:szCs w:val="16"/>
                <w:lang w:eastAsia="en-US"/>
              </w:rPr>
              <w:t>,</w:t>
            </w:r>
            <w:r w:rsidRPr="002E3196">
              <w:rPr>
                <w:rFonts w:cstheme="minorHAnsi"/>
                <w:color w:val="000000"/>
                <w:sz w:val="16"/>
                <w:szCs w:val="16"/>
                <w:lang w:eastAsia="en-US"/>
              </w:rPr>
              <w:t>461</w:t>
            </w:r>
          </w:p>
        </w:tc>
        <w:tc>
          <w:tcPr>
            <w:tcW w:w="1465" w:type="dxa"/>
            <w:vAlign w:val="center"/>
          </w:tcPr>
          <w:p w14:paraId="1A2C787F" w14:textId="0C678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74</w:t>
            </w:r>
            <w:r w:rsidR="00016049">
              <w:rPr>
                <w:rFonts w:cstheme="minorHAnsi"/>
                <w:color w:val="000000"/>
                <w:sz w:val="16"/>
                <w:szCs w:val="16"/>
                <w:lang w:eastAsia="en-US"/>
              </w:rPr>
              <w:t>,</w:t>
            </w:r>
            <w:r w:rsidRPr="002E3196">
              <w:rPr>
                <w:rFonts w:cstheme="minorHAnsi"/>
                <w:color w:val="000000"/>
                <w:sz w:val="16"/>
                <w:szCs w:val="16"/>
                <w:lang w:eastAsia="en-US"/>
              </w:rPr>
              <w:t>461</w:t>
            </w:r>
          </w:p>
        </w:tc>
        <w:tc>
          <w:tcPr>
            <w:tcW w:w="1465" w:type="dxa"/>
            <w:vAlign w:val="center"/>
          </w:tcPr>
          <w:p w14:paraId="3717584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5A1B7B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810C15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5D6F23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8AD6A07" w14:textId="77777777" w:rsidTr="00780608">
        <w:trPr>
          <w:trHeight w:val="285"/>
        </w:trPr>
        <w:tc>
          <w:tcPr>
            <w:tcW w:w="1986" w:type="dxa"/>
            <w:vAlign w:val="center"/>
          </w:tcPr>
          <w:p w14:paraId="39DB9D4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Npower Yorkshire  Ltd</w:t>
            </w:r>
          </w:p>
        </w:tc>
        <w:tc>
          <w:tcPr>
            <w:tcW w:w="1322" w:type="dxa"/>
            <w:vAlign w:val="center"/>
          </w:tcPr>
          <w:p w14:paraId="392E1FF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26</w:t>
            </w:r>
          </w:p>
        </w:tc>
        <w:tc>
          <w:tcPr>
            <w:tcW w:w="1465" w:type="dxa"/>
            <w:vAlign w:val="center"/>
          </w:tcPr>
          <w:p w14:paraId="398BFDE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26</w:t>
            </w:r>
          </w:p>
        </w:tc>
        <w:tc>
          <w:tcPr>
            <w:tcW w:w="1465" w:type="dxa"/>
            <w:vAlign w:val="center"/>
          </w:tcPr>
          <w:p w14:paraId="4A99285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0AE6B9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E63AB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0C74B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BE9C2A0" w14:textId="77777777" w:rsidTr="00780608">
        <w:trPr>
          <w:trHeight w:val="285"/>
        </w:trPr>
        <w:tc>
          <w:tcPr>
            <w:tcW w:w="1986" w:type="dxa"/>
            <w:vAlign w:val="center"/>
          </w:tcPr>
          <w:p w14:paraId="2FC9892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Octopus Energy Ltd</w:t>
            </w:r>
          </w:p>
        </w:tc>
        <w:tc>
          <w:tcPr>
            <w:tcW w:w="1322" w:type="dxa"/>
            <w:vAlign w:val="center"/>
          </w:tcPr>
          <w:p w14:paraId="619E7C4C" w14:textId="101A784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232</w:t>
            </w:r>
            <w:r w:rsidR="00016049">
              <w:rPr>
                <w:rFonts w:cstheme="minorHAnsi"/>
                <w:color w:val="000000"/>
                <w:sz w:val="16"/>
                <w:szCs w:val="16"/>
                <w:lang w:eastAsia="en-US"/>
              </w:rPr>
              <w:t>,</w:t>
            </w:r>
            <w:r w:rsidRPr="002E3196">
              <w:rPr>
                <w:rFonts w:cstheme="minorHAnsi"/>
                <w:color w:val="000000"/>
                <w:sz w:val="16"/>
                <w:szCs w:val="16"/>
                <w:lang w:eastAsia="en-US"/>
              </w:rPr>
              <w:t>463</w:t>
            </w:r>
          </w:p>
        </w:tc>
        <w:tc>
          <w:tcPr>
            <w:tcW w:w="1465" w:type="dxa"/>
            <w:vAlign w:val="center"/>
          </w:tcPr>
          <w:p w14:paraId="18134A2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70F714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679D82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B6754A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£11,634,773.15</w:t>
            </w:r>
          </w:p>
        </w:tc>
        <w:tc>
          <w:tcPr>
            <w:tcW w:w="1465" w:type="dxa"/>
            <w:vAlign w:val="center"/>
          </w:tcPr>
          <w:p w14:paraId="76281CE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63EB337" w14:textId="77777777" w:rsidTr="00780608">
        <w:trPr>
          <w:trHeight w:val="285"/>
        </w:trPr>
        <w:tc>
          <w:tcPr>
            <w:tcW w:w="1986" w:type="dxa"/>
            <w:vAlign w:val="center"/>
          </w:tcPr>
          <w:p w14:paraId="51DC65F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Omni Energy Ltd</w:t>
            </w:r>
          </w:p>
        </w:tc>
        <w:tc>
          <w:tcPr>
            <w:tcW w:w="1322" w:type="dxa"/>
            <w:vAlign w:val="center"/>
          </w:tcPr>
          <w:p w14:paraId="0F3FA51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102</w:t>
            </w:r>
          </w:p>
        </w:tc>
        <w:tc>
          <w:tcPr>
            <w:tcW w:w="1465" w:type="dxa"/>
            <w:vAlign w:val="center"/>
          </w:tcPr>
          <w:p w14:paraId="17AD5BB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102</w:t>
            </w:r>
          </w:p>
        </w:tc>
        <w:tc>
          <w:tcPr>
            <w:tcW w:w="1465" w:type="dxa"/>
            <w:vAlign w:val="center"/>
          </w:tcPr>
          <w:p w14:paraId="70A3643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747DCA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AE8001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158C9B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0421968" w14:textId="77777777" w:rsidTr="00780608">
        <w:trPr>
          <w:trHeight w:val="285"/>
        </w:trPr>
        <w:tc>
          <w:tcPr>
            <w:tcW w:w="1986" w:type="dxa"/>
            <w:vAlign w:val="center"/>
          </w:tcPr>
          <w:p w14:paraId="0E6E20F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Opus Energy (Corporate) Ltd</w:t>
            </w:r>
          </w:p>
        </w:tc>
        <w:tc>
          <w:tcPr>
            <w:tcW w:w="1322" w:type="dxa"/>
            <w:vAlign w:val="center"/>
          </w:tcPr>
          <w:p w14:paraId="31F48C36" w14:textId="68B01C8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63</w:t>
            </w:r>
            <w:r w:rsidR="00016049">
              <w:rPr>
                <w:rFonts w:cstheme="minorHAnsi"/>
                <w:color w:val="000000"/>
                <w:sz w:val="16"/>
                <w:szCs w:val="16"/>
                <w:lang w:eastAsia="en-US"/>
              </w:rPr>
              <w:t>,</w:t>
            </w:r>
            <w:r w:rsidRPr="002E3196">
              <w:rPr>
                <w:rFonts w:cstheme="minorHAnsi"/>
                <w:color w:val="000000"/>
                <w:sz w:val="16"/>
                <w:szCs w:val="16"/>
                <w:lang w:eastAsia="en-US"/>
              </w:rPr>
              <w:t>450</w:t>
            </w:r>
          </w:p>
        </w:tc>
        <w:tc>
          <w:tcPr>
            <w:tcW w:w="1465" w:type="dxa"/>
            <w:vAlign w:val="center"/>
          </w:tcPr>
          <w:p w14:paraId="0DB3C897" w14:textId="6881D81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63</w:t>
            </w:r>
            <w:r w:rsidR="00016049">
              <w:rPr>
                <w:rFonts w:cstheme="minorHAnsi"/>
                <w:color w:val="000000"/>
                <w:sz w:val="16"/>
                <w:szCs w:val="16"/>
                <w:lang w:eastAsia="en-US"/>
              </w:rPr>
              <w:t>,</w:t>
            </w:r>
            <w:r w:rsidRPr="002E3196">
              <w:rPr>
                <w:rFonts w:cstheme="minorHAnsi"/>
                <w:color w:val="000000"/>
                <w:sz w:val="16"/>
                <w:szCs w:val="16"/>
                <w:lang w:eastAsia="en-US"/>
              </w:rPr>
              <w:t>450</w:t>
            </w:r>
          </w:p>
        </w:tc>
        <w:tc>
          <w:tcPr>
            <w:tcW w:w="1465" w:type="dxa"/>
            <w:vAlign w:val="center"/>
          </w:tcPr>
          <w:p w14:paraId="4522FB9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p>
        </w:tc>
        <w:tc>
          <w:tcPr>
            <w:tcW w:w="1418" w:type="dxa"/>
            <w:vAlign w:val="center"/>
          </w:tcPr>
          <w:p w14:paraId="6A1A5BD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p>
        </w:tc>
        <w:tc>
          <w:tcPr>
            <w:tcW w:w="1511" w:type="dxa"/>
            <w:vAlign w:val="center"/>
          </w:tcPr>
          <w:p w14:paraId="104249B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A126F3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7D5A796" w14:textId="77777777" w:rsidTr="00780608">
        <w:trPr>
          <w:trHeight w:val="285"/>
        </w:trPr>
        <w:tc>
          <w:tcPr>
            <w:tcW w:w="1986" w:type="dxa"/>
            <w:vAlign w:val="center"/>
          </w:tcPr>
          <w:p w14:paraId="52D55EA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Opus Energy Ltd</w:t>
            </w:r>
          </w:p>
        </w:tc>
        <w:tc>
          <w:tcPr>
            <w:tcW w:w="1322" w:type="dxa"/>
            <w:vAlign w:val="center"/>
          </w:tcPr>
          <w:p w14:paraId="5E9C3B00" w14:textId="365B2968"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60</w:t>
            </w:r>
            <w:r w:rsidR="00016049">
              <w:rPr>
                <w:rFonts w:cstheme="minorHAnsi"/>
                <w:color w:val="000000"/>
                <w:sz w:val="16"/>
                <w:szCs w:val="16"/>
                <w:lang w:eastAsia="en-US"/>
              </w:rPr>
              <w:t>,</w:t>
            </w:r>
            <w:r w:rsidRPr="002E3196">
              <w:rPr>
                <w:rFonts w:cstheme="minorHAnsi"/>
                <w:color w:val="000000"/>
                <w:sz w:val="16"/>
                <w:szCs w:val="16"/>
                <w:lang w:eastAsia="en-US"/>
              </w:rPr>
              <w:t>159</w:t>
            </w:r>
          </w:p>
        </w:tc>
        <w:tc>
          <w:tcPr>
            <w:tcW w:w="1465" w:type="dxa"/>
            <w:vAlign w:val="center"/>
          </w:tcPr>
          <w:p w14:paraId="2A905A26" w14:textId="57D3C73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60</w:t>
            </w:r>
            <w:r w:rsidR="00016049">
              <w:rPr>
                <w:rFonts w:cstheme="minorHAnsi"/>
                <w:color w:val="000000"/>
                <w:sz w:val="16"/>
                <w:szCs w:val="16"/>
                <w:lang w:eastAsia="en-US"/>
              </w:rPr>
              <w:t>,</w:t>
            </w:r>
            <w:r w:rsidRPr="002E3196">
              <w:rPr>
                <w:rFonts w:cstheme="minorHAnsi"/>
                <w:color w:val="000000"/>
                <w:sz w:val="16"/>
                <w:szCs w:val="16"/>
                <w:lang w:eastAsia="en-US"/>
              </w:rPr>
              <w:t>159</w:t>
            </w:r>
          </w:p>
        </w:tc>
        <w:tc>
          <w:tcPr>
            <w:tcW w:w="1465" w:type="dxa"/>
            <w:vAlign w:val="center"/>
          </w:tcPr>
          <w:p w14:paraId="7EDF33E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3D7056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AF7FE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6F09D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B2F3C3A" w14:textId="77777777" w:rsidTr="00780608">
        <w:trPr>
          <w:trHeight w:val="285"/>
        </w:trPr>
        <w:tc>
          <w:tcPr>
            <w:tcW w:w="1986" w:type="dxa"/>
            <w:vAlign w:val="center"/>
          </w:tcPr>
          <w:p w14:paraId="4A8AF8A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Orbit Energy Ltd</w:t>
            </w:r>
          </w:p>
        </w:tc>
        <w:tc>
          <w:tcPr>
            <w:tcW w:w="1322" w:type="dxa"/>
            <w:vAlign w:val="center"/>
          </w:tcPr>
          <w:p w14:paraId="50725D0F" w14:textId="7D6892E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w:t>
            </w:r>
            <w:r w:rsidR="00016049">
              <w:rPr>
                <w:rFonts w:cstheme="minorHAnsi"/>
                <w:color w:val="000000"/>
                <w:sz w:val="16"/>
                <w:szCs w:val="16"/>
                <w:lang w:eastAsia="en-US"/>
              </w:rPr>
              <w:t>,</w:t>
            </w:r>
            <w:r w:rsidRPr="002E3196">
              <w:rPr>
                <w:rFonts w:cstheme="minorHAnsi"/>
                <w:color w:val="000000"/>
                <w:sz w:val="16"/>
                <w:szCs w:val="16"/>
                <w:lang w:eastAsia="en-US"/>
              </w:rPr>
              <w:t>449</w:t>
            </w:r>
          </w:p>
        </w:tc>
        <w:tc>
          <w:tcPr>
            <w:tcW w:w="1465" w:type="dxa"/>
            <w:vAlign w:val="center"/>
          </w:tcPr>
          <w:p w14:paraId="4E68F758" w14:textId="08D58A1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w:t>
            </w:r>
            <w:r w:rsidR="00016049">
              <w:rPr>
                <w:rFonts w:cstheme="minorHAnsi"/>
                <w:color w:val="000000"/>
                <w:sz w:val="16"/>
                <w:szCs w:val="16"/>
                <w:lang w:eastAsia="en-US"/>
              </w:rPr>
              <w:t>,</w:t>
            </w:r>
            <w:r w:rsidRPr="002E3196">
              <w:rPr>
                <w:rFonts w:cstheme="minorHAnsi"/>
                <w:color w:val="000000"/>
                <w:sz w:val="16"/>
                <w:szCs w:val="16"/>
                <w:lang w:eastAsia="en-US"/>
              </w:rPr>
              <w:t>449</w:t>
            </w:r>
          </w:p>
        </w:tc>
        <w:tc>
          <w:tcPr>
            <w:tcW w:w="1465" w:type="dxa"/>
            <w:vAlign w:val="center"/>
          </w:tcPr>
          <w:p w14:paraId="2BE5BE3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7BF164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8C5800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BCD39C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B1CF096" w14:textId="77777777" w:rsidTr="00780608">
        <w:trPr>
          <w:trHeight w:val="285"/>
        </w:trPr>
        <w:tc>
          <w:tcPr>
            <w:tcW w:w="1986" w:type="dxa"/>
            <w:vAlign w:val="center"/>
          </w:tcPr>
          <w:p w14:paraId="2E262CF3"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Orsted</w:t>
            </w:r>
            <w:proofErr w:type="spellEnd"/>
            <w:r w:rsidRPr="002E3196">
              <w:rPr>
                <w:rFonts w:cstheme="minorHAnsi"/>
                <w:color w:val="000000"/>
                <w:sz w:val="16"/>
                <w:szCs w:val="16"/>
                <w:lang w:eastAsia="en-US"/>
              </w:rPr>
              <w:t xml:space="preserve"> Power Sales (UK) Ltd</w:t>
            </w:r>
          </w:p>
        </w:tc>
        <w:tc>
          <w:tcPr>
            <w:tcW w:w="1322" w:type="dxa"/>
            <w:vAlign w:val="center"/>
          </w:tcPr>
          <w:p w14:paraId="099742BE" w14:textId="19C62E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218</w:t>
            </w:r>
            <w:r w:rsidR="00016049">
              <w:rPr>
                <w:rFonts w:cstheme="minorHAnsi"/>
                <w:color w:val="000000"/>
                <w:sz w:val="16"/>
                <w:szCs w:val="16"/>
                <w:lang w:eastAsia="en-US"/>
              </w:rPr>
              <w:t>,</w:t>
            </w:r>
            <w:r w:rsidRPr="002E3196">
              <w:rPr>
                <w:rFonts w:cstheme="minorHAnsi"/>
                <w:color w:val="000000"/>
                <w:sz w:val="16"/>
                <w:szCs w:val="16"/>
                <w:lang w:eastAsia="en-US"/>
              </w:rPr>
              <w:t>768</w:t>
            </w:r>
          </w:p>
        </w:tc>
        <w:tc>
          <w:tcPr>
            <w:tcW w:w="1465" w:type="dxa"/>
            <w:vAlign w:val="center"/>
          </w:tcPr>
          <w:p w14:paraId="0AE82C0C" w14:textId="7881DD6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218</w:t>
            </w:r>
            <w:r w:rsidR="00016049">
              <w:rPr>
                <w:rFonts w:cstheme="minorHAnsi"/>
                <w:color w:val="000000"/>
                <w:sz w:val="16"/>
                <w:szCs w:val="16"/>
                <w:lang w:eastAsia="en-US"/>
              </w:rPr>
              <w:t>,</w:t>
            </w:r>
            <w:r w:rsidRPr="002E3196">
              <w:rPr>
                <w:rFonts w:cstheme="minorHAnsi"/>
                <w:color w:val="000000"/>
                <w:sz w:val="16"/>
                <w:szCs w:val="16"/>
                <w:lang w:eastAsia="en-US"/>
              </w:rPr>
              <w:t>768</w:t>
            </w:r>
          </w:p>
        </w:tc>
        <w:tc>
          <w:tcPr>
            <w:tcW w:w="1465" w:type="dxa"/>
            <w:vAlign w:val="center"/>
          </w:tcPr>
          <w:p w14:paraId="07EE849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60</w:t>
            </w:r>
          </w:p>
        </w:tc>
        <w:tc>
          <w:tcPr>
            <w:tcW w:w="1418" w:type="dxa"/>
            <w:vAlign w:val="center"/>
          </w:tcPr>
          <w:p w14:paraId="6461E34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A592B1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9D77E8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D23B0A3" w14:textId="77777777" w:rsidTr="00780608">
        <w:trPr>
          <w:trHeight w:val="285"/>
        </w:trPr>
        <w:tc>
          <w:tcPr>
            <w:tcW w:w="1986" w:type="dxa"/>
            <w:vAlign w:val="center"/>
          </w:tcPr>
          <w:p w14:paraId="7046562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Ovo Energy</w:t>
            </w:r>
          </w:p>
        </w:tc>
        <w:tc>
          <w:tcPr>
            <w:tcW w:w="1322" w:type="dxa"/>
            <w:vAlign w:val="center"/>
          </w:tcPr>
          <w:p w14:paraId="5564D237" w14:textId="1D0ADC2C"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090</w:t>
            </w:r>
            <w:r w:rsidR="00016049">
              <w:rPr>
                <w:rFonts w:cstheme="minorHAnsi"/>
                <w:color w:val="000000"/>
                <w:sz w:val="16"/>
                <w:szCs w:val="16"/>
                <w:lang w:eastAsia="en-US"/>
              </w:rPr>
              <w:t>,</w:t>
            </w:r>
            <w:r w:rsidRPr="002E3196">
              <w:rPr>
                <w:rFonts w:cstheme="minorHAnsi"/>
                <w:color w:val="000000"/>
                <w:sz w:val="16"/>
                <w:szCs w:val="16"/>
                <w:lang w:eastAsia="en-US"/>
              </w:rPr>
              <w:t>810</w:t>
            </w:r>
          </w:p>
        </w:tc>
        <w:tc>
          <w:tcPr>
            <w:tcW w:w="1465" w:type="dxa"/>
            <w:vAlign w:val="center"/>
          </w:tcPr>
          <w:p w14:paraId="17E1681E" w14:textId="4362B8F2"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090</w:t>
            </w:r>
            <w:r w:rsidR="00016049">
              <w:rPr>
                <w:rFonts w:cstheme="minorHAnsi"/>
                <w:color w:val="000000"/>
                <w:sz w:val="16"/>
                <w:szCs w:val="16"/>
                <w:lang w:eastAsia="en-US"/>
              </w:rPr>
              <w:t>,</w:t>
            </w:r>
            <w:r w:rsidRPr="002E3196">
              <w:rPr>
                <w:rFonts w:cstheme="minorHAnsi"/>
                <w:color w:val="000000"/>
                <w:sz w:val="16"/>
                <w:szCs w:val="16"/>
                <w:lang w:eastAsia="en-US"/>
              </w:rPr>
              <w:t>810</w:t>
            </w:r>
          </w:p>
        </w:tc>
        <w:tc>
          <w:tcPr>
            <w:tcW w:w="1465" w:type="dxa"/>
            <w:vAlign w:val="center"/>
          </w:tcPr>
          <w:p w14:paraId="3D63FC1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FCB239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F2085B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DB7542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E297B6B" w14:textId="77777777" w:rsidTr="00780608">
        <w:trPr>
          <w:trHeight w:val="285"/>
        </w:trPr>
        <w:tc>
          <w:tcPr>
            <w:tcW w:w="1986" w:type="dxa"/>
            <w:vAlign w:val="center"/>
          </w:tcPr>
          <w:p w14:paraId="2D3C229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People's Energy (Supply) Ltd</w:t>
            </w:r>
          </w:p>
        </w:tc>
        <w:tc>
          <w:tcPr>
            <w:tcW w:w="1322" w:type="dxa"/>
            <w:vAlign w:val="center"/>
          </w:tcPr>
          <w:p w14:paraId="77082910" w14:textId="22444568"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46</w:t>
            </w:r>
            <w:r w:rsidR="00016049">
              <w:rPr>
                <w:rFonts w:cstheme="minorHAnsi"/>
                <w:color w:val="000000"/>
                <w:sz w:val="16"/>
                <w:szCs w:val="16"/>
                <w:lang w:eastAsia="en-US"/>
              </w:rPr>
              <w:t>,</w:t>
            </w:r>
            <w:r w:rsidRPr="002E3196">
              <w:rPr>
                <w:rFonts w:cstheme="minorHAnsi"/>
                <w:color w:val="000000"/>
                <w:sz w:val="16"/>
                <w:szCs w:val="16"/>
                <w:lang w:eastAsia="en-US"/>
              </w:rPr>
              <w:t>721</w:t>
            </w:r>
          </w:p>
        </w:tc>
        <w:tc>
          <w:tcPr>
            <w:tcW w:w="1465" w:type="dxa"/>
            <w:vAlign w:val="center"/>
          </w:tcPr>
          <w:p w14:paraId="0F1C30B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4785B78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FDE376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AFFDB8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494DE8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E92D404" w14:textId="77777777" w:rsidTr="00780608">
        <w:trPr>
          <w:trHeight w:val="285"/>
        </w:trPr>
        <w:tc>
          <w:tcPr>
            <w:tcW w:w="1986" w:type="dxa"/>
            <w:vAlign w:val="center"/>
          </w:tcPr>
          <w:p w14:paraId="78708F4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PFP Energy Supplies Ltd</w:t>
            </w:r>
          </w:p>
        </w:tc>
        <w:tc>
          <w:tcPr>
            <w:tcW w:w="1322" w:type="dxa"/>
            <w:vAlign w:val="center"/>
          </w:tcPr>
          <w:p w14:paraId="1136C8EE" w14:textId="6BE068C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w:t>
            </w:r>
            <w:r w:rsidR="00016049">
              <w:rPr>
                <w:rFonts w:cstheme="minorHAnsi"/>
                <w:color w:val="000000"/>
                <w:sz w:val="16"/>
                <w:szCs w:val="16"/>
                <w:lang w:eastAsia="en-US"/>
              </w:rPr>
              <w:t>,</w:t>
            </w:r>
            <w:r w:rsidRPr="002E3196">
              <w:rPr>
                <w:rFonts w:cstheme="minorHAnsi"/>
                <w:color w:val="000000"/>
                <w:sz w:val="16"/>
                <w:szCs w:val="16"/>
                <w:lang w:eastAsia="en-US"/>
              </w:rPr>
              <w:t>929</w:t>
            </w:r>
          </w:p>
        </w:tc>
        <w:tc>
          <w:tcPr>
            <w:tcW w:w="1465" w:type="dxa"/>
            <w:vAlign w:val="center"/>
          </w:tcPr>
          <w:p w14:paraId="7DC7166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9B3FD6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90D666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21E85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7F9A09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E40F1B6" w14:textId="77777777" w:rsidTr="00780608">
        <w:trPr>
          <w:trHeight w:val="285"/>
        </w:trPr>
        <w:tc>
          <w:tcPr>
            <w:tcW w:w="1986" w:type="dxa"/>
            <w:vAlign w:val="center"/>
          </w:tcPr>
          <w:p w14:paraId="51DC6D67"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Power4All Ltd</w:t>
            </w:r>
          </w:p>
        </w:tc>
        <w:tc>
          <w:tcPr>
            <w:tcW w:w="1322" w:type="dxa"/>
            <w:vAlign w:val="center"/>
          </w:tcPr>
          <w:p w14:paraId="105DDAFE" w14:textId="4108F64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54</w:t>
            </w:r>
            <w:r w:rsidR="00016049">
              <w:rPr>
                <w:rFonts w:cstheme="minorHAnsi"/>
                <w:color w:val="000000"/>
                <w:sz w:val="16"/>
                <w:szCs w:val="16"/>
                <w:lang w:eastAsia="en-US"/>
              </w:rPr>
              <w:t>,</w:t>
            </w:r>
            <w:r w:rsidRPr="002E3196">
              <w:rPr>
                <w:rFonts w:cstheme="minorHAnsi"/>
                <w:color w:val="000000"/>
                <w:sz w:val="16"/>
                <w:szCs w:val="16"/>
                <w:lang w:eastAsia="en-US"/>
              </w:rPr>
              <w:t>839</w:t>
            </w:r>
          </w:p>
        </w:tc>
        <w:tc>
          <w:tcPr>
            <w:tcW w:w="1465" w:type="dxa"/>
            <w:vAlign w:val="center"/>
          </w:tcPr>
          <w:p w14:paraId="7BA6FC3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025CD4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541D33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950F9C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28B8A2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£2,745,077.00</w:t>
            </w:r>
          </w:p>
        </w:tc>
      </w:tr>
      <w:tr w:rsidR="00C85B64" w:rsidRPr="006B3AC6" w14:paraId="28D2AB19" w14:textId="77777777" w:rsidTr="00780608">
        <w:trPr>
          <w:trHeight w:val="285"/>
        </w:trPr>
        <w:tc>
          <w:tcPr>
            <w:tcW w:w="1986" w:type="dxa"/>
            <w:vAlign w:val="center"/>
          </w:tcPr>
          <w:p w14:paraId="6C859547"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lastRenderedPageBreak/>
              <w:t>Pozitive</w:t>
            </w:r>
            <w:proofErr w:type="spellEnd"/>
            <w:r w:rsidRPr="002E3196">
              <w:rPr>
                <w:rFonts w:cstheme="minorHAnsi"/>
                <w:color w:val="000000"/>
                <w:sz w:val="16"/>
                <w:szCs w:val="16"/>
                <w:lang w:eastAsia="en-US"/>
              </w:rPr>
              <w:t xml:space="preserve"> Energy Ltd</w:t>
            </w:r>
          </w:p>
        </w:tc>
        <w:tc>
          <w:tcPr>
            <w:tcW w:w="1322" w:type="dxa"/>
            <w:vAlign w:val="center"/>
          </w:tcPr>
          <w:p w14:paraId="5BBCAD8B" w14:textId="0015087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w:t>
            </w:r>
            <w:r w:rsidR="00016049">
              <w:rPr>
                <w:rFonts w:cstheme="minorHAnsi"/>
                <w:color w:val="000000"/>
                <w:sz w:val="16"/>
                <w:szCs w:val="16"/>
                <w:lang w:eastAsia="en-US"/>
              </w:rPr>
              <w:t>,</w:t>
            </w:r>
            <w:r w:rsidRPr="002E3196">
              <w:rPr>
                <w:rFonts w:cstheme="minorHAnsi"/>
                <w:color w:val="000000"/>
                <w:sz w:val="16"/>
                <w:szCs w:val="16"/>
                <w:lang w:eastAsia="en-US"/>
              </w:rPr>
              <w:t>467</w:t>
            </w:r>
          </w:p>
        </w:tc>
        <w:tc>
          <w:tcPr>
            <w:tcW w:w="1465" w:type="dxa"/>
            <w:vAlign w:val="center"/>
          </w:tcPr>
          <w:p w14:paraId="705A84EF" w14:textId="0711113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294</w:t>
            </w:r>
          </w:p>
        </w:tc>
        <w:tc>
          <w:tcPr>
            <w:tcW w:w="1465" w:type="dxa"/>
            <w:vAlign w:val="center"/>
          </w:tcPr>
          <w:p w14:paraId="5BAAC40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130110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647</w:t>
            </w:r>
          </w:p>
        </w:tc>
        <w:tc>
          <w:tcPr>
            <w:tcW w:w="1511" w:type="dxa"/>
            <w:vAlign w:val="center"/>
          </w:tcPr>
          <w:p w14:paraId="6C0AC98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£709,358.65</w:t>
            </w:r>
          </w:p>
        </w:tc>
        <w:tc>
          <w:tcPr>
            <w:tcW w:w="1465" w:type="dxa"/>
            <w:vAlign w:val="center"/>
          </w:tcPr>
          <w:p w14:paraId="74E24DE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1620CAE" w14:textId="77777777" w:rsidTr="00780608">
        <w:trPr>
          <w:trHeight w:val="285"/>
        </w:trPr>
        <w:tc>
          <w:tcPr>
            <w:tcW w:w="1986" w:type="dxa"/>
            <w:vAlign w:val="center"/>
          </w:tcPr>
          <w:p w14:paraId="34FAA963"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Pure Planet Ltd</w:t>
            </w:r>
          </w:p>
        </w:tc>
        <w:tc>
          <w:tcPr>
            <w:tcW w:w="1322" w:type="dxa"/>
            <w:vAlign w:val="center"/>
          </w:tcPr>
          <w:p w14:paraId="0F410380" w14:textId="01CC295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35</w:t>
            </w:r>
            <w:r w:rsidR="00016049">
              <w:rPr>
                <w:rFonts w:cstheme="minorHAnsi"/>
                <w:color w:val="000000"/>
                <w:sz w:val="16"/>
                <w:szCs w:val="16"/>
                <w:lang w:eastAsia="en-US"/>
              </w:rPr>
              <w:t>,</w:t>
            </w:r>
            <w:r w:rsidRPr="002E3196">
              <w:rPr>
                <w:rFonts w:cstheme="minorHAnsi"/>
                <w:color w:val="000000"/>
                <w:sz w:val="16"/>
                <w:szCs w:val="16"/>
                <w:lang w:eastAsia="en-US"/>
              </w:rPr>
              <w:t>751</w:t>
            </w:r>
          </w:p>
        </w:tc>
        <w:tc>
          <w:tcPr>
            <w:tcW w:w="1465" w:type="dxa"/>
            <w:vAlign w:val="center"/>
          </w:tcPr>
          <w:p w14:paraId="4C2FF26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6726BD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EA134C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972D6A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5A1205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£1,789,337.55</w:t>
            </w:r>
          </w:p>
        </w:tc>
      </w:tr>
      <w:tr w:rsidR="00C85B64" w:rsidRPr="006B3AC6" w14:paraId="007399B8" w14:textId="77777777" w:rsidTr="00780608">
        <w:trPr>
          <w:trHeight w:val="285"/>
        </w:trPr>
        <w:tc>
          <w:tcPr>
            <w:tcW w:w="1986" w:type="dxa"/>
            <w:vAlign w:val="center"/>
          </w:tcPr>
          <w:p w14:paraId="598D6B1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Robin Hood Energy Ltd</w:t>
            </w:r>
          </w:p>
        </w:tc>
        <w:tc>
          <w:tcPr>
            <w:tcW w:w="1322" w:type="dxa"/>
            <w:vAlign w:val="center"/>
          </w:tcPr>
          <w:p w14:paraId="21514EC2" w14:textId="6173746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w:t>
            </w:r>
            <w:r w:rsidR="00016049">
              <w:rPr>
                <w:rFonts w:cstheme="minorHAnsi"/>
                <w:color w:val="000000"/>
                <w:sz w:val="16"/>
                <w:szCs w:val="16"/>
                <w:lang w:eastAsia="en-US"/>
              </w:rPr>
              <w:t>,</w:t>
            </w:r>
            <w:r w:rsidRPr="002E3196">
              <w:rPr>
                <w:rFonts w:cstheme="minorHAnsi"/>
                <w:color w:val="000000"/>
                <w:sz w:val="16"/>
                <w:szCs w:val="16"/>
                <w:lang w:eastAsia="en-US"/>
              </w:rPr>
              <w:t>607</w:t>
            </w:r>
          </w:p>
        </w:tc>
        <w:tc>
          <w:tcPr>
            <w:tcW w:w="1465" w:type="dxa"/>
            <w:vAlign w:val="center"/>
          </w:tcPr>
          <w:p w14:paraId="47472B5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05576C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39BB6F0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69FA0E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4EDC38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AFD44E9" w14:textId="77777777" w:rsidTr="00780608">
        <w:trPr>
          <w:trHeight w:val="285"/>
        </w:trPr>
        <w:tc>
          <w:tcPr>
            <w:tcW w:w="1986" w:type="dxa"/>
            <w:vAlign w:val="center"/>
          </w:tcPr>
          <w:p w14:paraId="6DDCE2B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 xml:space="preserve">RWE </w:t>
            </w:r>
          </w:p>
        </w:tc>
        <w:tc>
          <w:tcPr>
            <w:tcW w:w="1322" w:type="dxa"/>
            <w:vAlign w:val="center"/>
          </w:tcPr>
          <w:p w14:paraId="4DF33DA9" w14:textId="493A30B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414</w:t>
            </w:r>
          </w:p>
        </w:tc>
        <w:tc>
          <w:tcPr>
            <w:tcW w:w="1465" w:type="dxa"/>
            <w:vAlign w:val="center"/>
          </w:tcPr>
          <w:p w14:paraId="0791490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BAC243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5F6C13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65FA72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£70,770.70</w:t>
            </w:r>
          </w:p>
        </w:tc>
        <w:tc>
          <w:tcPr>
            <w:tcW w:w="1465" w:type="dxa"/>
            <w:vAlign w:val="center"/>
          </w:tcPr>
          <w:p w14:paraId="3E9CA89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1C59692B" w14:textId="77777777" w:rsidTr="00780608">
        <w:trPr>
          <w:trHeight w:val="285"/>
        </w:trPr>
        <w:tc>
          <w:tcPr>
            <w:tcW w:w="1986" w:type="dxa"/>
            <w:vAlign w:val="center"/>
          </w:tcPr>
          <w:p w14:paraId="0149692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Scottish Power Energy Retail Ltd</w:t>
            </w:r>
          </w:p>
        </w:tc>
        <w:tc>
          <w:tcPr>
            <w:tcW w:w="1322" w:type="dxa"/>
            <w:vAlign w:val="center"/>
          </w:tcPr>
          <w:p w14:paraId="7852B93A" w14:textId="432B84D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490</w:t>
            </w:r>
            <w:r w:rsidR="00016049">
              <w:rPr>
                <w:rFonts w:cstheme="minorHAnsi"/>
                <w:color w:val="000000"/>
                <w:sz w:val="16"/>
                <w:szCs w:val="16"/>
                <w:lang w:eastAsia="en-US"/>
              </w:rPr>
              <w:t>,</w:t>
            </w:r>
            <w:r w:rsidRPr="002E3196">
              <w:rPr>
                <w:rFonts w:cstheme="minorHAnsi"/>
                <w:color w:val="000000"/>
                <w:sz w:val="16"/>
                <w:szCs w:val="16"/>
                <w:lang w:eastAsia="en-US"/>
              </w:rPr>
              <w:t>477</w:t>
            </w:r>
          </w:p>
        </w:tc>
        <w:tc>
          <w:tcPr>
            <w:tcW w:w="1465" w:type="dxa"/>
            <w:vAlign w:val="center"/>
          </w:tcPr>
          <w:p w14:paraId="1898E6A7" w14:textId="5F502275"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16049">
              <w:rPr>
                <w:rFonts w:cstheme="minorHAnsi"/>
                <w:color w:val="000000"/>
                <w:sz w:val="16"/>
                <w:szCs w:val="16"/>
                <w:lang w:eastAsia="en-US"/>
              </w:rPr>
              <w:t>,</w:t>
            </w:r>
            <w:r w:rsidRPr="002E3196">
              <w:rPr>
                <w:rFonts w:cstheme="minorHAnsi"/>
                <w:color w:val="000000"/>
                <w:sz w:val="16"/>
                <w:szCs w:val="16"/>
                <w:lang w:eastAsia="en-US"/>
              </w:rPr>
              <w:t>490</w:t>
            </w:r>
            <w:r w:rsidR="00016049">
              <w:rPr>
                <w:rFonts w:cstheme="minorHAnsi"/>
                <w:color w:val="000000"/>
                <w:sz w:val="16"/>
                <w:szCs w:val="16"/>
                <w:lang w:eastAsia="en-US"/>
              </w:rPr>
              <w:t>,</w:t>
            </w:r>
            <w:r w:rsidRPr="002E3196">
              <w:rPr>
                <w:rFonts w:cstheme="minorHAnsi"/>
                <w:color w:val="000000"/>
                <w:sz w:val="16"/>
                <w:szCs w:val="16"/>
                <w:lang w:eastAsia="en-US"/>
              </w:rPr>
              <w:t>477</w:t>
            </w:r>
          </w:p>
        </w:tc>
        <w:tc>
          <w:tcPr>
            <w:tcW w:w="1465" w:type="dxa"/>
            <w:vAlign w:val="center"/>
          </w:tcPr>
          <w:p w14:paraId="3CD547F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D37C55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F9BAF2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29AEB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3A18563" w14:textId="77777777" w:rsidTr="00780608">
        <w:trPr>
          <w:trHeight w:val="285"/>
        </w:trPr>
        <w:tc>
          <w:tcPr>
            <w:tcW w:w="1986" w:type="dxa"/>
            <w:vAlign w:val="center"/>
          </w:tcPr>
          <w:p w14:paraId="2D24657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Shell Energy Retail Ltd</w:t>
            </w:r>
          </w:p>
        </w:tc>
        <w:tc>
          <w:tcPr>
            <w:tcW w:w="1322" w:type="dxa"/>
            <w:vAlign w:val="center"/>
          </w:tcPr>
          <w:p w14:paraId="6854A38C" w14:textId="4ED20C85"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74</w:t>
            </w:r>
            <w:r w:rsidR="00016049">
              <w:rPr>
                <w:rFonts w:cstheme="minorHAnsi"/>
                <w:color w:val="000000"/>
                <w:sz w:val="16"/>
                <w:szCs w:val="16"/>
                <w:lang w:eastAsia="en-US"/>
              </w:rPr>
              <w:t>,</w:t>
            </w:r>
            <w:r w:rsidRPr="002E3196">
              <w:rPr>
                <w:rFonts w:cstheme="minorHAnsi"/>
                <w:color w:val="000000"/>
                <w:sz w:val="16"/>
                <w:szCs w:val="16"/>
                <w:lang w:eastAsia="en-US"/>
              </w:rPr>
              <w:t>982</w:t>
            </w:r>
          </w:p>
        </w:tc>
        <w:tc>
          <w:tcPr>
            <w:tcW w:w="1465" w:type="dxa"/>
            <w:vAlign w:val="center"/>
          </w:tcPr>
          <w:p w14:paraId="12132999" w14:textId="659BB84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74</w:t>
            </w:r>
            <w:r w:rsidR="00016049">
              <w:rPr>
                <w:rFonts w:cstheme="minorHAnsi"/>
                <w:color w:val="000000"/>
                <w:sz w:val="16"/>
                <w:szCs w:val="16"/>
                <w:lang w:eastAsia="en-US"/>
              </w:rPr>
              <w:t>,</w:t>
            </w:r>
            <w:r w:rsidRPr="002E3196">
              <w:rPr>
                <w:rFonts w:cstheme="minorHAnsi"/>
                <w:color w:val="000000"/>
                <w:sz w:val="16"/>
                <w:szCs w:val="16"/>
                <w:lang w:eastAsia="en-US"/>
              </w:rPr>
              <w:t>982</w:t>
            </w:r>
          </w:p>
        </w:tc>
        <w:tc>
          <w:tcPr>
            <w:tcW w:w="1465" w:type="dxa"/>
            <w:vAlign w:val="center"/>
          </w:tcPr>
          <w:p w14:paraId="042F901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FB7EDC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E2A4F0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8258D1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6A4D071" w14:textId="77777777" w:rsidTr="00780608">
        <w:trPr>
          <w:trHeight w:val="285"/>
        </w:trPr>
        <w:tc>
          <w:tcPr>
            <w:tcW w:w="1986" w:type="dxa"/>
            <w:vAlign w:val="center"/>
          </w:tcPr>
          <w:p w14:paraId="76871A6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Shell Energy Supply UK Ltd</w:t>
            </w:r>
          </w:p>
        </w:tc>
        <w:tc>
          <w:tcPr>
            <w:tcW w:w="1322" w:type="dxa"/>
            <w:vAlign w:val="center"/>
          </w:tcPr>
          <w:p w14:paraId="380DC447" w14:textId="6CD0502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82</w:t>
            </w:r>
            <w:r w:rsidR="00016049">
              <w:rPr>
                <w:rFonts w:cstheme="minorHAnsi"/>
                <w:color w:val="000000"/>
                <w:sz w:val="16"/>
                <w:szCs w:val="16"/>
                <w:lang w:eastAsia="en-US"/>
              </w:rPr>
              <w:t>,</w:t>
            </w:r>
            <w:r w:rsidRPr="002E3196">
              <w:rPr>
                <w:rFonts w:cstheme="minorHAnsi"/>
                <w:color w:val="000000"/>
                <w:sz w:val="16"/>
                <w:szCs w:val="16"/>
                <w:lang w:eastAsia="en-US"/>
              </w:rPr>
              <w:t>716</w:t>
            </w:r>
          </w:p>
        </w:tc>
        <w:tc>
          <w:tcPr>
            <w:tcW w:w="1465" w:type="dxa"/>
            <w:vAlign w:val="center"/>
          </w:tcPr>
          <w:p w14:paraId="032FBB3A" w14:textId="7A853FE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82</w:t>
            </w:r>
            <w:r w:rsidR="00016049">
              <w:rPr>
                <w:rFonts w:cstheme="minorHAnsi"/>
                <w:color w:val="000000"/>
                <w:sz w:val="16"/>
                <w:szCs w:val="16"/>
                <w:lang w:eastAsia="en-US"/>
              </w:rPr>
              <w:t>,</w:t>
            </w:r>
            <w:r w:rsidRPr="002E3196">
              <w:rPr>
                <w:rFonts w:cstheme="minorHAnsi"/>
                <w:color w:val="000000"/>
                <w:sz w:val="16"/>
                <w:szCs w:val="16"/>
                <w:lang w:eastAsia="en-US"/>
              </w:rPr>
              <w:t>716</w:t>
            </w:r>
          </w:p>
        </w:tc>
        <w:tc>
          <w:tcPr>
            <w:tcW w:w="1465" w:type="dxa"/>
            <w:vAlign w:val="center"/>
          </w:tcPr>
          <w:p w14:paraId="592E54F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17E911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F9074B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3DAA97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65D90D1" w14:textId="77777777" w:rsidTr="00780608">
        <w:trPr>
          <w:trHeight w:val="285"/>
        </w:trPr>
        <w:tc>
          <w:tcPr>
            <w:tcW w:w="1986" w:type="dxa"/>
            <w:vAlign w:val="center"/>
          </w:tcPr>
          <w:p w14:paraId="1BDD432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Shell Energy UK</w:t>
            </w:r>
          </w:p>
        </w:tc>
        <w:tc>
          <w:tcPr>
            <w:tcW w:w="1322" w:type="dxa"/>
            <w:vAlign w:val="center"/>
          </w:tcPr>
          <w:p w14:paraId="12665A02" w14:textId="590E345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31</w:t>
            </w:r>
            <w:r w:rsidR="00016049">
              <w:rPr>
                <w:rFonts w:cstheme="minorHAnsi"/>
                <w:color w:val="000000"/>
                <w:sz w:val="16"/>
                <w:szCs w:val="16"/>
                <w:lang w:eastAsia="en-US"/>
              </w:rPr>
              <w:t>,</w:t>
            </w:r>
            <w:r w:rsidRPr="002E3196">
              <w:rPr>
                <w:rFonts w:cstheme="minorHAnsi"/>
                <w:color w:val="000000"/>
                <w:sz w:val="16"/>
                <w:szCs w:val="16"/>
                <w:lang w:eastAsia="en-US"/>
              </w:rPr>
              <w:t>826</w:t>
            </w:r>
          </w:p>
        </w:tc>
        <w:tc>
          <w:tcPr>
            <w:tcW w:w="1465" w:type="dxa"/>
            <w:vAlign w:val="center"/>
          </w:tcPr>
          <w:p w14:paraId="7B97B798" w14:textId="7C51A3DB"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31</w:t>
            </w:r>
            <w:r w:rsidR="00016049">
              <w:rPr>
                <w:rFonts w:cstheme="minorHAnsi"/>
                <w:color w:val="000000"/>
                <w:sz w:val="16"/>
                <w:szCs w:val="16"/>
                <w:lang w:eastAsia="en-US"/>
              </w:rPr>
              <w:t>,</w:t>
            </w:r>
            <w:r w:rsidRPr="002E3196">
              <w:rPr>
                <w:rFonts w:cstheme="minorHAnsi"/>
                <w:color w:val="000000"/>
                <w:sz w:val="16"/>
                <w:szCs w:val="16"/>
                <w:lang w:eastAsia="en-US"/>
              </w:rPr>
              <w:t>826</w:t>
            </w:r>
          </w:p>
        </w:tc>
        <w:tc>
          <w:tcPr>
            <w:tcW w:w="1465" w:type="dxa"/>
            <w:vAlign w:val="center"/>
          </w:tcPr>
          <w:p w14:paraId="066B3D4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B19A3F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1B4A4F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A291D8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437BED46" w14:textId="77777777" w:rsidTr="00780608">
        <w:trPr>
          <w:trHeight w:val="285"/>
        </w:trPr>
        <w:tc>
          <w:tcPr>
            <w:tcW w:w="1986" w:type="dxa"/>
            <w:vAlign w:val="center"/>
          </w:tcPr>
          <w:p w14:paraId="2E89802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Simplicity Energy Limited</w:t>
            </w:r>
          </w:p>
        </w:tc>
        <w:tc>
          <w:tcPr>
            <w:tcW w:w="1322" w:type="dxa"/>
            <w:vAlign w:val="center"/>
          </w:tcPr>
          <w:p w14:paraId="6C071C3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740</w:t>
            </w:r>
          </w:p>
        </w:tc>
        <w:tc>
          <w:tcPr>
            <w:tcW w:w="1465" w:type="dxa"/>
            <w:vAlign w:val="center"/>
          </w:tcPr>
          <w:p w14:paraId="67D2F42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2EC50A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EDF1F7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0C7CBD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BE2B66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EB8FC42" w14:textId="77777777" w:rsidTr="00780608">
        <w:trPr>
          <w:trHeight w:val="285"/>
        </w:trPr>
        <w:tc>
          <w:tcPr>
            <w:tcW w:w="1986" w:type="dxa"/>
            <w:vAlign w:val="center"/>
          </w:tcPr>
          <w:p w14:paraId="044A734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Sinq</w:t>
            </w:r>
            <w:proofErr w:type="spellEnd"/>
            <w:r w:rsidRPr="002E3196">
              <w:rPr>
                <w:rFonts w:cstheme="minorHAnsi"/>
                <w:color w:val="000000"/>
                <w:sz w:val="16"/>
                <w:szCs w:val="16"/>
                <w:lang w:eastAsia="en-US"/>
              </w:rPr>
              <w:t xml:space="preserve"> Power Ltd</w:t>
            </w:r>
          </w:p>
        </w:tc>
        <w:tc>
          <w:tcPr>
            <w:tcW w:w="1322" w:type="dxa"/>
            <w:vAlign w:val="center"/>
          </w:tcPr>
          <w:p w14:paraId="3734D391" w14:textId="017C3D31"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36</w:t>
            </w:r>
            <w:r w:rsidR="00016049">
              <w:rPr>
                <w:rFonts w:cstheme="minorHAnsi"/>
                <w:color w:val="000000"/>
                <w:sz w:val="16"/>
                <w:szCs w:val="16"/>
                <w:lang w:eastAsia="en-US"/>
              </w:rPr>
              <w:t>,</w:t>
            </w:r>
            <w:r w:rsidRPr="002E3196">
              <w:rPr>
                <w:rFonts w:cstheme="minorHAnsi"/>
                <w:color w:val="000000"/>
                <w:sz w:val="16"/>
                <w:szCs w:val="16"/>
                <w:lang w:eastAsia="en-US"/>
              </w:rPr>
              <w:t>038</w:t>
            </w:r>
          </w:p>
        </w:tc>
        <w:tc>
          <w:tcPr>
            <w:tcW w:w="1465" w:type="dxa"/>
            <w:vAlign w:val="center"/>
          </w:tcPr>
          <w:p w14:paraId="00A52FAE" w14:textId="4476EB1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36</w:t>
            </w:r>
            <w:r w:rsidR="00016049">
              <w:rPr>
                <w:rFonts w:cstheme="minorHAnsi"/>
                <w:color w:val="000000"/>
                <w:sz w:val="16"/>
                <w:szCs w:val="16"/>
                <w:lang w:eastAsia="en-US"/>
              </w:rPr>
              <w:t>,</w:t>
            </w:r>
            <w:r w:rsidRPr="002E3196">
              <w:rPr>
                <w:rFonts w:cstheme="minorHAnsi"/>
                <w:color w:val="000000"/>
                <w:sz w:val="16"/>
                <w:szCs w:val="16"/>
                <w:lang w:eastAsia="en-US"/>
              </w:rPr>
              <w:t>038</w:t>
            </w:r>
          </w:p>
        </w:tc>
        <w:tc>
          <w:tcPr>
            <w:tcW w:w="1465" w:type="dxa"/>
            <w:vAlign w:val="center"/>
          </w:tcPr>
          <w:p w14:paraId="5C22DD0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08760C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499109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F1EE16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6496C60" w14:textId="77777777" w:rsidTr="00780608">
        <w:trPr>
          <w:trHeight w:val="285"/>
        </w:trPr>
        <w:tc>
          <w:tcPr>
            <w:tcW w:w="1986" w:type="dxa"/>
            <w:vAlign w:val="center"/>
          </w:tcPr>
          <w:p w14:paraId="19B26EC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SmartestEnergy</w:t>
            </w:r>
            <w:proofErr w:type="spellEnd"/>
            <w:r w:rsidRPr="002E3196">
              <w:rPr>
                <w:rFonts w:cstheme="minorHAnsi"/>
                <w:color w:val="000000"/>
                <w:sz w:val="16"/>
                <w:szCs w:val="16"/>
                <w:lang w:eastAsia="en-US"/>
              </w:rPr>
              <w:t xml:space="preserve"> Business Ltd </w:t>
            </w:r>
          </w:p>
        </w:tc>
        <w:tc>
          <w:tcPr>
            <w:tcW w:w="1322" w:type="dxa"/>
            <w:vAlign w:val="center"/>
          </w:tcPr>
          <w:p w14:paraId="6D4FC8D6" w14:textId="7E609B3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016049">
              <w:rPr>
                <w:rFonts w:cstheme="minorHAnsi"/>
                <w:color w:val="000000"/>
                <w:sz w:val="16"/>
                <w:szCs w:val="16"/>
                <w:lang w:eastAsia="en-US"/>
              </w:rPr>
              <w:t>,</w:t>
            </w:r>
            <w:r w:rsidRPr="002E3196">
              <w:rPr>
                <w:rFonts w:cstheme="minorHAnsi"/>
                <w:color w:val="000000"/>
                <w:sz w:val="16"/>
                <w:szCs w:val="16"/>
                <w:lang w:eastAsia="en-US"/>
              </w:rPr>
              <w:t>541</w:t>
            </w:r>
          </w:p>
        </w:tc>
        <w:tc>
          <w:tcPr>
            <w:tcW w:w="1465" w:type="dxa"/>
            <w:vAlign w:val="center"/>
          </w:tcPr>
          <w:p w14:paraId="28D8BB12" w14:textId="721D9F2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016049">
              <w:rPr>
                <w:rFonts w:cstheme="minorHAnsi"/>
                <w:color w:val="000000"/>
                <w:sz w:val="16"/>
                <w:szCs w:val="16"/>
                <w:lang w:eastAsia="en-US"/>
              </w:rPr>
              <w:t>,</w:t>
            </w:r>
            <w:r w:rsidRPr="002E3196">
              <w:rPr>
                <w:rFonts w:cstheme="minorHAnsi"/>
                <w:color w:val="000000"/>
                <w:sz w:val="16"/>
                <w:szCs w:val="16"/>
                <w:lang w:eastAsia="en-US"/>
              </w:rPr>
              <w:t>541</w:t>
            </w:r>
          </w:p>
        </w:tc>
        <w:tc>
          <w:tcPr>
            <w:tcW w:w="1465" w:type="dxa"/>
            <w:vAlign w:val="center"/>
          </w:tcPr>
          <w:p w14:paraId="1D8D68C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4FA29F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C29742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7D59BA3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6A45F42" w14:textId="77777777" w:rsidTr="00780608">
        <w:trPr>
          <w:trHeight w:val="285"/>
        </w:trPr>
        <w:tc>
          <w:tcPr>
            <w:tcW w:w="1986" w:type="dxa"/>
            <w:vAlign w:val="center"/>
          </w:tcPr>
          <w:p w14:paraId="79CF9914"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SmartestEnergy</w:t>
            </w:r>
            <w:proofErr w:type="spellEnd"/>
            <w:r w:rsidRPr="002E3196">
              <w:rPr>
                <w:rFonts w:cstheme="minorHAnsi"/>
                <w:color w:val="000000"/>
                <w:sz w:val="16"/>
                <w:szCs w:val="16"/>
                <w:lang w:eastAsia="en-US"/>
              </w:rPr>
              <w:t xml:space="preserve"> Ltd</w:t>
            </w:r>
          </w:p>
        </w:tc>
        <w:tc>
          <w:tcPr>
            <w:tcW w:w="1322" w:type="dxa"/>
            <w:vAlign w:val="center"/>
          </w:tcPr>
          <w:p w14:paraId="2C309E5C" w14:textId="095CBA1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146</w:t>
            </w:r>
            <w:r w:rsidR="00016049">
              <w:rPr>
                <w:rFonts w:cstheme="minorHAnsi"/>
                <w:color w:val="000000"/>
                <w:sz w:val="16"/>
                <w:szCs w:val="16"/>
                <w:lang w:eastAsia="en-US"/>
              </w:rPr>
              <w:t>,</w:t>
            </w:r>
            <w:r w:rsidRPr="002E3196">
              <w:rPr>
                <w:rFonts w:cstheme="minorHAnsi"/>
                <w:color w:val="000000"/>
                <w:sz w:val="16"/>
                <w:szCs w:val="16"/>
                <w:lang w:eastAsia="en-US"/>
              </w:rPr>
              <w:t>420</w:t>
            </w:r>
          </w:p>
        </w:tc>
        <w:tc>
          <w:tcPr>
            <w:tcW w:w="1465" w:type="dxa"/>
            <w:vAlign w:val="center"/>
          </w:tcPr>
          <w:p w14:paraId="60380045" w14:textId="7E6D0E6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146</w:t>
            </w:r>
            <w:r w:rsidR="00016049">
              <w:rPr>
                <w:rFonts w:cstheme="minorHAnsi"/>
                <w:color w:val="000000"/>
                <w:sz w:val="16"/>
                <w:szCs w:val="16"/>
                <w:lang w:eastAsia="en-US"/>
              </w:rPr>
              <w:t>,</w:t>
            </w:r>
            <w:r w:rsidRPr="002E3196">
              <w:rPr>
                <w:rFonts w:cstheme="minorHAnsi"/>
                <w:color w:val="000000"/>
                <w:sz w:val="16"/>
                <w:szCs w:val="16"/>
                <w:lang w:eastAsia="en-US"/>
              </w:rPr>
              <w:t>420</w:t>
            </w:r>
          </w:p>
        </w:tc>
        <w:tc>
          <w:tcPr>
            <w:tcW w:w="1465" w:type="dxa"/>
            <w:vAlign w:val="center"/>
          </w:tcPr>
          <w:p w14:paraId="5F6F308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44</w:t>
            </w:r>
          </w:p>
        </w:tc>
        <w:tc>
          <w:tcPr>
            <w:tcW w:w="1418" w:type="dxa"/>
            <w:vAlign w:val="center"/>
          </w:tcPr>
          <w:p w14:paraId="47A5A699" w14:textId="20851440"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w:t>
            </w:r>
            <w:r w:rsidR="00016049">
              <w:rPr>
                <w:rFonts w:cstheme="minorHAnsi"/>
                <w:color w:val="000000"/>
                <w:sz w:val="16"/>
                <w:szCs w:val="16"/>
                <w:lang w:eastAsia="en-US"/>
              </w:rPr>
              <w:t>,</w:t>
            </w:r>
            <w:r w:rsidRPr="002E3196">
              <w:rPr>
                <w:rFonts w:cstheme="minorHAnsi"/>
                <w:color w:val="000000"/>
                <w:sz w:val="16"/>
                <w:szCs w:val="16"/>
                <w:lang w:eastAsia="en-US"/>
              </w:rPr>
              <w:t>588</w:t>
            </w:r>
          </w:p>
        </w:tc>
        <w:tc>
          <w:tcPr>
            <w:tcW w:w="1511" w:type="dxa"/>
            <w:vAlign w:val="center"/>
          </w:tcPr>
          <w:p w14:paraId="38F5299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3048DF1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4A7DEF0" w14:textId="77777777" w:rsidTr="00780608">
        <w:trPr>
          <w:trHeight w:val="285"/>
        </w:trPr>
        <w:tc>
          <w:tcPr>
            <w:tcW w:w="1986" w:type="dxa"/>
            <w:vAlign w:val="center"/>
          </w:tcPr>
          <w:p w14:paraId="1AE74D42"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SO Energy Trading Ltd</w:t>
            </w:r>
          </w:p>
        </w:tc>
        <w:tc>
          <w:tcPr>
            <w:tcW w:w="1322" w:type="dxa"/>
            <w:vAlign w:val="center"/>
          </w:tcPr>
          <w:p w14:paraId="368B8E35" w14:textId="3ACD62B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42</w:t>
            </w:r>
            <w:r w:rsidR="00016049">
              <w:rPr>
                <w:rFonts w:cstheme="minorHAnsi"/>
                <w:color w:val="000000"/>
                <w:sz w:val="16"/>
                <w:szCs w:val="16"/>
                <w:lang w:eastAsia="en-US"/>
              </w:rPr>
              <w:t>,</w:t>
            </w:r>
            <w:r w:rsidRPr="002E3196">
              <w:rPr>
                <w:rFonts w:cstheme="minorHAnsi"/>
                <w:color w:val="000000"/>
                <w:sz w:val="16"/>
                <w:szCs w:val="16"/>
                <w:lang w:eastAsia="en-US"/>
              </w:rPr>
              <w:t>894</w:t>
            </w:r>
          </w:p>
        </w:tc>
        <w:tc>
          <w:tcPr>
            <w:tcW w:w="1465" w:type="dxa"/>
            <w:vAlign w:val="center"/>
          </w:tcPr>
          <w:p w14:paraId="22DB47B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15A333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C6C47C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10AAC5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£2,146,844.70</w:t>
            </w:r>
          </w:p>
        </w:tc>
        <w:tc>
          <w:tcPr>
            <w:tcW w:w="1465" w:type="dxa"/>
            <w:vAlign w:val="center"/>
          </w:tcPr>
          <w:p w14:paraId="0182093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617DFEE" w14:textId="77777777" w:rsidTr="00780608">
        <w:trPr>
          <w:trHeight w:val="285"/>
        </w:trPr>
        <w:tc>
          <w:tcPr>
            <w:tcW w:w="1986" w:type="dxa"/>
            <w:vAlign w:val="center"/>
          </w:tcPr>
          <w:p w14:paraId="67208F3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Social Energy Supply Ltd</w:t>
            </w:r>
          </w:p>
        </w:tc>
        <w:tc>
          <w:tcPr>
            <w:tcW w:w="1322" w:type="dxa"/>
            <w:vAlign w:val="center"/>
          </w:tcPr>
          <w:p w14:paraId="67239AF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327</w:t>
            </w:r>
          </w:p>
        </w:tc>
        <w:tc>
          <w:tcPr>
            <w:tcW w:w="1465" w:type="dxa"/>
            <w:vAlign w:val="center"/>
          </w:tcPr>
          <w:p w14:paraId="5BFD732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536EB6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6F147D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15D441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£16,366.35</w:t>
            </w:r>
          </w:p>
        </w:tc>
        <w:tc>
          <w:tcPr>
            <w:tcW w:w="1465" w:type="dxa"/>
            <w:vAlign w:val="center"/>
          </w:tcPr>
          <w:p w14:paraId="620A096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1623B71" w14:textId="77777777" w:rsidTr="00780608">
        <w:trPr>
          <w:trHeight w:val="285"/>
        </w:trPr>
        <w:tc>
          <w:tcPr>
            <w:tcW w:w="1986" w:type="dxa"/>
            <w:vAlign w:val="center"/>
          </w:tcPr>
          <w:p w14:paraId="4CF67EA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SQUARE1 ENERGY</w:t>
            </w:r>
          </w:p>
        </w:tc>
        <w:tc>
          <w:tcPr>
            <w:tcW w:w="1322" w:type="dxa"/>
            <w:vAlign w:val="center"/>
          </w:tcPr>
          <w:p w14:paraId="2766D58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p>
        </w:tc>
        <w:tc>
          <w:tcPr>
            <w:tcW w:w="1465" w:type="dxa"/>
            <w:vAlign w:val="center"/>
          </w:tcPr>
          <w:p w14:paraId="2F1A0FE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15E100C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3E8002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659B50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£50.05</w:t>
            </w:r>
          </w:p>
        </w:tc>
        <w:tc>
          <w:tcPr>
            <w:tcW w:w="1465" w:type="dxa"/>
            <w:vAlign w:val="center"/>
          </w:tcPr>
          <w:p w14:paraId="5A837D1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FF69C96" w14:textId="77777777" w:rsidTr="00780608">
        <w:trPr>
          <w:trHeight w:val="285"/>
        </w:trPr>
        <w:tc>
          <w:tcPr>
            <w:tcW w:w="1986" w:type="dxa"/>
            <w:vAlign w:val="center"/>
          </w:tcPr>
          <w:p w14:paraId="308F02FE"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Squeaky Clean Energy Ltd</w:t>
            </w:r>
          </w:p>
        </w:tc>
        <w:tc>
          <w:tcPr>
            <w:tcW w:w="1322" w:type="dxa"/>
            <w:vAlign w:val="center"/>
          </w:tcPr>
          <w:p w14:paraId="797292CD" w14:textId="08C0AB7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w:t>
            </w:r>
            <w:r w:rsidR="00016049">
              <w:rPr>
                <w:rFonts w:cstheme="minorHAnsi"/>
                <w:color w:val="000000"/>
                <w:sz w:val="16"/>
                <w:szCs w:val="16"/>
                <w:lang w:eastAsia="en-US"/>
              </w:rPr>
              <w:t>,</w:t>
            </w:r>
            <w:r w:rsidRPr="002E3196">
              <w:rPr>
                <w:rFonts w:cstheme="minorHAnsi"/>
                <w:color w:val="000000"/>
                <w:sz w:val="16"/>
                <w:szCs w:val="16"/>
                <w:lang w:eastAsia="en-US"/>
              </w:rPr>
              <w:t>875</w:t>
            </w:r>
          </w:p>
        </w:tc>
        <w:tc>
          <w:tcPr>
            <w:tcW w:w="1465" w:type="dxa"/>
            <w:vAlign w:val="center"/>
          </w:tcPr>
          <w:p w14:paraId="3B76C795" w14:textId="184529E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12</w:t>
            </w:r>
            <w:r w:rsidR="00016049">
              <w:rPr>
                <w:rFonts w:cstheme="minorHAnsi"/>
                <w:color w:val="000000"/>
                <w:sz w:val="16"/>
                <w:szCs w:val="16"/>
                <w:lang w:eastAsia="en-US"/>
              </w:rPr>
              <w:t>,</w:t>
            </w:r>
            <w:r w:rsidRPr="002E3196">
              <w:rPr>
                <w:rFonts w:cstheme="minorHAnsi"/>
                <w:color w:val="000000"/>
                <w:sz w:val="16"/>
                <w:szCs w:val="16"/>
                <w:lang w:eastAsia="en-US"/>
              </w:rPr>
              <w:t>786</w:t>
            </w:r>
          </w:p>
        </w:tc>
        <w:tc>
          <w:tcPr>
            <w:tcW w:w="1465" w:type="dxa"/>
            <w:vAlign w:val="center"/>
          </w:tcPr>
          <w:p w14:paraId="56D3802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AE8875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159D551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£4,454.54</w:t>
            </w:r>
          </w:p>
        </w:tc>
        <w:tc>
          <w:tcPr>
            <w:tcW w:w="1465" w:type="dxa"/>
            <w:vAlign w:val="center"/>
          </w:tcPr>
          <w:p w14:paraId="4FD66BE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0FB2052" w14:textId="77777777" w:rsidTr="00780608">
        <w:trPr>
          <w:trHeight w:val="285"/>
        </w:trPr>
        <w:tc>
          <w:tcPr>
            <w:tcW w:w="1986" w:type="dxa"/>
            <w:vAlign w:val="center"/>
          </w:tcPr>
          <w:p w14:paraId="62E2299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SSE PLC</w:t>
            </w:r>
          </w:p>
        </w:tc>
        <w:tc>
          <w:tcPr>
            <w:tcW w:w="1322" w:type="dxa"/>
            <w:vAlign w:val="center"/>
          </w:tcPr>
          <w:p w14:paraId="19636772" w14:textId="77238FB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763</w:t>
            </w:r>
            <w:r w:rsidR="00016049">
              <w:rPr>
                <w:rFonts w:cstheme="minorHAnsi"/>
                <w:color w:val="000000"/>
                <w:sz w:val="16"/>
                <w:szCs w:val="16"/>
                <w:lang w:eastAsia="en-US"/>
              </w:rPr>
              <w:t>,</w:t>
            </w:r>
            <w:r w:rsidRPr="002E3196">
              <w:rPr>
                <w:rFonts w:cstheme="minorHAnsi"/>
                <w:color w:val="000000"/>
                <w:sz w:val="16"/>
                <w:szCs w:val="16"/>
                <w:lang w:eastAsia="en-US"/>
              </w:rPr>
              <w:t>445</w:t>
            </w:r>
          </w:p>
        </w:tc>
        <w:tc>
          <w:tcPr>
            <w:tcW w:w="1465" w:type="dxa"/>
            <w:vAlign w:val="center"/>
          </w:tcPr>
          <w:p w14:paraId="15843A1D" w14:textId="664D6DED"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763</w:t>
            </w:r>
            <w:r w:rsidR="00016049">
              <w:rPr>
                <w:rFonts w:cstheme="minorHAnsi"/>
                <w:color w:val="000000"/>
                <w:sz w:val="16"/>
                <w:szCs w:val="16"/>
                <w:lang w:eastAsia="en-US"/>
              </w:rPr>
              <w:t>,</w:t>
            </w:r>
            <w:r w:rsidRPr="002E3196">
              <w:rPr>
                <w:rFonts w:cstheme="minorHAnsi"/>
                <w:color w:val="000000"/>
                <w:sz w:val="16"/>
                <w:szCs w:val="16"/>
                <w:lang w:eastAsia="en-US"/>
              </w:rPr>
              <w:t>445</w:t>
            </w:r>
          </w:p>
        </w:tc>
        <w:tc>
          <w:tcPr>
            <w:tcW w:w="1465" w:type="dxa"/>
            <w:vAlign w:val="center"/>
          </w:tcPr>
          <w:p w14:paraId="0CB618C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0E0F3D1" w14:textId="58EB56C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w:t>
            </w:r>
            <w:r w:rsidR="00016049">
              <w:rPr>
                <w:rFonts w:cstheme="minorHAnsi"/>
                <w:color w:val="000000"/>
                <w:sz w:val="16"/>
                <w:szCs w:val="16"/>
                <w:lang w:eastAsia="en-US"/>
              </w:rPr>
              <w:t>,</w:t>
            </w:r>
            <w:r w:rsidRPr="002E3196">
              <w:rPr>
                <w:rFonts w:cstheme="minorHAnsi"/>
                <w:color w:val="000000"/>
                <w:sz w:val="16"/>
                <w:szCs w:val="16"/>
                <w:lang w:eastAsia="en-US"/>
              </w:rPr>
              <w:t>302</w:t>
            </w:r>
          </w:p>
        </w:tc>
        <w:tc>
          <w:tcPr>
            <w:tcW w:w="1511" w:type="dxa"/>
            <w:vAlign w:val="center"/>
          </w:tcPr>
          <w:p w14:paraId="10F65FE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6C93B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F9AC85E" w14:textId="77777777" w:rsidTr="00780608">
        <w:trPr>
          <w:trHeight w:val="285"/>
        </w:trPr>
        <w:tc>
          <w:tcPr>
            <w:tcW w:w="1986" w:type="dxa"/>
            <w:vAlign w:val="center"/>
          </w:tcPr>
          <w:p w14:paraId="3D13A65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Statkraft</w:t>
            </w:r>
            <w:proofErr w:type="spellEnd"/>
            <w:r w:rsidRPr="002E3196">
              <w:rPr>
                <w:rFonts w:cstheme="minorHAnsi"/>
                <w:color w:val="000000"/>
                <w:sz w:val="16"/>
                <w:szCs w:val="16"/>
                <w:lang w:eastAsia="en-US"/>
              </w:rPr>
              <w:t xml:space="preserve"> Markets GmbH</w:t>
            </w:r>
          </w:p>
        </w:tc>
        <w:tc>
          <w:tcPr>
            <w:tcW w:w="1322" w:type="dxa"/>
            <w:vAlign w:val="center"/>
          </w:tcPr>
          <w:p w14:paraId="35E0DBB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640</w:t>
            </w:r>
          </w:p>
        </w:tc>
        <w:tc>
          <w:tcPr>
            <w:tcW w:w="1465" w:type="dxa"/>
            <w:vAlign w:val="center"/>
          </w:tcPr>
          <w:p w14:paraId="0E5A538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A4222A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639242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92C0BA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£32,032.00</w:t>
            </w:r>
          </w:p>
        </w:tc>
        <w:tc>
          <w:tcPr>
            <w:tcW w:w="1465" w:type="dxa"/>
            <w:vAlign w:val="center"/>
          </w:tcPr>
          <w:p w14:paraId="19C82E0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B4EB962" w14:textId="77777777" w:rsidTr="00780608">
        <w:trPr>
          <w:trHeight w:val="285"/>
        </w:trPr>
        <w:tc>
          <w:tcPr>
            <w:tcW w:w="1986" w:type="dxa"/>
            <w:vAlign w:val="center"/>
          </w:tcPr>
          <w:p w14:paraId="6005815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Switch Business Gas and Power Ltd</w:t>
            </w:r>
          </w:p>
        </w:tc>
        <w:tc>
          <w:tcPr>
            <w:tcW w:w="1322" w:type="dxa"/>
            <w:vAlign w:val="center"/>
          </w:tcPr>
          <w:p w14:paraId="4E407DA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159</w:t>
            </w:r>
          </w:p>
        </w:tc>
        <w:tc>
          <w:tcPr>
            <w:tcW w:w="1465" w:type="dxa"/>
            <w:vAlign w:val="center"/>
          </w:tcPr>
          <w:p w14:paraId="1B20C08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52873E4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96E1DD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07A887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£7,957.95</w:t>
            </w:r>
          </w:p>
        </w:tc>
        <w:tc>
          <w:tcPr>
            <w:tcW w:w="1465" w:type="dxa"/>
            <w:vAlign w:val="center"/>
          </w:tcPr>
          <w:p w14:paraId="77D2C14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69D934C6" w14:textId="77777777" w:rsidTr="00780608">
        <w:trPr>
          <w:trHeight w:val="285"/>
        </w:trPr>
        <w:tc>
          <w:tcPr>
            <w:tcW w:w="1986" w:type="dxa"/>
            <w:vAlign w:val="center"/>
          </w:tcPr>
          <w:p w14:paraId="722637CB" w14:textId="0C1CD645"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Symbio</w:t>
            </w:r>
            <w:proofErr w:type="spellEnd"/>
            <w:r w:rsidRPr="002E3196">
              <w:rPr>
                <w:rFonts w:cstheme="minorHAnsi"/>
                <w:color w:val="000000"/>
                <w:sz w:val="16"/>
                <w:szCs w:val="16"/>
                <w:lang w:eastAsia="en-US"/>
              </w:rPr>
              <w:t xml:space="preserve"> Energy Ltd</w:t>
            </w:r>
          </w:p>
        </w:tc>
        <w:tc>
          <w:tcPr>
            <w:tcW w:w="1322" w:type="dxa"/>
            <w:vAlign w:val="center"/>
          </w:tcPr>
          <w:p w14:paraId="3F375BC9" w14:textId="06EC5A5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w:t>
            </w:r>
            <w:r w:rsidR="006E7DBA">
              <w:rPr>
                <w:rFonts w:cstheme="minorHAnsi"/>
                <w:color w:val="000000"/>
                <w:sz w:val="16"/>
                <w:szCs w:val="16"/>
                <w:lang w:eastAsia="en-US"/>
              </w:rPr>
              <w:t>,</w:t>
            </w:r>
            <w:r w:rsidRPr="002E3196">
              <w:rPr>
                <w:rFonts w:cstheme="minorHAnsi"/>
                <w:color w:val="000000"/>
                <w:sz w:val="16"/>
                <w:szCs w:val="16"/>
                <w:lang w:eastAsia="en-US"/>
              </w:rPr>
              <w:t>011</w:t>
            </w:r>
          </w:p>
        </w:tc>
        <w:tc>
          <w:tcPr>
            <w:tcW w:w="1465" w:type="dxa"/>
            <w:vAlign w:val="center"/>
          </w:tcPr>
          <w:p w14:paraId="49C8FD5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EACE6B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A1B3BE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1D6668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92775A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CCED007" w14:textId="77777777" w:rsidTr="00780608">
        <w:trPr>
          <w:trHeight w:val="285"/>
        </w:trPr>
        <w:tc>
          <w:tcPr>
            <w:tcW w:w="1986" w:type="dxa"/>
            <w:vAlign w:val="center"/>
          </w:tcPr>
          <w:p w14:paraId="4CCA771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Together Energy (Retail) Ltd</w:t>
            </w:r>
          </w:p>
        </w:tc>
        <w:tc>
          <w:tcPr>
            <w:tcW w:w="1322" w:type="dxa"/>
            <w:vAlign w:val="center"/>
          </w:tcPr>
          <w:p w14:paraId="0E482539" w14:textId="19E6E5C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6E7DBA">
              <w:rPr>
                <w:rFonts w:cstheme="minorHAnsi"/>
                <w:color w:val="000000"/>
                <w:sz w:val="16"/>
                <w:szCs w:val="16"/>
                <w:lang w:eastAsia="en-US"/>
              </w:rPr>
              <w:t>,</w:t>
            </w:r>
            <w:r w:rsidRPr="002E3196">
              <w:rPr>
                <w:rFonts w:cstheme="minorHAnsi"/>
                <w:color w:val="000000"/>
                <w:sz w:val="16"/>
                <w:szCs w:val="16"/>
                <w:lang w:eastAsia="en-US"/>
              </w:rPr>
              <w:t>209</w:t>
            </w:r>
          </w:p>
        </w:tc>
        <w:tc>
          <w:tcPr>
            <w:tcW w:w="1465" w:type="dxa"/>
            <w:vAlign w:val="center"/>
          </w:tcPr>
          <w:p w14:paraId="00C8AA1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D31F88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7118AB3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A6D1D3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2707442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016C79C" w14:textId="77777777" w:rsidTr="00780608">
        <w:trPr>
          <w:trHeight w:val="285"/>
        </w:trPr>
        <w:tc>
          <w:tcPr>
            <w:tcW w:w="1986" w:type="dxa"/>
            <w:vAlign w:val="center"/>
          </w:tcPr>
          <w:p w14:paraId="050F9568"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Tonik</w:t>
            </w:r>
            <w:proofErr w:type="spellEnd"/>
            <w:r w:rsidRPr="002E3196">
              <w:rPr>
                <w:rFonts w:cstheme="minorHAnsi"/>
                <w:color w:val="000000"/>
                <w:sz w:val="16"/>
                <w:szCs w:val="16"/>
                <w:lang w:eastAsia="en-US"/>
              </w:rPr>
              <w:t xml:space="preserve"> Energy Limited</w:t>
            </w:r>
          </w:p>
        </w:tc>
        <w:tc>
          <w:tcPr>
            <w:tcW w:w="1322" w:type="dxa"/>
            <w:vAlign w:val="center"/>
          </w:tcPr>
          <w:p w14:paraId="41E369BC" w14:textId="1C2DC12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6</w:t>
            </w:r>
            <w:r w:rsidR="006E7DBA">
              <w:rPr>
                <w:rFonts w:cstheme="minorHAnsi"/>
                <w:color w:val="000000"/>
                <w:sz w:val="16"/>
                <w:szCs w:val="16"/>
                <w:lang w:eastAsia="en-US"/>
              </w:rPr>
              <w:t>,</w:t>
            </w:r>
            <w:r w:rsidRPr="002E3196">
              <w:rPr>
                <w:rFonts w:cstheme="minorHAnsi"/>
                <w:color w:val="000000"/>
                <w:sz w:val="16"/>
                <w:szCs w:val="16"/>
                <w:lang w:eastAsia="en-US"/>
              </w:rPr>
              <w:t>862</w:t>
            </w:r>
          </w:p>
        </w:tc>
        <w:tc>
          <w:tcPr>
            <w:tcW w:w="1465" w:type="dxa"/>
            <w:vAlign w:val="center"/>
          </w:tcPr>
          <w:p w14:paraId="4C5C188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0426CF7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FF1AD7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598B8F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EFDF7C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64CA31F" w14:textId="77777777" w:rsidTr="00780608">
        <w:trPr>
          <w:trHeight w:val="285"/>
        </w:trPr>
        <w:tc>
          <w:tcPr>
            <w:tcW w:w="1986" w:type="dxa"/>
            <w:vAlign w:val="center"/>
          </w:tcPr>
          <w:p w14:paraId="14F4885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Total Gas &amp; Power Ltd</w:t>
            </w:r>
          </w:p>
        </w:tc>
        <w:tc>
          <w:tcPr>
            <w:tcW w:w="1322" w:type="dxa"/>
            <w:vAlign w:val="center"/>
          </w:tcPr>
          <w:p w14:paraId="041FFF5A" w14:textId="711C18D3"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261</w:t>
            </w:r>
            <w:r w:rsidR="006E7DBA">
              <w:rPr>
                <w:rFonts w:cstheme="minorHAnsi"/>
                <w:color w:val="000000"/>
                <w:sz w:val="16"/>
                <w:szCs w:val="16"/>
                <w:lang w:eastAsia="en-US"/>
              </w:rPr>
              <w:t>,</w:t>
            </w:r>
            <w:r w:rsidRPr="002E3196">
              <w:rPr>
                <w:rFonts w:cstheme="minorHAnsi"/>
                <w:color w:val="000000"/>
                <w:sz w:val="16"/>
                <w:szCs w:val="16"/>
                <w:lang w:eastAsia="en-US"/>
              </w:rPr>
              <w:t>982</w:t>
            </w:r>
          </w:p>
        </w:tc>
        <w:tc>
          <w:tcPr>
            <w:tcW w:w="1465" w:type="dxa"/>
            <w:vAlign w:val="center"/>
          </w:tcPr>
          <w:p w14:paraId="5A93CF93" w14:textId="0696AAD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261</w:t>
            </w:r>
            <w:r w:rsidR="006E7DBA">
              <w:rPr>
                <w:rFonts w:cstheme="minorHAnsi"/>
                <w:color w:val="000000"/>
                <w:sz w:val="16"/>
                <w:szCs w:val="16"/>
                <w:lang w:eastAsia="en-US"/>
              </w:rPr>
              <w:t>,</w:t>
            </w:r>
            <w:r w:rsidRPr="002E3196">
              <w:rPr>
                <w:rFonts w:cstheme="minorHAnsi"/>
                <w:color w:val="000000"/>
                <w:sz w:val="16"/>
                <w:szCs w:val="16"/>
                <w:lang w:eastAsia="en-US"/>
              </w:rPr>
              <w:t>982</w:t>
            </w:r>
          </w:p>
        </w:tc>
        <w:tc>
          <w:tcPr>
            <w:tcW w:w="1465" w:type="dxa"/>
            <w:vAlign w:val="center"/>
          </w:tcPr>
          <w:p w14:paraId="738F16D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36CFBAB" w14:textId="38088714"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19</w:t>
            </w:r>
            <w:r w:rsidR="006E7DBA">
              <w:rPr>
                <w:rFonts w:cstheme="minorHAnsi"/>
                <w:color w:val="000000"/>
                <w:sz w:val="16"/>
                <w:szCs w:val="16"/>
                <w:lang w:eastAsia="en-US"/>
              </w:rPr>
              <w:t>,</w:t>
            </w:r>
            <w:r w:rsidRPr="002E3196">
              <w:rPr>
                <w:rFonts w:cstheme="minorHAnsi"/>
                <w:color w:val="000000"/>
                <w:sz w:val="16"/>
                <w:szCs w:val="16"/>
                <w:lang w:eastAsia="en-US"/>
              </w:rPr>
              <w:t>801</w:t>
            </w:r>
          </w:p>
        </w:tc>
        <w:tc>
          <w:tcPr>
            <w:tcW w:w="1511" w:type="dxa"/>
            <w:vAlign w:val="center"/>
          </w:tcPr>
          <w:p w14:paraId="16FFB1C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A54E7C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69C2076" w14:textId="77777777" w:rsidTr="00780608">
        <w:trPr>
          <w:trHeight w:val="285"/>
        </w:trPr>
        <w:tc>
          <w:tcPr>
            <w:tcW w:w="1986" w:type="dxa"/>
            <w:vAlign w:val="center"/>
          </w:tcPr>
          <w:p w14:paraId="551AB05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Tru</w:t>
            </w:r>
            <w:proofErr w:type="spellEnd"/>
            <w:r w:rsidRPr="002E3196">
              <w:rPr>
                <w:rFonts w:cstheme="minorHAnsi"/>
                <w:color w:val="000000"/>
                <w:sz w:val="16"/>
                <w:szCs w:val="16"/>
                <w:lang w:eastAsia="en-US"/>
              </w:rPr>
              <w:t xml:space="preserve"> Energy Ltd</w:t>
            </w:r>
          </w:p>
        </w:tc>
        <w:tc>
          <w:tcPr>
            <w:tcW w:w="1322" w:type="dxa"/>
            <w:vAlign w:val="center"/>
          </w:tcPr>
          <w:p w14:paraId="7BEB7F1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36</w:t>
            </w:r>
          </w:p>
        </w:tc>
        <w:tc>
          <w:tcPr>
            <w:tcW w:w="1465" w:type="dxa"/>
            <w:vAlign w:val="center"/>
          </w:tcPr>
          <w:p w14:paraId="1476DFB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F70FA7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C46A88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DBB834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£1,801.80</w:t>
            </w:r>
          </w:p>
        </w:tc>
        <w:tc>
          <w:tcPr>
            <w:tcW w:w="1465" w:type="dxa"/>
            <w:vAlign w:val="center"/>
          </w:tcPr>
          <w:p w14:paraId="7DA824E3"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7E33BF6F" w14:textId="77777777" w:rsidTr="00780608">
        <w:trPr>
          <w:trHeight w:val="285"/>
        </w:trPr>
        <w:tc>
          <w:tcPr>
            <w:tcW w:w="1986" w:type="dxa"/>
            <w:vAlign w:val="center"/>
          </w:tcPr>
          <w:p w14:paraId="1E961C6C"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Unify Energy Ltd</w:t>
            </w:r>
          </w:p>
        </w:tc>
        <w:tc>
          <w:tcPr>
            <w:tcW w:w="1322" w:type="dxa"/>
            <w:vAlign w:val="center"/>
          </w:tcPr>
          <w:p w14:paraId="7FCD0EA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16</w:t>
            </w:r>
          </w:p>
        </w:tc>
        <w:tc>
          <w:tcPr>
            <w:tcW w:w="1465" w:type="dxa"/>
            <w:vAlign w:val="center"/>
          </w:tcPr>
          <w:p w14:paraId="78B74DE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2B350DF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2D6544E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2110FDA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£800.80</w:t>
            </w:r>
          </w:p>
        </w:tc>
        <w:tc>
          <w:tcPr>
            <w:tcW w:w="1465" w:type="dxa"/>
            <w:vAlign w:val="center"/>
          </w:tcPr>
          <w:p w14:paraId="23E0B2B0"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DAE3008" w14:textId="77777777" w:rsidTr="00780608">
        <w:trPr>
          <w:trHeight w:val="285"/>
        </w:trPr>
        <w:tc>
          <w:tcPr>
            <w:tcW w:w="1986" w:type="dxa"/>
            <w:vAlign w:val="center"/>
          </w:tcPr>
          <w:p w14:paraId="2243F9B1"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United Gas &amp; Power Ltd</w:t>
            </w:r>
          </w:p>
        </w:tc>
        <w:tc>
          <w:tcPr>
            <w:tcW w:w="1322" w:type="dxa"/>
            <w:vAlign w:val="center"/>
          </w:tcPr>
          <w:p w14:paraId="24CEB23A" w14:textId="29FB3FCA"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w:t>
            </w:r>
            <w:r w:rsidR="00007C9D">
              <w:rPr>
                <w:rFonts w:cstheme="minorHAnsi"/>
                <w:color w:val="000000"/>
                <w:sz w:val="16"/>
                <w:szCs w:val="16"/>
                <w:lang w:eastAsia="en-US"/>
              </w:rPr>
              <w:t>,</w:t>
            </w:r>
            <w:r w:rsidRPr="002E3196">
              <w:rPr>
                <w:rFonts w:cstheme="minorHAnsi"/>
                <w:color w:val="000000"/>
                <w:sz w:val="16"/>
                <w:szCs w:val="16"/>
                <w:lang w:eastAsia="en-US"/>
              </w:rPr>
              <w:t>978</w:t>
            </w:r>
          </w:p>
        </w:tc>
        <w:tc>
          <w:tcPr>
            <w:tcW w:w="1465" w:type="dxa"/>
            <w:vAlign w:val="center"/>
          </w:tcPr>
          <w:p w14:paraId="2898140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D44B917"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07D86D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6AA9C34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£249,148.90</w:t>
            </w:r>
          </w:p>
        </w:tc>
        <w:tc>
          <w:tcPr>
            <w:tcW w:w="1465" w:type="dxa"/>
            <w:vAlign w:val="center"/>
          </w:tcPr>
          <w:p w14:paraId="0DB5ACA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5DBBB173" w14:textId="77777777" w:rsidTr="00780608">
        <w:trPr>
          <w:trHeight w:val="285"/>
        </w:trPr>
        <w:tc>
          <w:tcPr>
            <w:tcW w:w="1986" w:type="dxa"/>
            <w:vAlign w:val="center"/>
          </w:tcPr>
          <w:p w14:paraId="6E756BCF"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proofErr w:type="spellStart"/>
            <w:r w:rsidRPr="002E3196">
              <w:rPr>
                <w:rFonts w:cstheme="minorHAnsi"/>
                <w:color w:val="000000"/>
                <w:sz w:val="16"/>
                <w:szCs w:val="16"/>
                <w:lang w:eastAsia="en-US"/>
              </w:rPr>
              <w:t>Utilita</w:t>
            </w:r>
            <w:proofErr w:type="spellEnd"/>
            <w:r w:rsidRPr="002E3196">
              <w:rPr>
                <w:rFonts w:cstheme="minorHAnsi"/>
                <w:color w:val="000000"/>
                <w:sz w:val="16"/>
                <w:szCs w:val="16"/>
                <w:lang w:eastAsia="en-US"/>
              </w:rPr>
              <w:t xml:space="preserve"> Energy Ltd</w:t>
            </w:r>
          </w:p>
        </w:tc>
        <w:tc>
          <w:tcPr>
            <w:tcW w:w="1322" w:type="dxa"/>
            <w:vAlign w:val="center"/>
          </w:tcPr>
          <w:p w14:paraId="29B5DA4A" w14:textId="18A169F6"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138</w:t>
            </w:r>
            <w:r w:rsidR="00007C9D">
              <w:rPr>
                <w:rFonts w:cstheme="minorHAnsi"/>
                <w:color w:val="000000"/>
                <w:sz w:val="16"/>
                <w:szCs w:val="16"/>
                <w:lang w:eastAsia="en-US"/>
              </w:rPr>
              <w:t>,</w:t>
            </w:r>
            <w:r w:rsidRPr="002E3196">
              <w:rPr>
                <w:rFonts w:cstheme="minorHAnsi"/>
                <w:color w:val="000000"/>
                <w:sz w:val="16"/>
                <w:szCs w:val="16"/>
                <w:lang w:eastAsia="en-US"/>
              </w:rPr>
              <w:t>566</w:t>
            </w:r>
          </w:p>
        </w:tc>
        <w:tc>
          <w:tcPr>
            <w:tcW w:w="1465" w:type="dxa"/>
            <w:vAlign w:val="center"/>
          </w:tcPr>
          <w:p w14:paraId="4084068D" w14:textId="4588848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138</w:t>
            </w:r>
            <w:r w:rsidR="00007C9D">
              <w:rPr>
                <w:rFonts w:cstheme="minorHAnsi"/>
                <w:color w:val="000000"/>
                <w:sz w:val="16"/>
                <w:szCs w:val="16"/>
                <w:lang w:eastAsia="en-US"/>
              </w:rPr>
              <w:t>,</w:t>
            </w:r>
            <w:r w:rsidRPr="002E3196">
              <w:rPr>
                <w:rFonts w:cstheme="minorHAnsi"/>
                <w:color w:val="000000"/>
                <w:sz w:val="16"/>
                <w:szCs w:val="16"/>
                <w:lang w:eastAsia="en-US"/>
              </w:rPr>
              <w:t>566</w:t>
            </w:r>
          </w:p>
        </w:tc>
        <w:tc>
          <w:tcPr>
            <w:tcW w:w="1465" w:type="dxa"/>
            <w:vAlign w:val="center"/>
          </w:tcPr>
          <w:p w14:paraId="23FC158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8D1DE3E" w14:textId="4A385A4F"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17</w:t>
            </w:r>
            <w:r w:rsidR="00007C9D">
              <w:rPr>
                <w:rFonts w:cstheme="minorHAnsi"/>
                <w:color w:val="000000"/>
                <w:sz w:val="16"/>
                <w:szCs w:val="16"/>
                <w:lang w:eastAsia="en-US"/>
              </w:rPr>
              <w:t>,</w:t>
            </w:r>
            <w:r w:rsidRPr="002E3196">
              <w:rPr>
                <w:rFonts w:cstheme="minorHAnsi"/>
                <w:color w:val="000000"/>
                <w:sz w:val="16"/>
                <w:szCs w:val="16"/>
                <w:lang w:eastAsia="en-US"/>
              </w:rPr>
              <w:t>795</w:t>
            </w:r>
          </w:p>
        </w:tc>
        <w:tc>
          <w:tcPr>
            <w:tcW w:w="1511" w:type="dxa"/>
            <w:vAlign w:val="center"/>
          </w:tcPr>
          <w:p w14:paraId="4647A4F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4590C3FE"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E4D13EB" w14:textId="77777777" w:rsidTr="00780608">
        <w:trPr>
          <w:trHeight w:val="285"/>
        </w:trPr>
        <w:tc>
          <w:tcPr>
            <w:tcW w:w="1986" w:type="dxa"/>
            <w:vAlign w:val="center"/>
          </w:tcPr>
          <w:p w14:paraId="0493823D"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Utility Point Ltd</w:t>
            </w:r>
          </w:p>
        </w:tc>
        <w:tc>
          <w:tcPr>
            <w:tcW w:w="1322" w:type="dxa"/>
            <w:vAlign w:val="center"/>
          </w:tcPr>
          <w:p w14:paraId="29F8227F" w14:textId="75E46471"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20</w:t>
            </w:r>
            <w:r w:rsidR="00007C9D">
              <w:rPr>
                <w:rFonts w:cstheme="minorHAnsi"/>
                <w:color w:val="000000"/>
                <w:sz w:val="16"/>
                <w:szCs w:val="16"/>
                <w:lang w:eastAsia="en-US"/>
              </w:rPr>
              <w:t>,</w:t>
            </w:r>
            <w:r w:rsidRPr="002E3196">
              <w:rPr>
                <w:rFonts w:cstheme="minorHAnsi"/>
                <w:color w:val="000000"/>
                <w:sz w:val="16"/>
                <w:szCs w:val="16"/>
                <w:lang w:eastAsia="en-US"/>
              </w:rPr>
              <w:t>461</w:t>
            </w:r>
          </w:p>
        </w:tc>
        <w:tc>
          <w:tcPr>
            <w:tcW w:w="1465" w:type="dxa"/>
            <w:vAlign w:val="center"/>
          </w:tcPr>
          <w:p w14:paraId="2F502EC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321FCE4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0938696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543093CC"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66A2CAD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£578.54</w:t>
            </w:r>
          </w:p>
        </w:tc>
      </w:tr>
      <w:tr w:rsidR="00C85B64" w:rsidRPr="006B3AC6" w14:paraId="281CC3E0" w14:textId="77777777" w:rsidTr="00780608">
        <w:trPr>
          <w:trHeight w:val="285"/>
        </w:trPr>
        <w:tc>
          <w:tcPr>
            <w:tcW w:w="1986" w:type="dxa"/>
            <w:vAlign w:val="center"/>
          </w:tcPr>
          <w:p w14:paraId="3E01E87A"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Valda Energy Ltd</w:t>
            </w:r>
          </w:p>
        </w:tc>
        <w:tc>
          <w:tcPr>
            <w:tcW w:w="1322" w:type="dxa"/>
            <w:vAlign w:val="center"/>
          </w:tcPr>
          <w:p w14:paraId="6A405C72" w14:textId="5E6F541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07C9D">
              <w:rPr>
                <w:rFonts w:cstheme="minorHAnsi"/>
                <w:color w:val="000000"/>
                <w:sz w:val="16"/>
                <w:szCs w:val="16"/>
                <w:lang w:eastAsia="en-US"/>
              </w:rPr>
              <w:t>,</w:t>
            </w:r>
            <w:r w:rsidRPr="002E3196">
              <w:rPr>
                <w:rFonts w:cstheme="minorHAnsi"/>
                <w:color w:val="000000"/>
                <w:sz w:val="16"/>
                <w:szCs w:val="16"/>
                <w:lang w:eastAsia="en-US"/>
              </w:rPr>
              <w:t>007</w:t>
            </w:r>
          </w:p>
        </w:tc>
        <w:tc>
          <w:tcPr>
            <w:tcW w:w="1465" w:type="dxa"/>
            <w:vAlign w:val="center"/>
          </w:tcPr>
          <w:p w14:paraId="4227703C" w14:textId="474FB68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w:t>
            </w:r>
            <w:r w:rsidR="00007C9D">
              <w:rPr>
                <w:rFonts w:cstheme="minorHAnsi"/>
                <w:color w:val="000000"/>
                <w:sz w:val="16"/>
                <w:szCs w:val="16"/>
                <w:lang w:eastAsia="en-US"/>
              </w:rPr>
              <w:t>,</w:t>
            </w:r>
            <w:r w:rsidRPr="002E3196">
              <w:rPr>
                <w:rFonts w:cstheme="minorHAnsi"/>
                <w:color w:val="000000"/>
                <w:sz w:val="16"/>
                <w:szCs w:val="16"/>
                <w:lang w:eastAsia="en-US"/>
              </w:rPr>
              <w:t>007</w:t>
            </w:r>
          </w:p>
        </w:tc>
        <w:tc>
          <w:tcPr>
            <w:tcW w:w="1465" w:type="dxa"/>
            <w:vAlign w:val="center"/>
          </w:tcPr>
          <w:p w14:paraId="7E097A12"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4C9D014B"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E4784B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58BB64F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29203C22" w14:textId="77777777" w:rsidTr="00780608">
        <w:trPr>
          <w:trHeight w:val="285"/>
        </w:trPr>
        <w:tc>
          <w:tcPr>
            <w:tcW w:w="1986" w:type="dxa"/>
            <w:vAlign w:val="center"/>
          </w:tcPr>
          <w:p w14:paraId="72933D0B"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 xml:space="preserve">Vattenfall Energy Trading GmbH </w:t>
            </w:r>
          </w:p>
        </w:tc>
        <w:tc>
          <w:tcPr>
            <w:tcW w:w="1322" w:type="dxa"/>
            <w:vAlign w:val="center"/>
          </w:tcPr>
          <w:p w14:paraId="1599B29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158</w:t>
            </w:r>
          </w:p>
        </w:tc>
        <w:tc>
          <w:tcPr>
            <w:tcW w:w="1465" w:type="dxa"/>
            <w:vAlign w:val="center"/>
          </w:tcPr>
          <w:p w14:paraId="44649AA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158</w:t>
            </w:r>
          </w:p>
        </w:tc>
        <w:tc>
          <w:tcPr>
            <w:tcW w:w="1465" w:type="dxa"/>
            <w:vAlign w:val="center"/>
          </w:tcPr>
          <w:p w14:paraId="628EC08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97DDC08"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0C6EED9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169D3C5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C6AA7A1" w14:textId="77777777" w:rsidTr="00780608">
        <w:trPr>
          <w:trHeight w:val="285"/>
        </w:trPr>
        <w:tc>
          <w:tcPr>
            <w:tcW w:w="1986" w:type="dxa"/>
            <w:vAlign w:val="center"/>
          </w:tcPr>
          <w:p w14:paraId="54AFA11E"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Yorkshire Gas &amp; Power</w:t>
            </w:r>
          </w:p>
        </w:tc>
        <w:tc>
          <w:tcPr>
            <w:tcW w:w="1322" w:type="dxa"/>
            <w:vAlign w:val="center"/>
          </w:tcPr>
          <w:p w14:paraId="70C4E1A6" w14:textId="7B24C0C8"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007C9D">
              <w:rPr>
                <w:rFonts w:cstheme="minorHAnsi"/>
                <w:color w:val="000000"/>
                <w:sz w:val="16"/>
                <w:szCs w:val="16"/>
                <w:lang w:eastAsia="en-US"/>
              </w:rPr>
              <w:t>,</w:t>
            </w:r>
            <w:r w:rsidRPr="002E3196">
              <w:rPr>
                <w:rFonts w:cstheme="minorHAnsi"/>
                <w:color w:val="000000"/>
                <w:sz w:val="16"/>
                <w:szCs w:val="16"/>
                <w:lang w:eastAsia="en-US"/>
              </w:rPr>
              <w:t>097</w:t>
            </w:r>
          </w:p>
        </w:tc>
        <w:tc>
          <w:tcPr>
            <w:tcW w:w="1465" w:type="dxa"/>
            <w:vAlign w:val="center"/>
          </w:tcPr>
          <w:p w14:paraId="4C1190C5" w14:textId="6E3406C9"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2</w:t>
            </w:r>
            <w:r w:rsidR="00007C9D">
              <w:rPr>
                <w:rFonts w:cstheme="minorHAnsi"/>
                <w:color w:val="000000"/>
                <w:sz w:val="16"/>
                <w:szCs w:val="16"/>
                <w:lang w:eastAsia="en-US"/>
              </w:rPr>
              <w:t>,</w:t>
            </w:r>
            <w:r w:rsidRPr="002E3196">
              <w:rPr>
                <w:rFonts w:cstheme="minorHAnsi"/>
                <w:color w:val="000000"/>
                <w:sz w:val="16"/>
                <w:szCs w:val="16"/>
                <w:lang w:eastAsia="en-US"/>
              </w:rPr>
              <w:t>097</w:t>
            </w:r>
          </w:p>
        </w:tc>
        <w:tc>
          <w:tcPr>
            <w:tcW w:w="1465" w:type="dxa"/>
            <w:vAlign w:val="center"/>
          </w:tcPr>
          <w:p w14:paraId="58EBABF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6430C06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3D52068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c>
          <w:tcPr>
            <w:tcW w:w="1465" w:type="dxa"/>
            <w:vAlign w:val="center"/>
          </w:tcPr>
          <w:p w14:paraId="0ED27F4F"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0C0A38D7" w14:textId="77777777" w:rsidTr="00780608">
        <w:trPr>
          <w:trHeight w:val="285"/>
        </w:trPr>
        <w:tc>
          <w:tcPr>
            <w:tcW w:w="1986" w:type="dxa"/>
            <w:vAlign w:val="center"/>
          </w:tcPr>
          <w:p w14:paraId="62ADB296"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Yu Energy trading as Kensington Power Ltd</w:t>
            </w:r>
          </w:p>
        </w:tc>
        <w:tc>
          <w:tcPr>
            <w:tcW w:w="1322" w:type="dxa"/>
            <w:vAlign w:val="center"/>
          </w:tcPr>
          <w:p w14:paraId="3CA9224C" w14:textId="47EF019E"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9</w:t>
            </w:r>
            <w:r w:rsidR="00007C9D">
              <w:rPr>
                <w:rFonts w:cstheme="minorHAnsi"/>
                <w:color w:val="000000"/>
                <w:sz w:val="16"/>
                <w:szCs w:val="16"/>
                <w:lang w:eastAsia="en-US"/>
              </w:rPr>
              <w:t>,</w:t>
            </w:r>
            <w:r w:rsidRPr="002E3196">
              <w:rPr>
                <w:rFonts w:cstheme="minorHAnsi"/>
                <w:color w:val="000000"/>
                <w:sz w:val="16"/>
                <w:szCs w:val="16"/>
                <w:lang w:eastAsia="en-US"/>
              </w:rPr>
              <w:t>560</w:t>
            </w:r>
          </w:p>
        </w:tc>
        <w:tc>
          <w:tcPr>
            <w:tcW w:w="1465" w:type="dxa"/>
            <w:vAlign w:val="center"/>
          </w:tcPr>
          <w:p w14:paraId="3F95967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68BA8A2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5751FC96"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7F53F635"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£478,478.00</w:t>
            </w:r>
          </w:p>
        </w:tc>
        <w:tc>
          <w:tcPr>
            <w:tcW w:w="1465" w:type="dxa"/>
            <w:vAlign w:val="center"/>
          </w:tcPr>
          <w:p w14:paraId="531948C9"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C85B64" w:rsidRPr="006B3AC6" w14:paraId="36211B87" w14:textId="77777777" w:rsidTr="00780608">
        <w:trPr>
          <w:trHeight w:val="285"/>
        </w:trPr>
        <w:tc>
          <w:tcPr>
            <w:tcW w:w="1986" w:type="dxa"/>
            <w:vAlign w:val="center"/>
          </w:tcPr>
          <w:p w14:paraId="7F334035" w14:textId="77777777" w:rsidR="00E54E83" w:rsidRPr="002E3196" w:rsidRDefault="00E54E83" w:rsidP="00780608">
            <w:pPr>
              <w:autoSpaceDE w:val="0"/>
              <w:autoSpaceDN w:val="0"/>
              <w:adjustRightInd w:val="0"/>
              <w:spacing w:before="20" w:after="20" w:line="240" w:lineRule="auto"/>
              <w:rPr>
                <w:rFonts w:cstheme="minorHAnsi"/>
                <w:color w:val="000000"/>
                <w:sz w:val="16"/>
                <w:szCs w:val="16"/>
                <w:lang w:eastAsia="en-US"/>
              </w:rPr>
            </w:pPr>
            <w:r w:rsidRPr="002E3196">
              <w:rPr>
                <w:rFonts w:cstheme="minorHAnsi"/>
                <w:color w:val="000000"/>
                <w:sz w:val="16"/>
                <w:szCs w:val="16"/>
                <w:lang w:eastAsia="en-US"/>
              </w:rPr>
              <w:t>Zebra Power Ltd</w:t>
            </w:r>
          </w:p>
        </w:tc>
        <w:tc>
          <w:tcPr>
            <w:tcW w:w="1322" w:type="dxa"/>
            <w:vAlign w:val="center"/>
          </w:tcPr>
          <w:p w14:paraId="6C33229E" w14:textId="4F16D4B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3</w:t>
            </w:r>
            <w:r w:rsidR="00007C9D">
              <w:rPr>
                <w:rFonts w:cstheme="minorHAnsi"/>
                <w:color w:val="000000"/>
                <w:sz w:val="16"/>
                <w:szCs w:val="16"/>
                <w:lang w:eastAsia="en-US"/>
              </w:rPr>
              <w:t>,</w:t>
            </w:r>
            <w:r w:rsidRPr="002E3196">
              <w:rPr>
                <w:rFonts w:cstheme="minorHAnsi"/>
                <w:color w:val="000000"/>
                <w:sz w:val="16"/>
                <w:szCs w:val="16"/>
                <w:lang w:eastAsia="en-US"/>
              </w:rPr>
              <w:t>167</w:t>
            </w:r>
          </w:p>
        </w:tc>
        <w:tc>
          <w:tcPr>
            <w:tcW w:w="1465" w:type="dxa"/>
            <w:vAlign w:val="center"/>
          </w:tcPr>
          <w:p w14:paraId="00C400DD"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65" w:type="dxa"/>
            <w:vAlign w:val="center"/>
          </w:tcPr>
          <w:p w14:paraId="7A61BC54"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418" w:type="dxa"/>
            <w:vAlign w:val="center"/>
          </w:tcPr>
          <w:p w14:paraId="1282DC8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w:t>
            </w:r>
          </w:p>
        </w:tc>
        <w:tc>
          <w:tcPr>
            <w:tcW w:w="1511" w:type="dxa"/>
            <w:vAlign w:val="center"/>
          </w:tcPr>
          <w:p w14:paraId="4151F4CA"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£158,508.32</w:t>
            </w:r>
          </w:p>
        </w:tc>
        <w:tc>
          <w:tcPr>
            <w:tcW w:w="1465" w:type="dxa"/>
            <w:vAlign w:val="center"/>
          </w:tcPr>
          <w:p w14:paraId="0028BE81" w14:textId="77777777" w:rsidR="00E54E83" w:rsidRPr="002E3196" w:rsidRDefault="00E54E83" w:rsidP="00780608">
            <w:pPr>
              <w:autoSpaceDE w:val="0"/>
              <w:autoSpaceDN w:val="0"/>
              <w:adjustRightInd w:val="0"/>
              <w:spacing w:after="0" w:line="240" w:lineRule="auto"/>
              <w:jc w:val="right"/>
              <w:rPr>
                <w:rFonts w:cstheme="minorHAnsi"/>
                <w:color w:val="000000"/>
                <w:sz w:val="16"/>
                <w:szCs w:val="16"/>
                <w:lang w:eastAsia="en-US"/>
              </w:rPr>
            </w:pPr>
            <w:r w:rsidRPr="002E3196">
              <w:rPr>
                <w:rFonts w:cstheme="minorHAnsi"/>
                <w:color w:val="000000"/>
                <w:sz w:val="16"/>
                <w:szCs w:val="16"/>
                <w:lang w:eastAsia="en-US"/>
              </w:rPr>
              <w:t>£0.00</w:t>
            </w:r>
          </w:p>
        </w:tc>
      </w:tr>
      <w:tr w:rsidR="00450F5F" w:rsidRPr="006B3AC6" w14:paraId="4E281EFE" w14:textId="77777777" w:rsidTr="00780608">
        <w:trPr>
          <w:trHeight w:val="340"/>
        </w:trPr>
        <w:tc>
          <w:tcPr>
            <w:tcW w:w="1986" w:type="dxa"/>
            <w:shd w:val="clear" w:color="auto" w:fill="2363AF"/>
            <w:vAlign w:val="center"/>
          </w:tcPr>
          <w:p w14:paraId="2F29DA85" w14:textId="4954DA13" w:rsidR="00E54E83" w:rsidRPr="008650ED" w:rsidRDefault="00E54E83" w:rsidP="00780608">
            <w:pPr>
              <w:spacing w:before="20" w:after="20" w:line="240" w:lineRule="auto"/>
              <w:rPr>
                <w:rFonts w:eastAsia="Times New Roman" w:cs="Calibri"/>
                <w:color w:val="FFFFFF" w:themeColor="background1"/>
                <w:sz w:val="16"/>
                <w:szCs w:val="16"/>
              </w:rPr>
            </w:pPr>
            <w:r w:rsidRPr="008650ED">
              <w:rPr>
                <w:rFonts w:eastAsia="Times New Roman" w:cs="Calibri"/>
                <w:color w:val="FFFFFF" w:themeColor="background1"/>
                <w:sz w:val="16"/>
                <w:szCs w:val="16"/>
              </w:rPr>
              <w:t>T</w:t>
            </w:r>
            <w:r w:rsidR="003645EC">
              <w:rPr>
                <w:rFonts w:eastAsia="Times New Roman" w:cs="Calibri"/>
                <w:color w:val="FFFFFF" w:themeColor="background1"/>
                <w:sz w:val="16"/>
                <w:szCs w:val="16"/>
              </w:rPr>
              <w:t>otals</w:t>
            </w:r>
          </w:p>
        </w:tc>
        <w:tc>
          <w:tcPr>
            <w:tcW w:w="1322" w:type="dxa"/>
            <w:shd w:val="clear" w:color="auto" w:fill="2363AF"/>
            <w:vAlign w:val="center"/>
          </w:tcPr>
          <w:p w14:paraId="73B0E553"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10,694,439</w:t>
            </w:r>
          </w:p>
        </w:tc>
        <w:tc>
          <w:tcPr>
            <w:tcW w:w="1465" w:type="dxa"/>
            <w:shd w:val="clear" w:color="auto" w:fill="2363AF"/>
            <w:vAlign w:val="center"/>
          </w:tcPr>
          <w:p w14:paraId="645A8627"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9,938,947</w:t>
            </w:r>
          </w:p>
        </w:tc>
        <w:tc>
          <w:tcPr>
            <w:tcW w:w="1465" w:type="dxa"/>
            <w:shd w:val="clear" w:color="auto" w:fill="2363AF"/>
            <w:vAlign w:val="center"/>
          </w:tcPr>
          <w:p w14:paraId="7FD980AC"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21,202</w:t>
            </w:r>
          </w:p>
        </w:tc>
        <w:tc>
          <w:tcPr>
            <w:tcW w:w="1418" w:type="dxa"/>
            <w:shd w:val="clear" w:color="auto" w:fill="2363AF"/>
            <w:vAlign w:val="center"/>
          </w:tcPr>
          <w:p w14:paraId="562A4603"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243,693</w:t>
            </w:r>
          </w:p>
        </w:tc>
        <w:tc>
          <w:tcPr>
            <w:tcW w:w="1511" w:type="dxa"/>
            <w:shd w:val="clear" w:color="auto" w:fill="2363AF"/>
            <w:vAlign w:val="center"/>
          </w:tcPr>
          <w:p w14:paraId="2ECCC0ED"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£19,754,039.92</w:t>
            </w:r>
          </w:p>
        </w:tc>
        <w:tc>
          <w:tcPr>
            <w:tcW w:w="1465" w:type="dxa"/>
            <w:shd w:val="clear" w:color="auto" w:fill="2363AF"/>
            <w:vAlign w:val="center"/>
          </w:tcPr>
          <w:p w14:paraId="001203CA"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£4,546,397.47</w:t>
            </w:r>
          </w:p>
        </w:tc>
      </w:tr>
    </w:tbl>
    <w:p w14:paraId="7439E278" w14:textId="77777777" w:rsidR="00E54E83" w:rsidRPr="006B3AC6" w:rsidRDefault="00E54E83" w:rsidP="00E54E83">
      <w:pPr>
        <w:rPr>
          <w:rFonts w:cstheme="minorHAnsi"/>
        </w:rPr>
      </w:pPr>
    </w:p>
    <w:p w14:paraId="7B44C0B9" w14:textId="77777777" w:rsidR="003645EC" w:rsidRDefault="003645EC">
      <w:pPr>
        <w:spacing w:line="276" w:lineRule="auto"/>
        <w:rPr>
          <w:rFonts w:cstheme="minorHAnsi"/>
          <w:b/>
          <w:color w:val="000000" w:themeColor="text1"/>
        </w:rPr>
      </w:pPr>
      <w:r>
        <w:rPr>
          <w:rFonts w:cstheme="minorHAnsi"/>
          <w:b/>
          <w:color w:val="000000" w:themeColor="text1"/>
        </w:rPr>
        <w:br w:type="page"/>
      </w:r>
    </w:p>
    <w:p w14:paraId="6BB20828" w14:textId="2B707241" w:rsidR="00E54E83" w:rsidRPr="006B3AC6" w:rsidRDefault="00E54E83" w:rsidP="00E54E83">
      <w:pPr>
        <w:rPr>
          <w:rFonts w:cstheme="minorHAnsi"/>
          <w:b/>
          <w:color w:val="004125"/>
        </w:rPr>
      </w:pPr>
      <w:r w:rsidRPr="006B3AC6">
        <w:rPr>
          <w:rFonts w:cstheme="minorHAnsi"/>
          <w:b/>
          <w:color w:val="000000" w:themeColor="text1"/>
        </w:rPr>
        <w:lastRenderedPageBreak/>
        <w:t>Table A</w:t>
      </w:r>
      <w:r>
        <w:rPr>
          <w:rFonts w:cstheme="minorHAnsi"/>
          <w:b/>
          <w:color w:val="000000" w:themeColor="text1"/>
        </w:rPr>
        <w:t>1</w:t>
      </w:r>
      <w:r w:rsidRPr="006B3AC6">
        <w:rPr>
          <w:rFonts w:cstheme="minorHAnsi"/>
          <w:b/>
          <w:color w:val="000000" w:themeColor="text1"/>
        </w:rPr>
        <w:t>.4: Compliance by licensee</w:t>
      </w:r>
      <w:r w:rsidRPr="006B3AC6">
        <w:rPr>
          <w:rStyle w:val="FootnoteReference"/>
          <w:rFonts w:cstheme="minorHAnsi"/>
          <w:b/>
          <w:color w:val="000000" w:themeColor="text1"/>
        </w:rPr>
        <w:footnoteReference w:id="103"/>
      </w:r>
      <w:r w:rsidRPr="006B3AC6">
        <w:rPr>
          <w:rFonts w:cstheme="minorHAnsi"/>
          <w:b/>
          <w:color w:val="000000" w:themeColor="text1"/>
        </w:rPr>
        <w:t xml:space="preserve"> with the RO (Northern Ireland) </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418"/>
        <w:gridCol w:w="1134"/>
        <w:gridCol w:w="1417"/>
        <w:gridCol w:w="1418"/>
        <w:gridCol w:w="1559"/>
        <w:gridCol w:w="1417"/>
      </w:tblGrid>
      <w:tr w:rsidR="00E54E83" w:rsidRPr="006B3AC6" w14:paraId="2773A799" w14:textId="77777777" w:rsidTr="00780608">
        <w:trPr>
          <w:trHeight w:val="567"/>
        </w:trPr>
        <w:tc>
          <w:tcPr>
            <w:tcW w:w="2269" w:type="dxa"/>
            <w:shd w:val="clear" w:color="auto" w:fill="2363AF"/>
            <w:vAlign w:val="center"/>
            <w:hideMark/>
          </w:tcPr>
          <w:p w14:paraId="27EFDC65" w14:textId="77777777" w:rsidR="00E54E83" w:rsidRPr="008650ED" w:rsidRDefault="00E54E83" w:rsidP="00780608">
            <w:pPr>
              <w:spacing w:after="0" w:line="240" w:lineRule="auto"/>
              <w:rPr>
                <w:rFonts w:eastAsia="Times New Roman" w:cs="Calibri"/>
                <w:color w:val="FFFFFF" w:themeColor="background1"/>
                <w:sz w:val="16"/>
                <w:szCs w:val="16"/>
              </w:rPr>
            </w:pPr>
            <w:r w:rsidRPr="008650ED">
              <w:rPr>
                <w:rFonts w:eastAsia="Times New Roman" w:cs="Calibri"/>
                <w:color w:val="FFFFFF" w:themeColor="background1"/>
                <w:sz w:val="16"/>
                <w:szCs w:val="16"/>
              </w:rPr>
              <w:t>License</w:t>
            </w:r>
          </w:p>
        </w:tc>
        <w:tc>
          <w:tcPr>
            <w:tcW w:w="1418" w:type="dxa"/>
            <w:shd w:val="clear" w:color="auto" w:fill="2363AF"/>
            <w:vAlign w:val="center"/>
            <w:hideMark/>
          </w:tcPr>
          <w:p w14:paraId="37E6DDE4" w14:textId="573EEFE8"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 xml:space="preserve">Obligation </w:t>
            </w:r>
            <w:r w:rsidRPr="008650ED">
              <w:rPr>
                <w:rFonts w:eastAsia="Times New Roman" w:cs="Calibri"/>
                <w:color w:val="FFFFFF" w:themeColor="background1"/>
                <w:sz w:val="16"/>
                <w:szCs w:val="16"/>
              </w:rPr>
              <w:br/>
              <w:t>(ROCs)</w:t>
            </w:r>
          </w:p>
        </w:tc>
        <w:tc>
          <w:tcPr>
            <w:tcW w:w="1134" w:type="dxa"/>
            <w:shd w:val="clear" w:color="auto" w:fill="2363AF"/>
            <w:vAlign w:val="center"/>
            <w:hideMark/>
          </w:tcPr>
          <w:p w14:paraId="2EDB4D72"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Total ROCs presented</w:t>
            </w:r>
          </w:p>
        </w:tc>
        <w:tc>
          <w:tcPr>
            <w:tcW w:w="1417" w:type="dxa"/>
            <w:shd w:val="clear" w:color="auto" w:fill="2363AF"/>
            <w:vAlign w:val="center"/>
            <w:hideMark/>
          </w:tcPr>
          <w:p w14:paraId="2E36CB2F"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Bioliquid ROCs presented</w:t>
            </w:r>
          </w:p>
        </w:tc>
        <w:tc>
          <w:tcPr>
            <w:tcW w:w="1418" w:type="dxa"/>
            <w:shd w:val="clear" w:color="auto" w:fill="2363AF"/>
            <w:vAlign w:val="center"/>
            <w:hideMark/>
          </w:tcPr>
          <w:p w14:paraId="071D8978"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Banked ROCs presented</w:t>
            </w:r>
          </w:p>
        </w:tc>
        <w:tc>
          <w:tcPr>
            <w:tcW w:w="1559" w:type="dxa"/>
            <w:shd w:val="clear" w:color="auto" w:fill="2363AF"/>
            <w:vAlign w:val="center"/>
            <w:hideMark/>
          </w:tcPr>
          <w:p w14:paraId="132F6756"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Buyout Payments Made</w:t>
            </w:r>
          </w:p>
        </w:tc>
        <w:tc>
          <w:tcPr>
            <w:tcW w:w="1417" w:type="dxa"/>
            <w:shd w:val="clear" w:color="auto" w:fill="2363AF"/>
            <w:vAlign w:val="center"/>
            <w:hideMark/>
          </w:tcPr>
          <w:p w14:paraId="1C9BFE33" w14:textId="77777777" w:rsidR="00E54E83" w:rsidRPr="008650ED" w:rsidRDefault="00E54E83" w:rsidP="00780608">
            <w:pPr>
              <w:spacing w:after="0" w:line="240" w:lineRule="auto"/>
              <w:jc w:val="right"/>
              <w:rPr>
                <w:rFonts w:eastAsia="Times New Roman" w:cs="Calibri"/>
                <w:color w:val="FFFFFF" w:themeColor="background1"/>
                <w:sz w:val="16"/>
                <w:szCs w:val="16"/>
              </w:rPr>
            </w:pPr>
            <w:r w:rsidRPr="008650ED">
              <w:rPr>
                <w:rFonts w:eastAsia="Times New Roman" w:cs="Calibri"/>
                <w:color w:val="FFFFFF" w:themeColor="background1"/>
                <w:sz w:val="16"/>
                <w:szCs w:val="16"/>
              </w:rPr>
              <w:t>Late Payments Made</w:t>
            </w:r>
          </w:p>
        </w:tc>
      </w:tr>
      <w:tr w:rsidR="00E54E83" w:rsidRPr="006B3AC6" w14:paraId="06DDE12E" w14:textId="77777777" w:rsidTr="00780608">
        <w:trPr>
          <w:trHeight w:val="401"/>
        </w:trPr>
        <w:tc>
          <w:tcPr>
            <w:tcW w:w="2269" w:type="dxa"/>
            <w:shd w:val="clear" w:color="auto" w:fill="auto"/>
            <w:noWrap/>
            <w:vAlign w:val="center"/>
            <w:hideMark/>
          </w:tcPr>
          <w:p w14:paraId="1AF14D7C"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 xml:space="preserve">3T Power Ltd </w:t>
            </w:r>
          </w:p>
        </w:tc>
        <w:tc>
          <w:tcPr>
            <w:tcW w:w="1418" w:type="dxa"/>
            <w:shd w:val="clear" w:color="auto" w:fill="auto"/>
            <w:noWrap/>
            <w:vAlign w:val="center"/>
            <w:hideMark/>
          </w:tcPr>
          <w:p w14:paraId="36364AAA" w14:textId="018B12D1"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13</w:t>
            </w:r>
            <w:r w:rsidR="00007C9D">
              <w:rPr>
                <w:rFonts w:eastAsia="Times New Roman" w:cstheme="minorHAnsi"/>
                <w:color w:val="000000"/>
                <w:sz w:val="16"/>
                <w:szCs w:val="16"/>
              </w:rPr>
              <w:t>,</w:t>
            </w:r>
            <w:r w:rsidRPr="002E3196">
              <w:rPr>
                <w:rFonts w:eastAsia="Times New Roman" w:cstheme="minorHAnsi"/>
                <w:color w:val="000000"/>
                <w:sz w:val="16"/>
                <w:szCs w:val="16"/>
              </w:rPr>
              <w:t>439</w:t>
            </w:r>
          </w:p>
        </w:tc>
        <w:tc>
          <w:tcPr>
            <w:tcW w:w="1134" w:type="dxa"/>
            <w:shd w:val="clear" w:color="auto" w:fill="auto"/>
            <w:noWrap/>
            <w:vAlign w:val="center"/>
            <w:hideMark/>
          </w:tcPr>
          <w:p w14:paraId="5BDB3393" w14:textId="048FCC12"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13</w:t>
            </w:r>
            <w:r w:rsidR="00007C9D">
              <w:rPr>
                <w:rFonts w:eastAsia="Times New Roman" w:cstheme="minorHAnsi"/>
                <w:color w:val="000000"/>
                <w:sz w:val="16"/>
                <w:szCs w:val="16"/>
              </w:rPr>
              <w:t>,</w:t>
            </w:r>
            <w:r w:rsidRPr="002E3196">
              <w:rPr>
                <w:rFonts w:eastAsia="Times New Roman" w:cstheme="minorHAnsi"/>
                <w:color w:val="000000"/>
                <w:sz w:val="16"/>
                <w:szCs w:val="16"/>
              </w:rPr>
              <w:t>439</w:t>
            </w:r>
          </w:p>
        </w:tc>
        <w:tc>
          <w:tcPr>
            <w:tcW w:w="1417" w:type="dxa"/>
            <w:shd w:val="clear" w:color="auto" w:fill="auto"/>
            <w:noWrap/>
            <w:vAlign w:val="center"/>
            <w:hideMark/>
          </w:tcPr>
          <w:p w14:paraId="035663C0"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243D6BF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15</w:t>
            </w:r>
          </w:p>
        </w:tc>
        <w:tc>
          <w:tcPr>
            <w:tcW w:w="1559" w:type="dxa"/>
            <w:shd w:val="clear" w:color="auto" w:fill="auto"/>
            <w:noWrap/>
            <w:vAlign w:val="center"/>
            <w:hideMark/>
          </w:tcPr>
          <w:p w14:paraId="63635A1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7584E8A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3D5BE317" w14:textId="77777777" w:rsidTr="00780608">
        <w:trPr>
          <w:trHeight w:val="401"/>
        </w:trPr>
        <w:tc>
          <w:tcPr>
            <w:tcW w:w="2269" w:type="dxa"/>
            <w:shd w:val="clear" w:color="auto" w:fill="auto"/>
            <w:noWrap/>
            <w:vAlign w:val="center"/>
            <w:hideMark/>
          </w:tcPr>
          <w:p w14:paraId="09145018"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Bright Energy</w:t>
            </w:r>
          </w:p>
        </w:tc>
        <w:tc>
          <w:tcPr>
            <w:tcW w:w="1418" w:type="dxa"/>
            <w:shd w:val="clear" w:color="auto" w:fill="auto"/>
            <w:noWrap/>
            <w:vAlign w:val="center"/>
            <w:hideMark/>
          </w:tcPr>
          <w:p w14:paraId="6B516CE7"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53</w:t>
            </w:r>
          </w:p>
        </w:tc>
        <w:tc>
          <w:tcPr>
            <w:tcW w:w="1134" w:type="dxa"/>
            <w:shd w:val="clear" w:color="auto" w:fill="auto"/>
            <w:noWrap/>
            <w:vAlign w:val="center"/>
            <w:hideMark/>
          </w:tcPr>
          <w:p w14:paraId="2DCBBEFF"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53</w:t>
            </w:r>
          </w:p>
        </w:tc>
        <w:tc>
          <w:tcPr>
            <w:tcW w:w="1417" w:type="dxa"/>
            <w:shd w:val="clear" w:color="auto" w:fill="auto"/>
            <w:noWrap/>
            <w:vAlign w:val="center"/>
            <w:hideMark/>
          </w:tcPr>
          <w:p w14:paraId="7C6B17D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337DD5AA"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559" w:type="dxa"/>
            <w:shd w:val="clear" w:color="auto" w:fill="auto"/>
            <w:noWrap/>
            <w:vAlign w:val="center"/>
            <w:hideMark/>
          </w:tcPr>
          <w:p w14:paraId="7D7AB6B1"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67BF9FA1"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6194205B" w14:textId="77777777" w:rsidTr="00780608">
        <w:trPr>
          <w:trHeight w:val="401"/>
        </w:trPr>
        <w:tc>
          <w:tcPr>
            <w:tcW w:w="2269" w:type="dxa"/>
            <w:shd w:val="clear" w:color="auto" w:fill="auto"/>
            <w:noWrap/>
            <w:vAlign w:val="center"/>
            <w:hideMark/>
          </w:tcPr>
          <w:p w14:paraId="0923D003"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Budget Energy Ltd</w:t>
            </w:r>
          </w:p>
        </w:tc>
        <w:tc>
          <w:tcPr>
            <w:tcW w:w="1418" w:type="dxa"/>
            <w:shd w:val="clear" w:color="auto" w:fill="auto"/>
            <w:noWrap/>
            <w:vAlign w:val="center"/>
            <w:hideMark/>
          </w:tcPr>
          <w:p w14:paraId="3DEFB0B9" w14:textId="3436C739"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60</w:t>
            </w:r>
            <w:r w:rsidR="00007C9D">
              <w:rPr>
                <w:rFonts w:eastAsia="Times New Roman" w:cstheme="minorHAnsi"/>
                <w:color w:val="000000"/>
                <w:sz w:val="16"/>
                <w:szCs w:val="16"/>
              </w:rPr>
              <w:t>,</w:t>
            </w:r>
            <w:r w:rsidRPr="002E3196">
              <w:rPr>
                <w:rFonts w:eastAsia="Times New Roman" w:cstheme="minorHAnsi"/>
                <w:color w:val="000000"/>
                <w:sz w:val="16"/>
                <w:szCs w:val="16"/>
              </w:rPr>
              <w:t>393</w:t>
            </w:r>
          </w:p>
        </w:tc>
        <w:tc>
          <w:tcPr>
            <w:tcW w:w="1134" w:type="dxa"/>
            <w:shd w:val="clear" w:color="auto" w:fill="auto"/>
            <w:noWrap/>
            <w:vAlign w:val="center"/>
            <w:hideMark/>
          </w:tcPr>
          <w:p w14:paraId="2F5B7470" w14:textId="26BB26DE"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60</w:t>
            </w:r>
            <w:r w:rsidR="00007C9D">
              <w:rPr>
                <w:rFonts w:eastAsia="Times New Roman" w:cstheme="minorHAnsi"/>
                <w:color w:val="000000"/>
                <w:sz w:val="16"/>
                <w:szCs w:val="16"/>
              </w:rPr>
              <w:t>,</w:t>
            </w:r>
            <w:r w:rsidRPr="002E3196">
              <w:rPr>
                <w:rFonts w:eastAsia="Times New Roman" w:cstheme="minorHAnsi"/>
                <w:color w:val="000000"/>
                <w:sz w:val="16"/>
                <w:szCs w:val="16"/>
              </w:rPr>
              <w:t>393</w:t>
            </w:r>
          </w:p>
        </w:tc>
        <w:tc>
          <w:tcPr>
            <w:tcW w:w="1417" w:type="dxa"/>
            <w:shd w:val="clear" w:color="auto" w:fill="auto"/>
            <w:noWrap/>
            <w:vAlign w:val="center"/>
            <w:hideMark/>
          </w:tcPr>
          <w:p w14:paraId="628EAE3F"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16BFA49F"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546</w:t>
            </w:r>
          </w:p>
        </w:tc>
        <w:tc>
          <w:tcPr>
            <w:tcW w:w="1559" w:type="dxa"/>
            <w:shd w:val="clear" w:color="auto" w:fill="auto"/>
            <w:noWrap/>
            <w:vAlign w:val="center"/>
            <w:hideMark/>
          </w:tcPr>
          <w:p w14:paraId="511B134B"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16C0128B"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67918334" w14:textId="77777777" w:rsidTr="00780608">
        <w:trPr>
          <w:trHeight w:val="401"/>
        </w:trPr>
        <w:tc>
          <w:tcPr>
            <w:tcW w:w="2269" w:type="dxa"/>
            <w:shd w:val="clear" w:color="auto" w:fill="auto"/>
            <w:noWrap/>
            <w:vAlign w:val="center"/>
            <w:hideMark/>
          </w:tcPr>
          <w:p w14:paraId="0AAA364D"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 xml:space="preserve">Click Energy </w:t>
            </w:r>
          </w:p>
        </w:tc>
        <w:tc>
          <w:tcPr>
            <w:tcW w:w="1418" w:type="dxa"/>
            <w:shd w:val="clear" w:color="auto" w:fill="auto"/>
            <w:noWrap/>
            <w:vAlign w:val="center"/>
            <w:hideMark/>
          </w:tcPr>
          <w:p w14:paraId="3EF1E963" w14:textId="5A316A1C"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21</w:t>
            </w:r>
            <w:r w:rsidR="00007C9D">
              <w:rPr>
                <w:rFonts w:eastAsia="Times New Roman" w:cstheme="minorHAnsi"/>
                <w:color w:val="000000"/>
                <w:sz w:val="16"/>
                <w:szCs w:val="16"/>
              </w:rPr>
              <w:t>,</w:t>
            </w:r>
            <w:r w:rsidRPr="002E3196">
              <w:rPr>
                <w:rFonts w:eastAsia="Times New Roman" w:cstheme="minorHAnsi"/>
                <w:color w:val="000000"/>
                <w:sz w:val="16"/>
                <w:szCs w:val="16"/>
              </w:rPr>
              <w:t>262</w:t>
            </w:r>
          </w:p>
        </w:tc>
        <w:tc>
          <w:tcPr>
            <w:tcW w:w="1134" w:type="dxa"/>
            <w:shd w:val="clear" w:color="auto" w:fill="auto"/>
            <w:noWrap/>
            <w:vAlign w:val="center"/>
            <w:hideMark/>
          </w:tcPr>
          <w:p w14:paraId="6193446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7" w:type="dxa"/>
            <w:shd w:val="clear" w:color="auto" w:fill="auto"/>
            <w:noWrap/>
            <w:vAlign w:val="center"/>
            <w:hideMark/>
          </w:tcPr>
          <w:p w14:paraId="69B3B0D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2D93A290"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559" w:type="dxa"/>
            <w:shd w:val="clear" w:color="auto" w:fill="auto"/>
            <w:noWrap/>
            <w:vAlign w:val="center"/>
            <w:hideMark/>
          </w:tcPr>
          <w:p w14:paraId="13D03739"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£250,000.00</w:t>
            </w:r>
          </w:p>
        </w:tc>
        <w:tc>
          <w:tcPr>
            <w:tcW w:w="1417" w:type="dxa"/>
            <w:shd w:val="clear" w:color="auto" w:fill="auto"/>
            <w:noWrap/>
            <w:vAlign w:val="center"/>
            <w:hideMark/>
          </w:tcPr>
          <w:p w14:paraId="35E32F1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£820,874.93</w:t>
            </w:r>
          </w:p>
        </w:tc>
      </w:tr>
      <w:tr w:rsidR="00E54E83" w:rsidRPr="006B3AC6" w14:paraId="518036B3" w14:textId="77777777" w:rsidTr="00780608">
        <w:trPr>
          <w:trHeight w:val="401"/>
        </w:trPr>
        <w:tc>
          <w:tcPr>
            <w:tcW w:w="2269" w:type="dxa"/>
            <w:shd w:val="clear" w:color="auto" w:fill="auto"/>
            <w:noWrap/>
            <w:vAlign w:val="center"/>
            <w:hideMark/>
          </w:tcPr>
          <w:p w14:paraId="54634E89"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Electric Ireland</w:t>
            </w:r>
          </w:p>
        </w:tc>
        <w:tc>
          <w:tcPr>
            <w:tcW w:w="1418" w:type="dxa"/>
            <w:shd w:val="clear" w:color="auto" w:fill="auto"/>
            <w:noWrap/>
            <w:vAlign w:val="center"/>
            <w:hideMark/>
          </w:tcPr>
          <w:p w14:paraId="00C8C626" w14:textId="451B7F0F"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328</w:t>
            </w:r>
            <w:r w:rsidR="00007C9D">
              <w:rPr>
                <w:rFonts w:eastAsia="Times New Roman" w:cstheme="minorHAnsi"/>
                <w:color w:val="000000"/>
                <w:sz w:val="16"/>
                <w:szCs w:val="16"/>
              </w:rPr>
              <w:t>,</w:t>
            </w:r>
            <w:r w:rsidRPr="002E3196">
              <w:rPr>
                <w:rFonts w:eastAsia="Times New Roman" w:cstheme="minorHAnsi"/>
                <w:color w:val="000000"/>
                <w:sz w:val="16"/>
                <w:szCs w:val="16"/>
              </w:rPr>
              <w:t>770</w:t>
            </w:r>
          </w:p>
        </w:tc>
        <w:tc>
          <w:tcPr>
            <w:tcW w:w="1134" w:type="dxa"/>
            <w:shd w:val="clear" w:color="auto" w:fill="auto"/>
            <w:noWrap/>
            <w:vAlign w:val="center"/>
            <w:hideMark/>
          </w:tcPr>
          <w:p w14:paraId="31665441" w14:textId="297B382E"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328</w:t>
            </w:r>
            <w:r w:rsidR="00007C9D">
              <w:rPr>
                <w:rFonts w:eastAsia="Times New Roman" w:cstheme="minorHAnsi"/>
                <w:color w:val="000000"/>
                <w:sz w:val="16"/>
                <w:szCs w:val="16"/>
              </w:rPr>
              <w:t>,</w:t>
            </w:r>
            <w:r w:rsidRPr="002E3196">
              <w:rPr>
                <w:rFonts w:eastAsia="Times New Roman" w:cstheme="minorHAnsi"/>
                <w:color w:val="000000"/>
                <w:sz w:val="16"/>
                <w:szCs w:val="16"/>
              </w:rPr>
              <w:t>770</w:t>
            </w:r>
          </w:p>
        </w:tc>
        <w:tc>
          <w:tcPr>
            <w:tcW w:w="1417" w:type="dxa"/>
            <w:shd w:val="clear" w:color="auto" w:fill="auto"/>
            <w:noWrap/>
            <w:vAlign w:val="center"/>
            <w:hideMark/>
          </w:tcPr>
          <w:p w14:paraId="3DBB2126"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4EF3847C" w14:textId="5E4A1CFC"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12</w:t>
            </w:r>
            <w:r w:rsidR="00007C9D">
              <w:rPr>
                <w:rFonts w:eastAsia="Times New Roman" w:cstheme="minorHAnsi"/>
                <w:color w:val="000000"/>
                <w:sz w:val="16"/>
                <w:szCs w:val="16"/>
              </w:rPr>
              <w:t>,</w:t>
            </w:r>
            <w:r w:rsidRPr="002E3196">
              <w:rPr>
                <w:rFonts w:eastAsia="Times New Roman" w:cstheme="minorHAnsi"/>
                <w:color w:val="000000"/>
                <w:sz w:val="16"/>
                <w:szCs w:val="16"/>
              </w:rPr>
              <w:t>036</w:t>
            </w:r>
          </w:p>
        </w:tc>
        <w:tc>
          <w:tcPr>
            <w:tcW w:w="1559" w:type="dxa"/>
            <w:shd w:val="clear" w:color="auto" w:fill="auto"/>
            <w:noWrap/>
            <w:vAlign w:val="center"/>
            <w:hideMark/>
          </w:tcPr>
          <w:p w14:paraId="6F2E6AC0"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62C2428E"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03488E2C" w14:textId="77777777" w:rsidTr="00780608">
        <w:trPr>
          <w:trHeight w:val="401"/>
        </w:trPr>
        <w:tc>
          <w:tcPr>
            <w:tcW w:w="2269" w:type="dxa"/>
            <w:shd w:val="clear" w:color="auto" w:fill="auto"/>
            <w:noWrap/>
            <w:vAlign w:val="center"/>
            <w:hideMark/>
          </w:tcPr>
          <w:p w14:paraId="3EBF4732"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 xml:space="preserve">LCC Power Ltd </w:t>
            </w:r>
          </w:p>
        </w:tc>
        <w:tc>
          <w:tcPr>
            <w:tcW w:w="1418" w:type="dxa"/>
            <w:shd w:val="clear" w:color="auto" w:fill="auto"/>
            <w:noWrap/>
            <w:vAlign w:val="center"/>
            <w:hideMark/>
          </w:tcPr>
          <w:p w14:paraId="4B1B1EA8" w14:textId="7781EB8E"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107</w:t>
            </w:r>
            <w:r w:rsidR="00007C9D">
              <w:rPr>
                <w:rFonts w:eastAsia="Times New Roman" w:cstheme="minorHAnsi"/>
                <w:color w:val="000000"/>
                <w:sz w:val="16"/>
                <w:szCs w:val="16"/>
              </w:rPr>
              <w:t>,</w:t>
            </w:r>
            <w:r w:rsidRPr="002E3196">
              <w:rPr>
                <w:rFonts w:eastAsia="Times New Roman" w:cstheme="minorHAnsi"/>
                <w:color w:val="000000"/>
                <w:sz w:val="16"/>
                <w:szCs w:val="16"/>
              </w:rPr>
              <w:t>907</w:t>
            </w:r>
          </w:p>
        </w:tc>
        <w:tc>
          <w:tcPr>
            <w:tcW w:w="1134" w:type="dxa"/>
            <w:shd w:val="clear" w:color="auto" w:fill="auto"/>
            <w:noWrap/>
            <w:vAlign w:val="center"/>
            <w:hideMark/>
          </w:tcPr>
          <w:p w14:paraId="6A73F689" w14:textId="5D665261"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102</w:t>
            </w:r>
            <w:r w:rsidR="00007C9D">
              <w:rPr>
                <w:rFonts w:eastAsia="Times New Roman" w:cstheme="minorHAnsi"/>
                <w:color w:val="000000"/>
                <w:sz w:val="16"/>
                <w:szCs w:val="16"/>
              </w:rPr>
              <w:t>,</w:t>
            </w:r>
            <w:r w:rsidRPr="002E3196">
              <w:rPr>
                <w:rFonts w:eastAsia="Times New Roman" w:cstheme="minorHAnsi"/>
                <w:color w:val="000000"/>
                <w:sz w:val="16"/>
                <w:szCs w:val="16"/>
              </w:rPr>
              <w:t>633</w:t>
            </w:r>
          </w:p>
        </w:tc>
        <w:tc>
          <w:tcPr>
            <w:tcW w:w="1417" w:type="dxa"/>
            <w:shd w:val="clear" w:color="auto" w:fill="auto"/>
            <w:noWrap/>
            <w:vAlign w:val="center"/>
            <w:hideMark/>
          </w:tcPr>
          <w:p w14:paraId="7DC5C7FF"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279686DC"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853</w:t>
            </w:r>
          </w:p>
        </w:tc>
        <w:tc>
          <w:tcPr>
            <w:tcW w:w="1559" w:type="dxa"/>
            <w:shd w:val="clear" w:color="auto" w:fill="auto"/>
            <w:noWrap/>
            <w:vAlign w:val="center"/>
            <w:hideMark/>
          </w:tcPr>
          <w:p w14:paraId="54C07E43"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£263,963.70</w:t>
            </w:r>
          </w:p>
        </w:tc>
        <w:tc>
          <w:tcPr>
            <w:tcW w:w="1417" w:type="dxa"/>
            <w:shd w:val="clear" w:color="auto" w:fill="auto"/>
            <w:noWrap/>
            <w:vAlign w:val="center"/>
            <w:hideMark/>
          </w:tcPr>
          <w:p w14:paraId="77B8B018"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2754BFE5" w14:textId="77777777" w:rsidTr="00780608">
        <w:trPr>
          <w:trHeight w:val="401"/>
        </w:trPr>
        <w:tc>
          <w:tcPr>
            <w:tcW w:w="2269" w:type="dxa"/>
            <w:shd w:val="clear" w:color="auto" w:fill="auto"/>
            <w:noWrap/>
            <w:vAlign w:val="center"/>
            <w:hideMark/>
          </w:tcPr>
          <w:p w14:paraId="1182CE6E" w14:textId="77777777" w:rsidR="00E54E83" w:rsidRPr="002E3196" w:rsidRDefault="00E54E83">
            <w:pPr>
              <w:spacing w:after="0" w:line="240" w:lineRule="auto"/>
              <w:rPr>
                <w:rFonts w:eastAsia="Times New Roman" w:cstheme="minorHAnsi"/>
                <w:color w:val="000000"/>
                <w:sz w:val="16"/>
                <w:szCs w:val="16"/>
              </w:rPr>
            </w:pPr>
            <w:proofErr w:type="spellStart"/>
            <w:r w:rsidRPr="002E3196">
              <w:rPr>
                <w:rFonts w:eastAsia="Times New Roman" w:cstheme="minorHAnsi"/>
                <w:color w:val="000000"/>
                <w:sz w:val="16"/>
                <w:szCs w:val="16"/>
              </w:rPr>
              <w:t>Naturgy</w:t>
            </w:r>
            <w:proofErr w:type="spellEnd"/>
            <w:r w:rsidRPr="002E3196">
              <w:rPr>
                <w:rFonts w:eastAsia="Times New Roman" w:cstheme="minorHAnsi"/>
                <w:color w:val="000000"/>
                <w:sz w:val="16"/>
                <w:szCs w:val="16"/>
              </w:rPr>
              <w:t xml:space="preserve"> Ltd</w:t>
            </w:r>
          </w:p>
        </w:tc>
        <w:tc>
          <w:tcPr>
            <w:tcW w:w="1418" w:type="dxa"/>
            <w:shd w:val="clear" w:color="auto" w:fill="auto"/>
            <w:noWrap/>
            <w:vAlign w:val="center"/>
            <w:hideMark/>
          </w:tcPr>
          <w:p w14:paraId="62361E63" w14:textId="3D43BAAD"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5</w:t>
            </w:r>
            <w:r w:rsidR="00007C9D">
              <w:rPr>
                <w:rFonts w:eastAsia="Times New Roman" w:cstheme="minorHAnsi"/>
                <w:color w:val="000000"/>
                <w:sz w:val="16"/>
                <w:szCs w:val="16"/>
              </w:rPr>
              <w:t>,</w:t>
            </w:r>
            <w:r w:rsidRPr="002E3196">
              <w:rPr>
                <w:rFonts w:eastAsia="Times New Roman" w:cstheme="minorHAnsi"/>
                <w:color w:val="000000"/>
                <w:sz w:val="16"/>
                <w:szCs w:val="16"/>
              </w:rPr>
              <w:t>562</w:t>
            </w:r>
          </w:p>
        </w:tc>
        <w:tc>
          <w:tcPr>
            <w:tcW w:w="1134" w:type="dxa"/>
            <w:shd w:val="clear" w:color="auto" w:fill="auto"/>
            <w:noWrap/>
            <w:vAlign w:val="center"/>
            <w:hideMark/>
          </w:tcPr>
          <w:p w14:paraId="5138B74C"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7" w:type="dxa"/>
            <w:shd w:val="clear" w:color="auto" w:fill="auto"/>
            <w:noWrap/>
            <w:vAlign w:val="center"/>
            <w:hideMark/>
          </w:tcPr>
          <w:p w14:paraId="07DCB7B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398026BE"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559" w:type="dxa"/>
            <w:shd w:val="clear" w:color="auto" w:fill="auto"/>
            <w:noWrap/>
            <w:vAlign w:val="center"/>
            <w:hideMark/>
          </w:tcPr>
          <w:p w14:paraId="045B234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£278,378.10</w:t>
            </w:r>
          </w:p>
        </w:tc>
        <w:tc>
          <w:tcPr>
            <w:tcW w:w="1417" w:type="dxa"/>
            <w:shd w:val="clear" w:color="auto" w:fill="auto"/>
            <w:noWrap/>
            <w:vAlign w:val="center"/>
            <w:hideMark/>
          </w:tcPr>
          <w:p w14:paraId="37648BD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59E2A6D3" w14:textId="77777777" w:rsidTr="00780608">
        <w:trPr>
          <w:trHeight w:val="401"/>
        </w:trPr>
        <w:tc>
          <w:tcPr>
            <w:tcW w:w="2269" w:type="dxa"/>
            <w:shd w:val="clear" w:color="auto" w:fill="auto"/>
            <w:noWrap/>
            <w:vAlign w:val="center"/>
            <w:hideMark/>
          </w:tcPr>
          <w:p w14:paraId="79528E67"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Power NI Energy Ltd</w:t>
            </w:r>
          </w:p>
        </w:tc>
        <w:tc>
          <w:tcPr>
            <w:tcW w:w="1418" w:type="dxa"/>
            <w:shd w:val="clear" w:color="auto" w:fill="auto"/>
            <w:noWrap/>
            <w:vAlign w:val="center"/>
            <w:hideMark/>
          </w:tcPr>
          <w:p w14:paraId="6F2DF9EE" w14:textId="1111B8FF"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442</w:t>
            </w:r>
            <w:r w:rsidR="00007C9D">
              <w:rPr>
                <w:rFonts w:eastAsia="Times New Roman" w:cstheme="minorHAnsi"/>
                <w:color w:val="000000"/>
                <w:sz w:val="16"/>
                <w:szCs w:val="16"/>
              </w:rPr>
              <w:t>,</w:t>
            </w:r>
            <w:r w:rsidRPr="002E3196">
              <w:rPr>
                <w:rFonts w:eastAsia="Times New Roman" w:cstheme="minorHAnsi"/>
                <w:color w:val="000000"/>
                <w:sz w:val="16"/>
                <w:szCs w:val="16"/>
              </w:rPr>
              <w:t>202</w:t>
            </w:r>
          </w:p>
        </w:tc>
        <w:tc>
          <w:tcPr>
            <w:tcW w:w="1134" w:type="dxa"/>
            <w:shd w:val="clear" w:color="auto" w:fill="auto"/>
            <w:noWrap/>
            <w:vAlign w:val="center"/>
            <w:hideMark/>
          </w:tcPr>
          <w:p w14:paraId="51DA0AAF" w14:textId="39E6A09D"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442</w:t>
            </w:r>
            <w:r w:rsidR="00007C9D">
              <w:rPr>
                <w:rFonts w:eastAsia="Times New Roman" w:cstheme="minorHAnsi"/>
                <w:color w:val="000000"/>
                <w:sz w:val="16"/>
                <w:szCs w:val="16"/>
              </w:rPr>
              <w:t>,</w:t>
            </w:r>
            <w:r w:rsidRPr="002E3196">
              <w:rPr>
                <w:rFonts w:eastAsia="Times New Roman" w:cstheme="minorHAnsi"/>
                <w:color w:val="000000"/>
                <w:sz w:val="16"/>
                <w:szCs w:val="16"/>
              </w:rPr>
              <w:t>202</w:t>
            </w:r>
          </w:p>
        </w:tc>
        <w:tc>
          <w:tcPr>
            <w:tcW w:w="1417" w:type="dxa"/>
            <w:shd w:val="clear" w:color="auto" w:fill="auto"/>
            <w:noWrap/>
            <w:vAlign w:val="center"/>
            <w:hideMark/>
          </w:tcPr>
          <w:p w14:paraId="34D8B2B8"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784CF9D5" w14:textId="204F8F0F"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100</w:t>
            </w:r>
            <w:r w:rsidR="00007C9D">
              <w:rPr>
                <w:rFonts w:eastAsia="Times New Roman" w:cstheme="minorHAnsi"/>
                <w:color w:val="000000"/>
                <w:sz w:val="16"/>
                <w:szCs w:val="16"/>
              </w:rPr>
              <w:t>,</w:t>
            </w:r>
            <w:r w:rsidRPr="002E3196">
              <w:rPr>
                <w:rFonts w:eastAsia="Times New Roman" w:cstheme="minorHAnsi"/>
                <w:color w:val="000000"/>
                <w:sz w:val="16"/>
                <w:szCs w:val="16"/>
              </w:rPr>
              <w:t>319</w:t>
            </w:r>
          </w:p>
        </w:tc>
        <w:tc>
          <w:tcPr>
            <w:tcW w:w="1559" w:type="dxa"/>
            <w:shd w:val="clear" w:color="auto" w:fill="auto"/>
            <w:noWrap/>
            <w:vAlign w:val="center"/>
            <w:hideMark/>
          </w:tcPr>
          <w:p w14:paraId="3C195B09"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33C64F7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443568F9" w14:textId="77777777" w:rsidTr="00780608">
        <w:trPr>
          <w:trHeight w:val="401"/>
        </w:trPr>
        <w:tc>
          <w:tcPr>
            <w:tcW w:w="2269" w:type="dxa"/>
            <w:shd w:val="clear" w:color="auto" w:fill="auto"/>
            <w:noWrap/>
            <w:vAlign w:val="center"/>
            <w:hideMark/>
          </w:tcPr>
          <w:p w14:paraId="6726C165"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SSE Airtricity Energy Supply Ltd</w:t>
            </w:r>
          </w:p>
        </w:tc>
        <w:tc>
          <w:tcPr>
            <w:tcW w:w="1418" w:type="dxa"/>
            <w:shd w:val="clear" w:color="auto" w:fill="auto"/>
            <w:noWrap/>
            <w:vAlign w:val="center"/>
            <w:hideMark/>
          </w:tcPr>
          <w:p w14:paraId="54D62A3D" w14:textId="02DBEE49"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259</w:t>
            </w:r>
            <w:r w:rsidR="00007C9D">
              <w:rPr>
                <w:rFonts w:eastAsia="Times New Roman" w:cstheme="minorHAnsi"/>
                <w:color w:val="000000"/>
                <w:sz w:val="16"/>
                <w:szCs w:val="16"/>
              </w:rPr>
              <w:t>,</w:t>
            </w:r>
            <w:r w:rsidRPr="002E3196">
              <w:rPr>
                <w:rFonts w:eastAsia="Times New Roman" w:cstheme="minorHAnsi"/>
                <w:color w:val="000000"/>
                <w:sz w:val="16"/>
                <w:szCs w:val="16"/>
              </w:rPr>
              <w:t>692</w:t>
            </w:r>
          </w:p>
        </w:tc>
        <w:tc>
          <w:tcPr>
            <w:tcW w:w="1134" w:type="dxa"/>
            <w:shd w:val="clear" w:color="auto" w:fill="auto"/>
            <w:noWrap/>
            <w:vAlign w:val="center"/>
            <w:hideMark/>
          </w:tcPr>
          <w:p w14:paraId="371F4B3D" w14:textId="7E4048FA"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259</w:t>
            </w:r>
            <w:r w:rsidR="00007C9D">
              <w:rPr>
                <w:rFonts w:eastAsia="Times New Roman" w:cstheme="minorHAnsi"/>
                <w:color w:val="000000"/>
                <w:sz w:val="16"/>
                <w:szCs w:val="16"/>
              </w:rPr>
              <w:t>,</w:t>
            </w:r>
            <w:r w:rsidRPr="002E3196">
              <w:rPr>
                <w:rFonts w:eastAsia="Times New Roman" w:cstheme="minorHAnsi"/>
                <w:color w:val="000000"/>
                <w:sz w:val="16"/>
                <w:szCs w:val="16"/>
              </w:rPr>
              <w:t>692</w:t>
            </w:r>
          </w:p>
        </w:tc>
        <w:tc>
          <w:tcPr>
            <w:tcW w:w="1417" w:type="dxa"/>
            <w:shd w:val="clear" w:color="auto" w:fill="auto"/>
            <w:noWrap/>
            <w:vAlign w:val="center"/>
            <w:hideMark/>
          </w:tcPr>
          <w:p w14:paraId="46963E46"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0CDFD87A"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559" w:type="dxa"/>
            <w:shd w:val="clear" w:color="auto" w:fill="auto"/>
            <w:noWrap/>
            <w:vAlign w:val="center"/>
            <w:hideMark/>
          </w:tcPr>
          <w:p w14:paraId="02807A0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15D5C00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1453D6AA" w14:textId="77777777" w:rsidTr="00780608">
        <w:trPr>
          <w:trHeight w:val="401"/>
        </w:trPr>
        <w:tc>
          <w:tcPr>
            <w:tcW w:w="2269" w:type="dxa"/>
            <w:shd w:val="clear" w:color="auto" w:fill="auto"/>
            <w:noWrap/>
            <w:vAlign w:val="center"/>
            <w:hideMark/>
          </w:tcPr>
          <w:p w14:paraId="5008F66B" w14:textId="77777777" w:rsidR="00E54E83" w:rsidRPr="002E3196" w:rsidRDefault="00E54E83">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 xml:space="preserve">Viridian Energy Supply Ltd </w:t>
            </w:r>
          </w:p>
        </w:tc>
        <w:tc>
          <w:tcPr>
            <w:tcW w:w="1418" w:type="dxa"/>
            <w:shd w:val="clear" w:color="auto" w:fill="auto"/>
            <w:noWrap/>
            <w:vAlign w:val="center"/>
            <w:hideMark/>
          </w:tcPr>
          <w:p w14:paraId="02E2382C" w14:textId="1893E2F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119</w:t>
            </w:r>
            <w:r w:rsidR="00007C9D">
              <w:rPr>
                <w:rFonts w:eastAsia="Times New Roman" w:cstheme="minorHAnsi"/>
                <w:color w:val="000000"/>
                <w:sz w:val="16"/>
                <w:szCs w:val="16"/>
              </w:rPr>
              <w:t>,</w:t>
            </w:r>
            <w:r w:rsidRPr="002E3196">
              <w:rPr>
                <w:rFonts w:eastAsia="Times New Roman" w:cstheme="minorHAnsi"/>
                <w:color w:val="000000"/>
                <w:sz w:val="16"/>
                <w:szCs w:val="16"/>
              </w:rPr>
              <w:t>218</w:t>
            </w:r>
          </w:p>
        </w:tc>
        <w:tc>
          <w:tcPr>
            <w:tcW w:w="1134" w:type="dxa"/>
            <w:shd w:val="clear" w:color="auto" w:fill="auto"/>
            <w:noWrap/>
            <w:vAlign w:val="center"/>
            <w:hideMark/>
          </w:tcPr>
          <w:p w14:paraId="3B91A688" w14:textId="2DCF87A5"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119</w:t>
            </w:r>
            <w:r w:rsidR="00007C9D">
              <w:rPr>
                <w:rFonts w:eastAsia="Times New Roman" w:cstheme="minorHAnsi"/>
                <w:color w:val="000000"/>
                <w:sz w:val="16"/>
                <w:szCs w:val="16"/>
              </w:rPr>
              <w:t>,</w:t>
            </w:r>
            <w:r w:rsidRPr="002E3196">
              <w:rPr>
                <w:rFonts w:eastAsia="Times New Roman" w:cstheme="minorHAnsi"/>
                <w:color w:val="000000"/>
                <w:sz w:val="16"/>
                <w:szCs w:val="16"/>
              </w:rPr>
              <w:t>218</w:t>
            </w:r>
          </w:p>
        </w:tc>
        <w:tc>
          <w:tcPr>
            <w:tcW w:w="1417" w:type="dxa"/>
            <w:shd w:val="clear" w:color="auto" w:fill="auto"/>
            <w:noWrap/>
            <w:vAlign w:val="center"/>
            <w:hideMark/>
          </w:tcPr>
          <w:p w14:paraId="5DAE923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w:t>
            </w:r>
          </w:p>
        </w:tc>
        <w:tc>
          <w:tcPr>
            <w:tcW w:w="1418" w:type="dxa"/>
            <w:shd w:val="clear" w:color="auto" w:fill="auto"/>
            <w:noWrap/>
            <w:vAlign w:val="center"/>
            <w:hideMark/>
          </w:tcPr>
          <w:p w14:paraId="0D2D0F0C" w14:textId="46C43FAD"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w:t>
            </w:r>
            <w:r w:rsidR="00007C9D">
              <w:rPr>
                <w:rFonts w:eastAsia="Times New Roman" w:cstheme="minorHAnsi"/>
                <w:color w:val="000000"/>
                <w:sz w:val="16"/>
                <w:szCs w:val="16"/>
              </w:rPr>
              <w:t>,</w:t>
            </w:r>
            <w:r w:rsidRPr="002E3196">
              <w:rPr>
                <w:rFonts w:eastAsia="Times New Roman" w:cstheme="minorHAnsi"/>
                <w:color w:val="000000"/>
                <w:sz w:val="16"/>
                <w:szCs w:val="16"/>
              </w:rPr>
              <w:t>656</w:t>
            </w:r>
          </w:p>
        </w:tc>
        <w:tc>
          <w:tcPr>
            <w:tcW w:w="1559" w:type="dxa"/>
            <w:shd w:val="clear" w:color="auto" w:fill="auto"/>
            <w:noWrap/>
            <w:vAlign w:val="center"/>
            <w:hideMark/>
          </w:tcPr>
          <w:p w14:paraId="14A6ED8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c>
          <w:tcPr>
            <w:tcW w:w="1417" w:type="dxa"/>
            <w:shd w:val="clear" w:color="auto" w:fill="auto"/>
            <w:noWrap/>
            <w:vAlign w:val="center"/>
            <w:hideMark/>
          </w:tcPr>
          <w:p w14:paraId="62F2B698"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£0.00</w:t>
            </w:r>
          </w:p>
        </w:tc>
      </w:tr>
      <w:tr w:rsidR="00E54E83" w:rsidRPr="006B3AC6" w14:paraId="1770572D" w14:textId="77777777" w:rsidTr="00780608">
        <w:trPr>
          <w:trHeight w:val="397"/>
        </w:trPr>
        <w:tc>
          <w:tcPr>
            <w:tcW w:w="2269" w:type="dxa"/>
            <w:shd w:val="clear" w:color="auto" w:fill="2363AF"/>
            <w:noWrap/>
            <w:vAlign w:val="center"/>
            <w:hideMark/>
          </w:tcPr>
          <w:p w14:paraId="6F5EEB61" w14:textId="24866B6D" w:rsidR="00E54E83" w:rsidRPr="008650ED" w:rsidRDefault="00E54E83" w:rsidP="00780608">
            <w:pPr>
              <w:spacing w:after="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T</w:t>
            </w:r>
            <w:r w:rsidR="00447E5B">
              <w:rPr>
                <w:rFonts w:eastAsia="Times New Roman" w:cstheme="minorHAnsi"/>
                <w:color w:val="FFFFFF" w:themeColor="background1"/>
                <w:sz w:val="16"/>
                <w:szCs w:val="16"/>
              </w:rPr>
              <w:t>otals</w:t>
            </w:r>
          </w:p>
        </w:tc>
        <w:tc>
          <w:tcPr>
            <w:tcW w:w="1418" w:type="dxa"/>
            <w:shd w:val="clear" w:color="auto" w:fill="2363AF"/>
            <w:noWrap/>
            <w:vAlign w:val="center"/>
            <w:hideMark/>
          </w:tcPr>
          <w:p w14:paraId="2778EE36"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1,358,498</w:t>
            </w:r>
          </w:p>
        </w:tc>
        <w:tc>
          <w:tcPr>
            <w:tcW w:w="1134" w:type="dxa"/>
            <w:shd w:val="clear" w:color="auto" w:fill="2363AF"/>
            <w:noWrap/>
            <w:vAlign w:val="center"/>
            <w:hideMark/>
          </w:tcPr>
          <w:p w14:paraId="65575EC3"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1,326,400</w:t>
            </w:r>
          </w:p>
        </w:tc>
        <w:tc>
          <w:tcPr>
            <w:tcW w:w="1417" w:type="dxa"/>
            <w:shd w:val="clear" w:color="auto" w:fill="2363AF"/>
            <w:noWrap/>
            <w:vAlign w:val="center"/>
            <w:hideMark/>
          </w:tcPr>
          <w:p w14:paraId="63DB542D"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0</w:t>
            </w:r>
          </w:p>
        </w:tc>
        <w:tc>
          <w:tcPr>
            <w:tcW w:w="1418" w:type="dxa"/>
            <w:shd w:val="clear" w:color="auto" w:fill="2363AF"/>
            <w:noWrap/>
            <w:vAlign w:val="center"/>
            <w:hideMark/>
          </w:tcPr>
          <w:p w14:paraId="70392D6B"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116,425</w:t>
            </w:r>
          </w:p>
        </w:tc>
        <w:tc>
          <w:tcPr>
            <w:tcW w:w="1559" w:type="dxa"/>
            <w:shd w:val="clear" w:color="auto" w:fill="2363AF"/>
            <w:noWrap/>
            <w:vAlign w:val="center"/>
            <w:hideMark/>
          </w:tcPr>
          <w:p w14:paraId="5C90515D"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£792,341.80</w:t>
            </w:r>
          </w:p>
        </w:tc>
        <w:tc>
          <w:tcPr>
            <w:tcW w:w="1417" w:type="dxa"/>
            <w:shd w:val="clear" w:color="auto" w:fill="2363AF"/>
            <w:noWrap/>
            <w:vAlign w:val="center"/>
            <w:hideMark/>
          </w:tcPr>
          <w:p w14:paraId="278E416A"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£820,874.93</w:t>
            </w:r>
          </w:p>
        </w:tc>
      </w:tr>
    </w:tbl>
    <w:p w14:paraId="4BCD20C1" w14:textId="77777777" w:rsidR="00E54E83" w:rsidRPr="006B3AC6" w:rsidRDefault="00E54E83" w:rsidP="00E54E83">
      <w:pPr>
        <w:rPr>
          <w:rFonts w:cstheme="minorHAnsi"/>
        </w:rPr>
      </w:pPr>
    </w:p>
    <w:p w14:paraId="176E69ED" w14:textId="79369310" w:rsidR="00E54E83" w:rsidRPr="006B3AC6" w:rsidRDefault="00E54E83" w:rsidP="00E54E83">
      <w:pPr>
        <w:spacing w:line="276" w:lineRule="auto"/>
        <w:rPr>
          <w:rFonts w:eastAsiaTheme="minorEastAsia" w:cstheme="minorHAnsi"/>
          <w:b/>
          <w:color w:val="000000" w:themeColor="text1"/>
        </w:rPr>
      </w:pPr>
      <w:r w:rsidRPr="006B3AC6">
        <w:rPr>
          <w:rFonts w:eastAsiaTheme="minorEastAsia" w:cstheme="minorHAnsi"/>
          <w:b/>
          <w:color w:val="000000" w:themeColor="text1"/>
        </w:rPr>
        <w:t>Table A</w:t>
      </w:r>
      <w:r>
        <w:rPr>
          <w:rFonts w:eastAsiaTheme="minorEastAsia" w:cstheme="minorHAnsi"/>
          <w:b/>
          <w:color w:val="000000" w:themeColor="text1"/>
        </w:rPr>
        <w:t>1</w:t>
      </w:r>
      <w:r w:rsidRPr="006B3AC6">
        <w:rPr>
          <w:rFonts w:eastAsiaTheme="minorEastAsia" w:cstheme="minorHAnsi"/>
          <w:b/>
          <w:color w:val="000000" w:themeColor="text1"/>
        </w:rPr>
        <w:t>.5: Summary of qualifying and non-qualifying bioliquid ROCs presented by suppliers towards their obligations since the 2013-14 RO year</w:t>
      </w:r>
    </w:p>
    <w:tbl>
      <w:tblPr>
        <w:tblW w:w="1048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835"/>
        <w:gridCol w:w="2986"/>
        <w:gridCol w:w="2398"/>
      </w:tblGrid>
      <w:tr w:rsidR="00225B05" w:rsidRPr="006B3AC6" w14:paraId="61E5DA3B" w14:textId="77777777" w:rsidTr="00780608">
        <w:trPr>
          <w:trHeight w:val="873"/>
        </w:trPr>
        <w:tc>
          <w:tcPr>
            <w:tcW w:w="2269" w:type="dxa"/>
            <w:shd w:val="clear" w:color="auto" w:fill="2363AF"/>
            <w:vAlign w:val="center"/>
            <w:hideMark/>
          </w:tcPr>
          <w:p w14:paraId="01E26C76" w14:textId="670C1C93" w:rsidR="00E54E83" w:rsidRPr="008650ED" w:rsidRDefault="00E54E83" w:rsidP="00780608">
            <w:pPr>
              <w:spacing w:after="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Compliance Period</w:t>
            </w:r>
            <w:r w:rsidR="00794DAB">
              <w:rPr>
                <w:rFonts w:eastAsia="Times New Roman" w:cstheme="minorHAnsi"/>
                <w:color w:val="FFFFFF" w:themeColor="background1"/>
                <w:sz w:val="16"/>
                <w:szCs w:val="16"/>
              </w:rPr>
              <w:t xml:space="preserve"> (CP)</w:t>
            </w:r>
            <w:r w:rsidRPr="008650ED">
              <w:rPr>
                <w:rFonts w:eastAsia="Times New Roman" w:cstheme="minorHAnsi"/>
                <w:color w:val="FFFFFF" w:themeColor="background1"/>
                <w:sz w:val="16"/>
                <w:szCs w:val="16"/>
              </w:rPr>
              <w:t>/</w:t>
            </w:r>
            <w:r w:rsidR="00794DAB">
              <w:rPr>
                <w:rFonts w:eastAsia="Times New Roman" w:cstheme="minorHAnsi"/>
                <w:color w:val="FFFFFF" w:themeColor="background1"/>
                <w:sz w:val="16"/>
                <w:szCs w:val="16"/>
              </w:rPr>
              <w:br/>
            </w:r>
            <w:r w:rsidRPr="008650ED">
              <w:rPr>
                <w:rFonts w:eastAsia="Times New Roman" w:cstheme="minorHAnsi"/>
                <w:color w:val="FFFFFF" w:themeColor="background1"/>
                <w:sz w:val="16"/>
                <w:szCs w:val="16"/>
              </w:rPr>
              <w:t>RO Year</w:t>
            </w:r>
          </w:p>
        </w:tc>
        <w:tc>
          <w:tcPr>
            <w:tcW w:w="2835" w:type="dxa"/>
            <w:shd w:val="clear" w:color="auto" w:fill="2363AF"/>
            <w:vAlign w:val="center"/>
            <w:hideMark/>
          </w:tcPr>
          <w:p w14:paraId="6667A9A8"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No. of Bioliquid ROCs submitted by suppliers which are exempt from the 4% cap</w:t>
            </w:r>
          </w:p>
        </w:tc>
        <w:tc>
          <w:tcPr>
            <w:tcW w:w="2986" w:type="dxa"/>
            <w:shd w:val="clear" w:color="auto" w:fill="2363AF"/>
            <w:vAlign w:val="center"/>
            <w:hideMark/>
          </w:tcPr>
          <w:p w14:paraId="31E4741E"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No. of Bioliquid ROCs submitted by suppliers which are included in the 4% cap</w:t>
            </w:r>
          </w:p>
        </w:tc>
        <w:tc>
          <w:tcPr>
            <w:tcW w:w="2398" w:type="dxa"/>
            <w:shd w:val="clear" w:color="auto" w:fill="2363AF"/>
            <w:vAlign w:val="center"/>
            <w:hideMark/>
          </w:tcPr>
          <w:p w14:paraId="24476476" w14:textId="77777777" w:rsidR="00E54E83" w:rsidRPr="008650ED" w:rsidRDefault="00E54E83" w:rsidP="00780608">
            <w:pPr>
              <w:spacing w:after="0" w:line="240" w:lineRule="auto"/>
              <w:jc w:val="right"/>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Total qualifying and non-qualifying Bioliquid ROCs presented</w:t>
            </w:r>
          </w:p>
        </w:tc>
      </w:tr>
      <w:tr w:rsidR="00225B05" w:rsidRPr="006B3AC6" w14:paraId="701594A8" w14:textId="77777777" w:rsidTr="00780608">
        <w:trPr>
          <w:trHeight w:val="340"/>
        </w:trPr>
        <w:tc>
          <w:tcPr>
            <w:tcW w:w="2269" w:type="dxa"/>
            <w:shd w:val="clear" w:color="auto" w:fill="auto"/>
            <w:vAlign w:val="center"/>
            <w:hideMark/>
          </w:tcPr>
          <w:p w14:paraId="49F201B1" w14:textId="0E9F7C3A"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CP12 – 2013-14</w:t>
            </w:r>
          </w:p>
        </w:tc>
        <w:tc>
          <w:tcPr>
            <w:tcW w:w="2835" w:type="dxa"/>
            <w:shd w:val="clear" w:color="auto" w:fill="auto"/>
            <w:vAlign w:val="center"/>
            <w:hideMark/>
          </w:tcPr>
          <w:p w14:paraId="6437D198"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851,836</w:t>
            </w:r>
          </w:p>
        </w:tc>
        <w:tc>
          <w:tcPr>
            <w:tcW w:w="2986" w:type="dxa"/>
            <w:shd w:val="clear" w:color="auto" w:fill="auto"/>
            <w:vAlign w:val="center"/>
            <w:hideMark/>
          </w:tcPr>
          <w:p w14:paraId="4C709C7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143,498</w:t>
            </w:r>
          </w:p>
        </w:tc>
        <w:tc>
          <w:tcPr>
            <w:tcW w:w="2398" w:type="dxa"/>
            <w:shd w:val="clear" w:color="auto" w:fill="auto"/>
            <w:vAlign w:val="center"/>
            <w:hideMark/>
          </w:tcPr>
          <w:p w14:paraId="172E8E4B"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995,334</w:t>
            </w:r>
          </w:p>
        </w:tc>
      </w:tr>
      <w:tr w:rsidR="00225B05" w:rsidRPr="006B3AC6" w14:paraId="1549E6B1" w14:textId="77777777" w:rsidTr="00780608">
        <w:trPr>
          <w:trHeight w:val="340"/>
        </w:trPr>
        <w:tc>
          <w:tcPr>
            <w:tcW w:w="2269" w:type="dxa"/>
            <w:shd w:val="clear" w:color="auto" w:fill="auto"/>
            <w:vAlign w:val="center"/>
            <w:hideMark/>
          </w:tcPr>
          <w:p w14:paraId="06F4E0D4"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CP13 – 2014-15</w:t>
            </w:r>
          </w:p>
        </w:tc>
        <w:tc>
          <w:tcPr>
            <w:tcW w:w="2835" w:type="dxa"/>
            <w:shd w:val="clear" w:color="auto" w:fill="auto"/>
            <w:vAlign w:val="center"/>
            <w:hideMark/>
          </w:tcPr>
          <w:p w14:paraId="7B61D8CA"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874,999</w:t>
            </w:r>
          </w:p>
        </w:tc>
        <w:tc>
          <w:tcPr>
            <w:tcW w:w="2986" w:type="dxa"/>
            <w:shd w:val="clear" w:color="auto" w:fill="auto"/>
            <w:vAlign w:val="center"/>
            <w:hideMark/>
          </w:tcPr>
          <w:p w14:paraId="73C6AAE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29,301</w:t>
            </w:r>
          </w:p>
        </w:tc>
        <w:tc>
          <w:tcPr>
            <w:tcW w:w="2398" w:type="dxa"/>
            <w:shd w:val="clear" w:color="auto" w:fill="auto"/>
            <w:vAlign w:val="center"/>
            <w:hideMark/>
          </w:tcPr>
          <w:p w14:paraId="2798358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904,300</w:t>
            </w:r>
          </w:p>
        </w:tc>
      </w:tr>
      <w:tr w:rsidR="00225B05" w:rsidRPr="006B3AC6" w14:paraId="3B0F9613" w14:textId="77777777" w:rsidTr="00780608">
        <w:trPr>
          <w:trHeight w:val="340"/>
        </w:trPr>
        <w:tc>
          <w:tcPr>
            <w:tcW w:w="2269" w:type="dxa"/>
            <w:shd w:val="clear" w:color="auto" w:fill="auto"/>
            <w:vAlign w:val="center"/>
            <w:hideMark/>
          </w:tcPr>
          <w:p w14:paraId="4F23D0B1"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CP14 – 2015-16</w:t>
            </w:r>
          </w:p>
        </w:tc>
        <w:tc>
          <w:tcPr>
            <w:tcW w:w="2835" w:type="dxa"/>
            <w:shd w:val="clear" w:color="auto" w:fill="auto"/>
            <w:vAlign w:val="center"/>
            <w:hideMark/>
          </w:tcPr>
          <w:p w14:paraId="2C09FF9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1,352,131</w:t>
            </w:r>
          </w:p>
        </w:tc>
        <w:tc>
          <w:tcPr>
            <w:tcW w:w="2986" w:type="dxa"/>
            <w:shd w:val="clear" w:color="auto" w:fill="auto"/>
            <w:vAlign w:val="center"/>
            <w:hideMark/>
          </w:tcPr>
          <w:p w14:paraId="169E8C1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58,973</w:t>
            </w:r>
          </w:p>
        </w:tc>
        <w:tc>
          <w:tcPr>
            <w:tcW w:w="2398" w:type="dxa"/>
            <w:shd w:val="clear" w:color="auto" w:fill="auto"/>
            <w:vAlign w:val="center"/>
            <w:hideMark/>
          </w:tcPr>
          <w:p w14:paraId="5B71E29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1,411,104</w:t>
            </w:r>
          </w:p>
        </w:tc>
      </w:tr>
      <w:tr w:rsidR="00225B05" w:rsidRPr="006B3AC6" w14:paraId="762E156A" w14:textId="77777777" w:rsidTr="00780608">
        <w:trPr>
          <w:trHeight w:val="340"/>
        </w:trPr>
        <w:tc>
          <w:tcPr>
            <w:tcW w:w="2269" w:type="dxa"/>
            <w:shd w:val="clear" w:color="auto" w:fill="auto"/>
            <w:vAlign w:val="center"/>
            <w:hideMark/>
          </w:tcPr>
          <w:p w14:paraId="5FFD261A"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CP15 – 2016-17</w:t>
            </w:r>
          </w:p>
        </w:tc>
        <w:tc>
          <w:tcPr>
            <w:tcW w:w="2835" w:type="dxa"/>
            <w:shd w:val="clear" w:color="auto" w:fill="auto"/>
            <w:vAlign w:val="center"/>
            <w:hideMark/>
          </w:tcPr>
          <w:p w14:paraId="0DAB8D10"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1,707,067</w:t>
            </w:r>
          </w:p>
        </w:tc>
        <w:tc>
          <w:tcPr>
            <w:tcW w:w="2986" w:type="dxa"/>
            <w:shd w:val="clear" w:color="auto" w:fill="auto"/>
            <w:vAlign w:val="center"/>
            <w:hideMark/>
          </w:tcPr>
          <w:p w14:paraId="094F5B9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87,290</w:t>
            </w:r>
          </w:p>
        </w:tc>
        <w:tc>
          <w:tcPr>
            <w:tcW w:w="2398" w:type="dxa"/>
            <w:shd w:val="clear" w:color="auto" w:fill="auto"/>
            <w:vAlign w:val="center"/>
            <w:hideMark/>
          </w:tcPr>
          <w:p w14:paraId="4479228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1,794,357</w:t>
            </w:r>
          </w:p>
        </w:tc>
      </w:tr>
      <w:tr w:rsidR="00225B05" w:rsidRPr="006B3AC6" w14:paraId="726E85F0" w14:textId="77777777" w:rsidTr="00780608">
        <w:trPr>
          <w:trHeight w:val="340"/>
        </w:trPr>
        <w:tc>
          <w:tcPr>
            <w:tcW w:w="2269" w:type="dxa"/>
            <w:shd w:val="clear" w:color="auto" w:fill="auto"/>
            <w:vAlign w:val="center"/>
            <w:hideMark/>
          </w:tcPr>
          <w:p w14:paraId="60F88030"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CP16 – 2017-18</w:t>
            </w:r>
          </w:p>
        </w:tc>
        <w:tc>
          <w:tcPr>
            <w:tcW w:w="2835" w:type="dxa"/>
            <w:shd w:val="clear" w:color="auto" w:fill="auto"/>
            <w:vAlign w:val="center"/>
            <w:hideMark/>
          </w:tcPr>
          <w:p w14:paraId="385A94DE"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2,180,927</w:t>
            </w:r>
          </w:p>
        </w:tc>
        <w:tc>
          <w:tcPr>
            <w:tcW w:w="2986" w:type="dxa"/>
            <w:shd w:val="clear" w:color="auto" w:fill="auto"/>
            <w:vAlign w:val="center"/>
            <w:hideMark/>
          </w:tcPr>
          <w:p w14:paraId="060DE3EA"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181,429</w:t>
            </w:r>
          </w:p>
        </w:tc>
        <w:tc>
          <w:tcPr>
            <w:tcW w:w="2398" w:type="dxa"/>
            <w:shd w:val="clear" w:color="auto" w:fill="auto"/>
            <w:vAlign w:val="center"/>
            <w:hideMark/>
          </w:tcPr>
          <w:p w14:paraId="5DED44A0"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2,362,356</w:t>
            </w:r>
          </w:p>
        </w:tc>
      </w:tr>
      <w:tr w:rsidR="00225B05" w:rsidRPr="006B3AC6" w14:paraId="7AF43A24" w14:textId="77777777" w:rsidTr="00780608">
        <w:trPr>
          <w:trHeight w:val="340"/>
        </w:trPr>
        <w:tc>
          <w:tcPr>
            <w:tcW w:w="2269" w:type="dxa"/>
            <w:shd w:val="clear" w:color="auto" w:fill="auto"/>
            <w:vAlign w:val="center"/>
          </w:tcPr>
          <w:p w14:paraId="151543E6"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CP17 - 2018-19</w:t>
            </w:r>
          </w:p>
        </w:tc>
        <w:tc>
          <w:tcPr>
            <w:tcW w:w="2835" w:type="dxa"/>
            <w:shd w:val="clear" w:color="auto" w:fill="auto"/>
            <w:vAlign w:val="center"/>
          </w:tcPr>
          <w:p w14:paraId="6BDA7DD5"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2,659,159</w:t>
            </w:r>
          </w:p>
        </w:tc>
        <w:tc>
          <w:tcPr>
            <w:tcW w:w="2986" w:type="dxa"/>
            <w:shd w:val="clear" w:color="auto" w:fill="auto"/>
            <w:vAlign w:val="center"/>
          </w:tcPr>
          <w:p w14:paraId="381A45D2"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254,106</w:t>
            </w:r>
          </w:p>
        </w:tc>
        <w:tc>
          <w:tcPr>
            <w:tcW w:w="2398" w:type="dxa"/>
            <w:shd w:val="clear" w:color="auto" w:fill="auto"/>
            <w:vAlign w:val="center"/>
          </w:tcPr>
          <w:p w14:paraId="62F5636D"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2,913,265</w:t>
            </w:r>
          </w:p>
        </w:tc>
      </w:tr>
      <w:tr w:rsidR="00225B05" w:rsidRPr="006B3AC6" w14:paraId="7218D749" w14:textId="77777777" w:rsidTr="00780608">
        <w:trPr>
          <w:trHeight w:val="340"/>
        </w:trPr>
        <w:tc>
          <w:tcPr>
            <w:tcW w:w="2269" w:type="dxa"/>
            <w:shd w:val="clear" w:color="auto" w:fill="auto"/>
            <w:vAlign w:val="center"/>
          </w:tcPr>
          <w:p w14:paraId="0667665A"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CP18 - 2019-20</w:t>
            </w:r>
          </w:p>
        </w:tc>
        <w:tc>
          <w:tcPr>
            <w:tcW w:w="2835" w:type="dxa"/>
            <w:shd w:val="clear" w:color="auto" w:fill="auto"/>
            <w:vAlign w:val="center"/>
          </w:tcPr>
          <w:p w14:paraId="47CE3421"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2,718,830</w:t>
            </w:r>
          </w:p>
        </w:tc>
        <w:tc>
          <w:tcPr>
            <w:tcW w:w="2986" w:type="dxa"/>
            <w:shd w:val="clear" w:color="auto" w:fill="auto"/>
            <w:vAlign w:val="center"/>
          </w:tcPr>
          <w:p w14:paraId="4CB2C0FC"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heme="minorEastAsia" w:cstheme="minorHAnsi"/>
                <w:color w:val="000000" w:themeColor="text1"/>
                <w:sz w:val="16"/>
                <w:szCs w:val="16"/>
              </w:rPr>
              <w:t>235,812</w:t>
            </w:r>
          </w:p>
        </w:tc>
        <w:tc>
          <w:tcPr>
            <w:tcW w:w="2398" w:type="dxa"/>
            <w:shd w:val="clear" w:color="auto" w:fill="auto"/>
            <w:vAlign w:val="center"/>
          </w:tcPr>
          <w:p w14:paraId="00A26C13"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2,954,642</w:t>
            </w:r>
          </w:p>
        </w:tc>
      </w:tr>
      <w:tr w:rsidR="00225B05" w:rsidRPr="006B3AC6" w14:paraId="4B15449E" w14:textId="77777777" w:rsidTr="00780608">
        <w:trPr>
          <w:trHeight w:val="340"/>
        </w:trPr>
        <w:tc>
          <w:tcPr>
            <w:tcW w:w="2269" w:type="dxa"/>
            <w:shd w:val="clear" w:color="auto" w:fill="auto"/>
            <w:vAlign w:val="center"/>
          </w:tcPr>
          <w:p w14:paraId="3E08092D" w14:textId="77777777" w:rsidR="00E54E83" w:rsidRPr="002E3196" w:rsidRDefault="00E54E83" w:rsidP="00C3023D">
            <w:pPr>
              <w:spacing w:after="0" w:line="240" w:lineRule="auto"/>
              <w:rPr>
                <w:rFonts w:eastAsia="Times New Roman" w:cstheme="minorHAnsi"/>
                <w:color w:val="000000"/>
                <w:sz w:val="16"/>
                <w:szCs w:val="16"/>
              </w:rPr>
            </w:pPr>
            <w:r w:rsidRPr="002E3196">
              <w:rPr>
                <w:rFonts w:eastAsia="Times New Roman" w:cstheme="minorHAnsi"/>
                <w:color w:val="000000"/>
                <w:sz w:val="16"/>
                <w:szCs w:val="16"/>
              </w:rPr>
              <w:t>CP19 - 2020-21</w:t>
            </w:r>
          </w:p>
        </w:tc>
        <w:tc>
          <w:tcPr>
            <w:tcW w:w="2835" w:type="dxa"/>
            <w:shd w:val="clear" w:color="auto" w:fill="auto"/>
            <w:vAlign w:val="center"/>
          </w:tcPr>
          <w:p w14:paraId="5554D9E4"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 xml:space="preserve">2,853,221 </w:t>
            </w:r>
          </w:p>
        </w:tc>
        <w:tc>
          <w:tcPr>
            <w:tcW w:w="2986" w:type="dxa"/>
            <w:shd w:val="clear" w:color="auto" w:fill="auto"/>
            <w:vAlign w:val="center"/>
          </w:tcPr>
          <w:p w14:paraId="3337D1CD" w14:textId="77777777" w:rsidR="00E54E83" w:rsidRPr="00A43C49" w:rsidRDefault="00E54E83" w:rsidP="00780608">
            <w:pPr>
              <w:spacing w:after="0" w:line="240" w:lineRule="auto"/>
              <w:jc w:val="right"/>
              <w:rPr>
                <w:rFonts w:eastAsia="Times New Roman" w:cstheme="minorHAnsi"/>
                <w:color w:val="000000"/>
                <w:sz w:val="16"/>
                <w:szCs w:val="16"/>
              </w:rPr>
            </w:pPr>
            <w:r w:rsidRPr="00A43C49">
              <w:rPr>
                <w:rFonts w:eastAsia="Times New Roman" w:cstheme="minorHAnsi"/>
                <w:color w:val="000000"/>
                <w:sz w:val="16"/>
                <w:szCs w:val="16"/>
              </w:rPr>
              <w:t>256,848</w:t>
            </w:r>
          </w:p>
        </w:tc>
        <w:tc>
          <w:tcPr>
            <w:tcW w:w="2398" w:type="dxa"/>
            <w:shd w:val="clear" w:color="auto" w:fill="auto"/>
            <w:vAlign w:val="center"/>
          </w:tcPr>
          <w:p w14:paraId="7F78745E" w14:textId="77777777" w:rsidR="00E54E83" w:rsidRPr="002E3196" w:rsidRDefault="00E54E83" w:rsidP="00780608">
            <w:pPr>
              <w:spacing w:after="0" w:line="240" w:lineRule="auto"/>
              <w:jc w:val="right"/>
              <w:rPr>
                <w:rFonts w:eastAsia="Times New Roman" w:cstheme="minorHAnsi"/>
                <w:color w:val="000000"/>
                <w:sz w:val="16"/>
                <w:szCs w:val="16"/>
              </w:rPr>
            </w:pPr>
            <w:r w:rsidRPr="002E3196">
              <w:rPr>
                <w:rFonts w:eastAsia="Times New Roman" w:cstheme="minorHAnsi"/>
                <w:color w:val="000000"/>
                <w:sz w:val="16"/>
                <w:szCs w:val="16"/>
              </w:rPr>
              <w:t>3,110,069</w:t>
            </w:r>
          </w:p>
        </w:tc>
      </w:tr>
    </w:tbl>
    <w:p w14:paraId="09F62EA7" w14:textId="77777777" w:rsidR="00E54E83" w:rsidRPr="006B3AC6" w:rsidRDefault="00E54E83" w:rsidP="00E54E83">
      <w:pPr>
        <w:rPr>
          <w:rFonts w:cstheme="minorHAnsi"/>
        </w:rPr>
      </w:pPr>
    </w:p>
    <w:p w14:paraId="61EBFB1B" w14:textId="77777777" w:rsidR="004720FE" w:rsidRDefault="004720FE">
      <w:pPr>
        <w:spacing w:line="276" w:lineRule="auto"/>
        <w:rPr>
          <w:rFonts w:cstheme="minorHAnsi"/>
          <w:b/>
          <w:color w:val="000000" w:themeColor="text1"/>
        </w:rPr>
      </w:pPr>
      <w:r>
        <w:rPr>
          <w:rFonts w:cstheme="minorHAnsi"/>
          <w:b/>
          <w:color w:val="000000" w:themeColor="text1"/>
        </w:rPr>
        <w:br w:type="page"/>
      </w:r>
    </w:p>
    <w:p w14:paraId="13CFBBAA" w14:textId="0ECF7A55" w:rsidR="00E54E83" w:rsidRPr="006B3AC6" w:rsidRDefault="00E54E83" w:rsidP="00E54E83">
      <w:pPr>
        <w:pStyle w:val="CommentText"/>
      </w:pPr>
    </w:p>
    <w:p w14:paraId="235F1365" w14:textId="4DEBB005" w:rsidR="00E54E83" w:rsidRPr="006B3AC6" w:rsidRDefault="00E54E83" w:rsidP="00780608">
      <w:pPr>
        <w:spacing w:line="288" w:lineRule="auto"/>
        <w:rPr>
          <w:rFonts w:eastAsiaTheme="minorEastAsia"/>
          <w:b/>
          <w:color w:val="000000" w:themeColor="text1"/>
        </w:rPr>
      </w:pPr>
      <w:r w:rsidRPr="006B3AC6">
        <w:rPr>
          <w:rFonts w:eastAsiaTheme="minorEastAsia"/>
          <w:b/>
          <w:color w:val="000000" w:themeColor="text1"/>
        </w:rPr>
        <w:t>Table A</w:t>
      </w:r>
      <w:r>
        <w:rPr>
          <w:rFonts w:eastAsiaTheme="minorEastAsia"/>
          <w:b/>
          <w:color w:val="000000" w:themeColor="text1"/>
        </w:rPr>
        <w:t>1</w:t>
      </w:r>
      <w:r w:rsidRPr="006B3AC6">
        <w:rPr>
          <w:rFonts w:eastAsiaTheme="minorEastAsia"/>
          <w:b/>
          <w:color w:val="000000" w:themeColor="text1"/>
        </w:rPr>
        <w:t>.</w:t>
      </w:r>
      <w:r w:rsidR="00071AD7">
        <w:rPr>
          <w:rFonts w:eastAsiaTheme="minorEastAsia"/>
          <w:b/>
          <w:color w:val="000000" w:themeColor="text1"/>
        </w:rPr>
        <w:t>6</w:t>
      </w:r>
      <w:r w:rsidRPr="006B3AC6">
        <w:rPr>
          <w:rFonts w:eastAsiaTheme="minorEastAsia"/>
          <w:b/>
          <w:color w:val="000000" w:themeColor="text1"/>
        </w:rPr>
        <w:t>: Suppliers with an obligation who did not meet the 1 June 2021 deadline to submit estimate supply volumes</w:t>
      </w:r>
    </w:p>
    <w:tbl>
      <w:tblPr>
        <w:tblStyle w:val="TableGrid"/>
        <w:tblW w:w="0" w:type="auto"/>
        <w:tblLook w:val="04A0" w:firstRow="1" w:lastRow="0" w:firstColumn="1" w:lastColumn="0" w:noHBand="0" w:noVBand="1"/>
      </w:tblPr>
      <w:tblGrid>
        <w:gridCol w:w="3539"/>
      </w:tblGrid>
      <w:tr w:rsidR="00E54E83" w:rsidRPr="006B3AC6" w14:paraId="2845A6E3" w14:textId="77777777" w:rsidTr="00780608">
        <w:trPr>
          <w:trHeight w:val="340"/>
        </w:trPr>
        <w:tc>
          <w:tcPr>
            <w:tcW w:w="3539" w:type="dxa"/>
            <w:shd w:val="clear" w:color="auto" w:fill="2363AF"/>
            <w:noWrap/>
            <w:vAlign w:val="center"/>
            <w:hideMark/>
          </w:tcPr>
          <w:p w14:paraId="1820400B" w14:textId="77777777" w:rsidR="00E54E83" w:rsidRPr="002E3196" w:rsidRDefault="00E54E83" w:rsidP="00780608">
            <w:pPr>
              <w:spacing w:line="240" w:lineRule="auto"/>
              <w:rPr>
                <w:rFonts w:eastAsiaTheme="minorEastAsia"/>
                <w:b/>
                <w:bCs/>
                <w:color w:val="000000" w:themeColor="text1"/>
                <w:sz w:val="16"/>
                <w:szCs w:val="16"/>
              </w:rPr>
            </w:pPr>
            <w:r w:rsidRPr="008650ED">
              <w:rPr>
                <w:rFonts w:eastAsia="Times New Roman" w:cstheme="minorHAnsi"/>
                <w:color w:val="FFFFFF" w:themeColor="background1"/>
                <w:sz w:val="16"/>
                <w:szCs w:val="16"/>
              </w:rPr>
              <w:t>Supplier Group</w:t>
            </w:r>
          </w:p>
        </w:tc>
      </w:tr>
      <w:tr w:rsidR="00E54E83" w:rsidRPr="006B3AC6" w14:paraId="504B6C4E" w14:textId="77777777" w:rsidTr="00780608">
        <w:trPr>
          <w:trHeight w:val="340"/>
        </w:trPr>
        <w:tc>
          <w:tcPr>
            <w:tcW w:w="3539" w:type="dxa"/>
            <w:noWrap/>
            <w:vAlign w:val="center"/>
            <w:hideMark/>
          </w:tcPr>
          <w:p w14:paraId="1320117C" w14:textId="77777777" w:rsidR="00E54E83" w:rsidRPr="002E3196" w:rsidRDefault="00E54E83">
            <w:pPr>
              <w:rPr>
                <w:rFonts w:eastAsiaTheme="minorEastAsia"/>
                <w:bCs/>
                <w:color w:val="000000" w:themeColor="text1"/>
                <w:sz w:val="16"/>
                <w:szCs w:val="16"/>
              </w:rPr>
            </w:pPr>
            <w:r w:rsidRPr="002E3196">
              <w:rPr>
                <w:rFonts w:eastAsiaTheme="minorEastAsia"/>
                <w:bCs/>
                <w:color w:val="000000" w:themeColor="text1"/>
                <w:sz w:val="16"/>
                <w:szCs w:val="16"/>
              </w:rPr>
              <w:t>Affect Energy Limited</w:t>
            </w:r>
          </w:p>
        </w:tc>
      </w:tr>
      <w:tr w:rsidR="00E54E83" w:rsidRPr="006B3AC6" w14:paraId="67FCE088" w14:textId="77777777" w:rsidTr="00780608">
        <w:trPr>
          <w:trHeight w:val="340"/>
        </w:trPr>
        <w:tc>
          <w:tcPr>
            <w:tcW w:w="3539" w:type="dxa"/>
            <w:noWrap/>
            <w:vAlign w:val="center"/>
            <w:hideMark/>
          </w:tcPr>
          <w:p w14:paraId="7886D741" w14:textId="77777777" w:rsidR="00E54E83" w:rsidRPr="002E3196" w:rsidRDefault="00E54E83">
            <w:pPr>
              <w:rPr>
                <w:rFonts w:eastAsiaTheme="minorEastAsia"/>
                <w:bCs/>
                <w:color w:val="000000" w:themeColor="text1"/>
                <w:sz w:val="16"/>
                <w:szCs w:val="16"/>
              </w:rPr>
            </w:pPr>
            <w:r w:rsidRPr="002E3196">
              <w:rPr>
                <w:rFonts w:eastAsiaTheme="minorEastAsia"/>
                <w:bCs/>
                <w:color w:val="000000" w:themeColor="text1"/>
                <w:sz w:val="16"/>
                <w:szCs w:val="16"/>
              </w:rPr>
              <w:t>Mississippi Energy Limited</w:t>
            </w:r>
          </w:p>
        </w:tc>
      </w:tr>
      <w:tr w:rsidR="00E54E83" w:rsidRPr="006B3AC6" w14:paraId="5EB67073" w14:textId="77777777" w:rsidTr="00780608">
        <w:trPr>
          <w:trHeight w:val="340"/>
        </w:trPr>
        <w:tc>
          <w:tcPr>
            <w:tcW w:w="3539" w:type="dxa"/>
            <w:noWrap/>
            <w:vAlign w:val="center"/>
            <w:hideMark/>
          </w:tcPr>
          <w:p w14:paraId="6B3EAE6D" w14:textId="77777777" w:rsidR="00E54E83" w:rsidRPr="002E3196" w:rsidRDefault="00E54E83">
            <w:pPr>
              <w:rPr>
                <w:rFonts w:eastAsiaTheme="minorEastAsia"/>
                <w:bCs/>
                <w:color w:val="000000" w:themeColor="text1"/>
                <w:sz w:val="16"/>
                <w:szCs w:val="16"/>
              </w:rPr>
            </w:pPr>
            <w:proofErr w:type="spellStart"/>
            <w:r w:rsidRPr="002E3196">
              <w:rPr>
                <w:rFonts w:eastAsiaTheme="minorEastAsia"/>
                <w:bCs/>
                <w:color w:val="000000" w:themeColor="text1"/>
                <w:sz w:val="16"/>
                <w:szCs w:val="16"/>
              </w:rPr>
              <w:t>Orsted</w:t>
            </w:r>
            <w:proofErr w:type="spellEnd"/>
            <w:r w:rsidRPr="002E3196">
              <w:rPr>
                <w:rFonts w:eastAsiaTheme="minorEastAsia"/>
                <w:bCs/>
                <w:color w:val="000000" w:themeColor="text1"/>
                <w:sz w:val="16"/>
                <w:szCs w:val="16"/>
              </w:rPr>
              <w:t xml:space="preserve"> Power Sales (UK) Ltd</w:t>
            </w:r>
          </w:p>
        </w:tc>
      </w:tr>
      <w:tr w:rsidR="00E54E83" w:rsidRPr="006B3AC6" w14:paraId="0CF26F7C" w14:textId="77777777" w:rsidTr="00780608">
        <w:trPr>
          <w:trHeight w:val="340"/>
        </w:trPr>
        <w:tc>
          <w:tcPr>
            <w:tcW w:w="3539" w:type="dxa"/>
            <w:noWrap/>
            <w:vAlign w:val="center"/>
            <w:hideMark/>
          </w:tcPr>
          <w:p w14:paraId="1804D880" w14:textId="77777777" w:rsidR="00E54E83" w:rsidRPr="002E3196" w:rsidRDefault="00E54E83">
            <w:pPr>
              <w:rPr>
                <w:rFonts w:eastAsiaTheme="minorEastAsia"/>
                <w:bCs/>
                <w:color w:val="000000" w:themeColor="text1"/>
                <w:sz w:val="16"/>
                <w:szCs w:val="16"/>
              </w:rPr>
            </w:pPr>
            <w:proofErr w:type="spellStart"/>
            <w:r w:rsidRPr="002E3196">
              <w:rPr>
                <w:rFonts w:eastAsiaTheme="minorEastAsia"/>
                <w:bCs/>
                <w:color w:val="000000" w:themeColor="text1"/>
                <w:sz w:val="16"/>
                <w:szCs w:val="16"/>
              </w:rPr>
              <w:t>Symbio</w:t>
            </w:r>
            <w:proofErr w:type="spellEnd"/>
            <w:r w:rsidRPr="002E3196">
              <w:rPr>
                <w:rFonts w:eastAsiaTheme="minorEastAsia"/>
                <w:bCs/>
                <w:color w:val="000000" w:themeColor="text1"/>
                <w:sz w:val="16"/>
                <w:szCs w:val="16"/>
              </w:rPr>
              <w:t xml:space="preserve"> Energy Limited</w:t>
            </w:r>
          </w:p>
        </w:tc>
      </w:tr>
    </w:tbl>
    <w:p w14:paraId="4BAB9860" w14:textId="77777777" w:rsidR="00E54E83" w:rsidRPr="006B3AC6" w:rsidRDefault="00E54E83" w:rsidP="00E54E83">
      <w:pPr>
        <w:rPr>
          <w:rFonts w:eastAsiaTheme="minorEastAsia"/>
          <w:b/>
          <w:color w:val="000000" w:themeColor="text1"/>
        </w:rPr>
      </w:pPr>
    </w:p>
    <w:p w14:paraId="1177CABB" w14:textId="0094FC20" w:rsidR="00E54E83" w:rsidRPr="006B3AC6" w:rsidRDefault="00E54E83" w:rsidP="00780608">
      <w:pPr>
        <w:spacing w:line="288" w:lineRule="auto"/>
        <w:rPr>
          <w:rFonts w:eastAsiaTheme="minorEastAsia"/>
          <w:b/>
          <w:color w:val="000000" w:themeColor="text1"/>
        </w:rPr>
      </w:pPr>
      <w:r w:rsidRPr="006B3AC6">
        <w:rPr>
          <w:rFonts w:eastAsiaTheme="minorEastAsia"/>
          <w:b/>
          <w:color w:val="000000" w:themeColor="text1"/>
        </w:rPr>
        <w:t>Table A</w:t>
      </w:r>
      <w:r>
        <w:rPr>
          <w:rFonts w:eastAsiaTheme="minorEastAsia"/>
          <w:b/>
          <w:color w:val="000000" w:themeColor="text1"/>
        </w:rPr>
        <w:t>1</w:t>
      </w:r>
      <w:r w:rsidRPr="006B3AC6">
        <w:rPr>
          <w:rFonts w:eastAsiaTheme="minorEastAsia"/>
          <w:b/>
          <w:color w:val="000000" w:themeColor="text1"/>
        </w:rPr>
        <w:t>.</w:t>
      </w:r>
      <w:r w:rsidR="00071AD7">
        <w:rPr>
          <w:rFonts w:eastAsiaTheme="minorEastAsia"/>
          <w:b/>
          <w:color w:val="000000" w:themeColor="text1"/>
        </w:rPr>
        <w:t>7</w:t>
      </w:r>
      <w:r w:rsidRPr="006B3AC6">
        <w:rPr>
          <w:rFonts w:eastAsiaTheme="minorEastAsia"/>
          <w:b/>
          <w:color w:val="000000" w:themeColor="text1"/>
        </w:rPr>
        <w:t xml:space="preserve">: Suppliers with an obligation who did not meet the 1 July 2021 deadline to submit </w:t>
      </w:r>
      <w:r>
        <w:rPr>
          <w:rFonts w:eastAsiaTheme="minorEastAsia"/>
          <w:b/>
          <w:color w:val="000000" w:themeColor="text1"/>
        </w:rPr>
        <w:t>final</w:t>
      </w:r>
      <w:r w:rsidRPr="006B3AC6">
        <w:rPr>
          <w:rFonts w:eastAsiaTheme="minorEastAsia"/>
          <w:b/>
          <w:color w:val="000000" w:themeColor="text1"/>
        </w:rPr>
        <w:t xml:space="preserve"> supply volumes</w:t>
      </w:r>
    </w:p>
    <w:tbl>
      <w:tblPr>
        <w:tblStyle w:val="TableGrid"/>
        <w:tblW w:w="0" w:type="auto"/>
        <w:tblLook w:val="04A0" w:firstRow="1" w:lastRow="0" w:firstColumn="1" w:lastColumn="0" w:noHBand="0" w:noVBand="1"/>
      </w:tblPr>
      <w:tblGrid>
        <w:gridCol w:w="3520"/>
      </w:tblGrid>
      <w:tr w:rsidR="00E54E83" w:rsidRPr="002E3196" w14:paraId="205DDB9A" w14:textId="77777777" w:rsidTr="00780608">
        <w:trPr>
          <w:trHeight w:val="340"/>
        </w:trPr>
        <w:tc>
          <w:tcPr>
            <w:tcW w:w="3520" w:type="dxa"/>
            <w:shd w:val="clear" w:color="auto" w:fill="2363AF"/>
            <w:vAlign w:val="center"/>
            <w:hideMark/>
          </w:tcPr>
          <w:p w14:paraId="4EF4CCB3" w14:textId="77777777" w:rsidR="00E54E83" w:rsidRPr="002E3196" w:rsidRDefault="00E54E83" w:rsidP="00780608">
            <w:pPr>
              <w:spacing w:line="240" w:lineRule="auto"/>
              <w:rPr>
                <w:rFonts w:cstheme="minorHAnsi"/>
                <w:b/>
                <w:bCs/>
                <w:sz w:val="16"/>
                <w:szCs w:val="16"/>
              </w:rPr>
            </w:pPr>
            <w:r w:rsidRPr="008650ED">
              <w:rPr>
                <w:rFonts w:eastAsia="Times New Roman" w:cstheme="minorHAnsi"/>
                <w:color w:val="FFFFFF" w:themeColor="background1"/>
                <w:sz w:val="16"/>
                <w:szCs w:val="16"/>
              </w:rPr>
              <w:t>Supplier Group</w:t>
            </w:r>
          </w:p>
        </w:tc>
      </w:tr>
      <w:tr w:rsidR="00E54E83" w:rsidRPr="002E3196" w14:paraId="62E05E0E" w14:textId="77777777" w:rsidTr="00780608">
        <w:trPr>
          <w:trHeight w:val="340"/>
        </w:trPr>
        <w:tc>
          <w:tcPr>
            <w:tcW w:w="3520" w:type="dxa"/>
            <w:noWrap/>
            <w:vAlign w:val="center"/>
            <w:hideMark/>
          </w:tcPr>
          <w:p w14:paraId="4BBE6974" w14:textId="77777777" w:rsidR="00E54E83" w:rsidRPr="002E3196" w:rsidRDefault="00E54E83">
            <w:pPr>
              <w:rPr>
                <w:rFonts w:cstheme="minorHAnsi"/>
                <w:sz w:val="16"/>
                <w:szCs w:val="16"/>
              </w:rPr>
            </w:pPr>
            <w:r w:rsidRPr="002E3196">
              <w:rPr>
                <w:rFonts w:cstheme="minorHAnsi"/>
                <w:sz w:val="16"/>
                <w:szCs w:val="16"/>
              </w:rPr>
              <w:t>Avro Energy Ltd</w:t>
            </w:r>
          </w:p>
        </w:tc>
      </w:tr>
      <w:tr w:rsidR="00E54E83" w:rsidRPr="002E3196" w14:paraId="1524DF37" w14:textId="77777777" w:rsidTr="00780608">
        <w:trPr>
          <w:trHeight w:val="340"/>
        </w:trPr>
        <w:tc>
          <w:tcPr>
            <w:tcW w:w="3520" w:type="dxa"/>
            <w:noWrap/>
            <w:vAlign w:val="center"/>
            <w:hideMark/>
          </w:tcPr>
          <w:p w14:paraId="548533E6" w14:textId="77777777" w:rsidR="00E54E83" w:rsidRPr="002E3196" w:rsidRDefault="00E54E83">
            <w:pPr>
              <w:rPr>
                <w:rFonts w:cstheme="minorHAnsi"/>
                <w:sz w:val="16"/>
                <w:szCs w:val="16"/>
              </w:rPr>
            </w:pPr>
            <w:r w:rsidRPr="002E3196">
              <w:rPr>
                <w:rFonts w:cstheme="minorHAnsi"/>
                <w:sz w:val="16"/>
                <w:szCs w:val="16"/>
              </w:rPr>
              <w:t>Co-Operative Energy Ltd</w:t>
            </w:r>
          </w:p>
        </w:tc>
      </w:tr>
      <w:tr w:rsidR="00E54E83" w:rsidRPr="002E3196" w14:paraId="42E7A93A" w14:textId="77777777" w:rsidTr="00780608">
        <w:trPr>
          <w:trHeight w:val="340"/>
        </w:trPr>
        <w:tc>
          <w:tcPr>
            <w:tcW w:w="3520" w:type="dxa"/>
            <w:noWrap/>
            <w:vAlign w:val="center"/>
            <w:hideMark/>
          </w:tcPr>
          <w:p w14:paraId="42940098" w14:textId="77777777" w:rsidR="00E54E83" w:rsidRPr="002E3196" w:rsidRDefault="00E54E83">
            <w:pPr>
              <w:rPr>
                <w:rFonts w:cstheme="minorHAnsi"/>
                <w:sz w:val="16"/>
                <w:szCs w:val="16"/>
              </w:rPr>
            </w:pPr>
            <w:r w:rsidRPr="002E3196">
              <w:rPr>
                <w:rFonts w:cstheme="minorHAnsi"/>
                <w:sz w:val="16"/>
                <w:szCs w:val="16"/>
              </w:rPr>
              <w:t>Euston Energy Ltd</w:t>
            </w:r>
          </w:p>
        </w:tc>
      </w:tr>
      <w:tr w:rsidR="00E54E83" w:rsidRPr="002E3196" w14:paraId="48C62ABC" w14:textId="77777777" w:rsidTr="00780608">
        <w:trPr>
          <w:trHeight w:val="340"/>
        </w:trPr>
        <w:tc>
          <w:tcPr>
            <w:tcW w:w="3520" w:type="dxa"/>
            <w:noWrap/>
            <w:vAlign w:val="center"/>
            <w:hideMark/>
          </w:tcPr>
          <w:p w14:paraId="4C53E006" w14:textId="77777777" w:rsidR="00E54E83" w:rsidRPr="002E3196" w:rsidRDefault="00E54E83">
            <w:pPr>
              <w:rPr>
                <w:rFonts w:cstheme="minorHAnsi"/>
                <w:sz w:val="16"/>
                <w:szCs w:val="16"/>
              </w:rPr>
            </w:pPr>
            <w:r w:rsidRPr="002E3196">
              <w:rPr>
                <w:rFonts w:cstheme="minorHAnsi"/>
                <w:sz w:val="16"/>
                <w:szCs w:val="16"/>
              </w:rPr>
              <w:t>Foxglove Energy Supply Ltd</w:t>
            </w:r>
          </w:p>
        </w:tc>
      </w:tr>
      <w:tr w:rsidR="00E54E83" w:rsidRPr="002E3196" w14:paraId="5517882A" w14:textId="77777777" w:rsidTr="00780608">
        <w:trPr>
          <w:trHeight w:val="340"/>
        </w:trPr>
        <w:tc>
          <w:tcPr>
            <w:tcW w:w="3520" w:type="dxa"/>
            <w:noWrap/>
            <w:vAlign w:val="center"/>
            <w:hideMark/>
          </w:tcPr>
          <w:p w14:paraId="75623EFE" w14:textId="77777777" w:rsidR="00E54E83" w:rsidRPr="002E3196" w:rsidRDefault="00E54E83">
            <w:pPr>
              <w:rPr>
                <w:rFonts w:cstheme="minorHAnsi"/>
                <w:sz w:val="16"/>
                <w:szCs w:val="16"/>
              </w:rPr>
            </w:pPr>
            <w:proofErr w:type="spellStart"/>
            <w:r w:rsidRPr="002E3196">
              <w:rPr>
                <w:rFonts w:cstheme="minorHAnsi"/>
                <w:sz w:val="16"/>
                <w:szCs w:val="16"/>
              </w:rPr>
              <w:t>Goto</w:t>
            </w:r>
            <w:proofErr w:type="spellEnd"/>
            <w:r w:rsidRPr="002E3196">
              <w:rPr>
                <w:rFonts w:cstheme="minorHAnsi"/>
                <w:sz w:val="16"/>
                <w:szCs w:val="16"/>
              </w:rPr>
              <w:t xml:space="preserve"> Energy (UK) Ltd</w:t>
            </w:r>
          </w:p>
        </w:tc>
      </w:tr>
      <w:tr w:rsidR="00E54E83" w:rsidRPr="002E3196" w14:paraId="6FEEC38B" w14:textId="77777777" w:rsidTr="00780608">
        <w:trPr>
          <w:trHeight w:val="340"/>
        </w:trPr>
        <w:tc>
          <w:tcPr>
            <w:tcW w:w="3520" w:type="dxa"/>
            <w:noWrap/>
            <w:vAlign w:val="center"/>
            <w:hideMark/>
          </w:tcPr>
          <w:p w14:paraId="02CF90B3" w14:textId="77777777" w:rsidR="00E54E83" w:rsidRPr="002E3196" w:rsidRDefault="00E54E83">
            <w:pPr>
              <w:rPr>
                <w:rFonts w:cstheme="minorHAnsi"/>
                <w:sz w:val="16"/>
                <w:szCs w:val="16"/>
              </w:rPr>
            </w:pPr>
            <w:r w:rsidRPr="002E3196">
              <w:rPr>
                <w:rFonts w:cstheme="minorHAnsi"/>
                <w:sz w:val="16"/>
                <w:szCs w:val="16"/>
              </w:rPr>
              <w:t>Home Energy Trading Ltd</w:t>
            </w:r>
          </w:p>
        </w:tc>
      </w:tr>
      <w:tr w:rsidR="00E54E83" w:rsidRPr="002E3196" w14:paraId="2060A5D4" w14:textId="77777777" w:rsidTr="00780608">
        <w:trPr>
          <w:trHeight w:val="340"/>
        </w:trPr>
        <w:tc>
          <w:tcPr>
            <w:tcW w:w="3520" w:type="dxa"/>
            <w:noWrap/>
            <w:vAlign w:val="center"/>
            <w:hideMark/>
          </w:tcPr>
          <w:p w14:paraId="35D0A542" w14:textId="77777777" w:rsidR="00E54E83" w:rsidRPr="002E3196" w:rsidRDefault="00E54E83">
            <w:pPr>
              <w:rPr>
                <w:rFonts w:cstheme="minorHAnsi"/>
                <w:sz w:val="16"/>
                <w:szCs w:val="16"/>
              </w:rPr>
            </w:pPr>
            <w:proofErr w:type="spellStart"/>
            <w:r w:rsidRPr="002E3196">
              <w:rPr>
                <w:rFonts w:cstheme="minorHAnsi"/>
                <w:sz w:val="16"/>
                <w:szCs w:val="16"/>
              </w:rPr>
              <w:t>Logicor</w:t>
            </w:r>
            <w:proofErr w:type="spellEnd"/>
            <w:r w:rsidRPr="002E3196">
              <w:rPr>
                <w:rFonts w:cstheme="minorHAnsi"/>
                <w:sz w:val="16"/>
                <w:szCs w:val="16"/>
              </w:rPr>
              <w:t xml:space="preserve"> Energy Ltd</w:t>
            </w:r>
          </w:p>
        </w:tc>
      </w:tr>
    </w:tbl>
    <w:p w14:paraId="36C6691E" w14:textId="77777777" w:rsidR="00E54E83" w:rsidRPr="002E3196" w:rsidRDefault="00E54E83" w:rsidP="00E54E83">
      <w:pPr>
        <w:rPr>
          <w:rFonts w:cstheme="minorHAnsi"/>
          <w:sz w:val="16"/>
          <w:szCs w:val="16"/>
        </w:rPr>
      </w:pPr>
    </w:p>
    <w:p w14:paraId="74BB7917" w14:textId="4C4C9B46" w:rsidR="00071AD7" w:rsidRDefault="00071AD7">
      <w:pPr>
        <w:spacing w:line="276" w:lineRule="auto"/>
        <w:rPr>
          <w:rFonts w:cstheme="minorHAnsi"/>
        </w:rPr>
      </w:pPr>
      <w:r>
        <w:rPr>
          <w:rFonts w:cstheme="minorHAnsi"/>
        </w:rPr>
        <w:br w:type="page"/>
      </w:r>
    </w:p>
    <w:p w14:paraId="7055B539" w14:textId="00D0EF39" w:rsidR="00C85B64" w:rsidRPr="00482E14" w:rsidRDefault="00C85B64" w:rsidP="00C85B64">
      <w:pPr>
        <w:pStyle w:val="Heading2"/>
        <w:rPr>
          <w:rStyle w:val="Heading2Char"/>
          <w:sz w:val="36"/>
          <w:szCs w:val="32"/>
        </w:rPr>
      </w:pPr>
      <w:bookmarkStart w:id="429" w:name="_Toc98852191"/>
      <w:r w:rsidRPr="004A0932">
        <w:rPr>
          <w:rStyle w:val="Heading2Char"/>
          <w:b/>
          <w:sz w:val="36"/>
          <w:szCs w:val="32"/>
        </w:rPr>
        <w:lastRenderedPageBreak/>
        <w:t xml:space="preserve">Appendix 2 – </w:t>
      </w:r>
      <w:r>
        <w:rPr>
          <w:rStyle w:val="Heading2Char"/>
          <w:b/>
          <w:sz w:val="36"/>
          <w:szCs w:val="32"/>
        </w:rPr>
        <w:t>Mutualisation payments</w:t>
      </w:r>
      <w:bookmarkEnd w:id="429"/>
    </w:p>
    <w:p w14:paraId="7AEE093E" w14:textId="4DD37901" w:rsidR="00C85B64" w:rsidRDefault="00C85B64" w:rsidP="00C85B64">
      <w:pPr>
        <w:spacing w:line="288" w:lineRule="auto"/>
        <w:rPr>
          <w:rFonts w:eastAsiaTheme="minorEastAsia"/>
          <w:b/>
          <w:color w:val="000000" w:themeColor="text1"/>
        </w:rPr>
      </w:pPr>
      <w:r w:rsidRPr="006B3AC6">
        <w:rPr>
          <w:rFonts w:eastAsiaTheme="minorEastAsia"/>
          <w:b/>
          <w:color w:val="000000" w:themeColor="text1"/>
        </w:rPr>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1</w:t>
      </w:r>
      <w:r w:rsidRPr="006B3AC6">
        <w:rPr>
          <w:rFonts w:eastAsiaTheme="minorEastAsia"/>
          <w:b/>
          <w:color w:val="000000" w:themeColor="text1"/>
        </w:rPr>
        <w:t xml:space="preserve">: </w:t>
      </w:r>
      <w:r w:rsidR="00805F00">
        <w:rPr>
          <w:rFonts w:eastAsiaTheme="minorEastAsia"/>
          <w:b/>
          <w:color w:val="000000" w:themeColor="text1"/>
        </w:rPr>
        <w:t>RO mutualisation payments received</w:t>
      </w:r>
      <w:r w:rsidR="00F741F5">
        <w:rPr>
          <w:rStyle w:val="FootnoteReference"/>
          <w:rFonts w:eastAsiaTheme="minorEastAsia"/>
          <w:b/>
          <w:color w:val="000000" w:themeColor="text1"/>
        </w:rPr>
        <w:footnoteReference w:id="104"/>
      </w:r>
      <w:r w:rsidR="00805F00">
        <w:rPr>
          <w:rFonts w:eastAsiaTheme="minorEastAsia"/>
          <w:b/>
          <w:color w:val="000000" w:themeColor="text1"/>
        </w:rPr>
        <w:t xml:space="preserve"> 2017-18</w:t>
      </w:r>
    </w:p>
    <w:tbl>
      <w:tblPr>
        <w:tblW w:w="10696" w:type="dxa"/>
        <w:tblInd w:w="-289" w:type="dxa"/>
        <w:tblLook w:val="04A0" w:firstRow="1" w:lastRow="0" w:firstColumn="1" w:lastColumn="0" w:noHBand="0" w:noVBand="1"/>
      </w:tblPr>
      <w:tblGrid>
        <w:gridCol w:w="1593"/>
        <w:gridCol w:w="1526"/>
        <w:gridCol w:w="1510"/>
        <w:gridCol w:w="1510"/>
        <w:gridCol w:w="1516"/>
        <w:gridCol w:w="1510"/>
        <w:gridCol w:w="1531"/>
      </w:tblGrid>
      <w:tr w:rsidR="004433D7" w:rsidRPr="004433D7" w14:paraId="78856885" w14:textId="77777777" w:rsidTr="00780608">
        <w:trPr>
          <w:trHeight w:val="620"/>
          <w:tblHeader/>
        </w:trPr>
        <w:tc>
          <w:tcPr>
            <w:tcW w:w="1593"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4B95C436"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526" w:type="dxa"/>
            <w:tcBorders>
              <w:top w:val="single" w:sz="4" w:space="0" w:color="auto"/>
              <w:left w:val="nil"/>
              <w:bottom w:val="single" w:sz="4" w:space="0" w:color="auto"/>
              <w:right w:val="single" w:sz="4" w:space="0" w:color="auto"/>
            </w:tcBorders>
            <w:shd w:val="clear" w:color="auto" w:fill="2363AF"/>
            <w:vAlign w:val="center"/>
            <w:hideMark/>
          </w:tcPr>
          <w:p w14:paraId="4B9538C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Amount due</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36B069D0"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Q1</w:t>
            </w:r>
            <w:r w:rsidRPr="004433D7">
              <w:rPr>
                <w:rFonts w:eastAsia="Times New Roman" w:cs="Times New Roman"/>
                <w:color w:val="FFFFFF"/>
                <w:sz w:val="16"/>
                <w:szCs w:val="16"/>
              </w:rPr>
              <w:br/>
              <w:t>Payments received</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28D80E8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Q2</w:t>
            </w:r>
            <w:r w:rsidRPr="004433D7">
              <w:rPr>
                <w:rFonts w:eastAsia="Times New Roman" w:cs="Times New Roman"/>
                <w:color w:val="FFFFFF"/>
                <w:sz w:val="16"/>
                <w:szCs w:val="16"/>
              </w:rPr>
              <w:br/>
              <w:t>Payments received</w:t>
            </w:r>
          </w:p>
        </w:tc>
        <w:tc>
          <w:tcPr>
            <w:tcW w:w="1516" w:type="dxa"/>
            <w:tcBorders>
              <w:top w:val="single" w:sz="4" w:space="0" w:color="auto"/>
              <w:left w:val="nil"/>
              <w:bottom w:val="single" w:sz="4" w:space="0" w:color="auto"/>
              <w:right w:val="single" w:sz="4" w:space="0" w:color="auto"/>
            </w:tcBorders>
            <w:shd w:val="clear" w:color="auto" w:fill="2363AF"/>
            <w:vAlign w:val="center"/>
            <w:hideMark/>
          </w:tcPr>
          <w:p w14:paraId="03B2333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Q3</w:t>
            </w:r>
            <w:r w:rsidRPr="004433D7">
              <w:rPr>
                <w:rFonts w:eastAsia="Times New Roman" w:cs="Times New Roman"/>
                <w:color w:val="FFFFFF"/>
                <w:sz w:val="16"/>
                <w:szCs w:val="16"/>
              </w:rPr>
              <w:br/>
              <w:t>Payments received</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6663036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Q4</w:t>
            </w:r>
            <w:r w:rsidRPr="004433D7">
              <w:rPr>
                <w:rFonts w:eastAsia="Times New Roman" w:cs="Times New Roman"/>
                <w:color w:val="FFFFFF"/>
                <w:sz w:val="16"/>
                <w:szCs w:val="16"/>
              </w:rPr>
              <w:br/>
              <w:t>Payments received</w:t>
            </w:r>
          </w:p>
        </w:tc>
        <w:tc>
          <w:tcPr>
            <w:tcW w:w="1531" w:type="dxa"/>
            <w:tcBorders>
              <w:top w:val="single" w:sz="4" w:space="0" w:color="auto"/>
              <w:left w:val="nil"/>
              <w:bottom w:val="single" w:sz="4" w:space="0" w:color="auto"/>
              <w:right w:val="single" w:sz="4" w:space="0" w:color="auto"/>
            </w:tcBorders>
            <w:shd w:val="clear" w:color="auto" w:fill="2363AF"/>
            <w:vAlign w:val="center"/>
            <w:hideMark/>
          </w:tcPr>
          <w:p w14:paraId="7F86FC2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w:t>
            </w:r>
            <w:r w:rsidRPr="004433D7">
              <w:rPr>
                <w:rFonts w:eastAsia="Times New Roman" w:cs="Times New Roman"/>
                <w:color w:val="FFFFFF"/>
                <w:sz w:val="16"/>
                <w:szCs w:val="16"/>
              </w:rPr>
              <w:br/>
              <w:t>Total received</w:t>
            </w:r>
          </w:p>
        </w:tc>
      </w:tr>
      <w:tr w:rsidR="004433D7" w:rsidRPr="004433D7" w14:paraId="09626B97"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107A13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Affect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0CC182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£25,062.12</w:t>
            </w:r>
          </w:p>
        </w:tc>
        <w:tc>
          <w:tcPr>
            <w:tcW w:w="1510" w:type="dxa"/>
            <w:tcBorders>
              <w:top w:val="nil"/>
              <w:left w:val="nil"/>
              <w:bottom w:val="single" w:sz="4" w:space="0" w:color="auto"/>
              <w:right w:val="single" w:sz="4" w:space="0" w:color="auto"/>
            </w:tcBorders>
            <w:shd w:val="clear" w:color="auto" w:fill="auto"/>
            <w:noWrap/>
            <w:vAlign w:val="center"/>
            <w:hideMark/>
          </w:tcPr>
          <w:p w14:paraId="76C373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£6,265.53</w:t>
            </w:r>
          </w:p>
        </w:tc>
        <w:tc>
          <w:tcPr>
            <w:tcW w:w="1510" w:type="dxa"/>
            <w:tcBorders>
              <w:top w:val="nil"/>
              <w:left w:val="nil"/>
              <w:bottom w:val="single" w:sz="4" w:space="0" w:color="auto"/>
              <w:right w:val="single" w:sz="4" w:space="0" w:color="auto"/>
            </w:tcBorders>
            <w:shd w:val="clear" w:color="auto" w:fill="auto"/>
            <w:noWrap/>
            <w:vAlign w:val="center"/>
            <w:hideMark/>
          </w:tcPr>
          <w:p w14:paraId="432824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£6,265.53</w:t>
            </w:r>
          </w:p>
        </w:tc>
        <w:tc>
          <w:tcPr>
            <w:tcW w:w="1516" w:type="dxa"/>
            <w:tcBorders>
              <w:top w:val="nil"/>
              <w:left w:val="nil"/>
              <w:bottom w:val="single" w:sz="4" w:space="0" w:color="auto"/>
              <w:right w:val="single" w:sz="4" w:space="0" w:color="auto"/>
            </w:tcBorders>
            <w:shd w:val="clear" w:color="auto" w:fill="auto"/>
            <w:noWrap/>
            <w:vAlign w:val="center"/>
            <w:hideMark/>
          </w:tcPr>
          <w:p w14:paraId="760D37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£6,265.53</w:t>
            </w:r>
          </w:p>
        </w:tc>
        <w:tc>
          <w:tcPr>
            <w:tcW w:w="1510" w:type="dxa"/>
            <w:tcBorders>
              <w:top w:val="nil"/>
              <w:left w:val="nil"/>
              <w:bottom w:val="single" w:sz="4" w:space="0" w:color="auto"/>
              <w:right w:val="single" w:sz="4" w:space="0" w:color="auto"/>
            </w:tcBorders>
            <w:shd w:val="clear" w:color="auto" w:fill="auto"/>
            <w:noWrap/>
            <w:vAlign w:val="center"/>
            <w:hideMark/>
          </w:tcPr>
          <w:p w14:paraId="742117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£6,265.53</w:t>
            </w:r>
          </w:p>
        </w:tc>
        <w:tc>
          <w:tcPr>
            <w:tcW w:w="1531" w:type="dxa"/>
            <w:tcBorders>
              <w:top w:val="nil"/>
              <w:left w:val="nil"/>
              <w:bottom w:val="single" w:sz="4" w:space="0" w:color="auto"/>
              <w:right w:val="single" w:sz="4" w:space="0" w:color="auto"/>
            </w:tcBorders>
            <w:shd w:val="clear" w:color="auto" w:fill="auto"/>
            <w:noWrap/>
            <w:vAlign w:val="center"/>
            <w:hideMark/>
          </w:tcPr>
          <w:p w14:paraId="34A06C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£25,062.12</w:t>
            </w:r>
          </w:p>
        </w:tc>
      </w:tr>
      <w:tr w:rsidR="004433D7" w:rsidRPr="004433D7" w14:paraId="725598D7"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FC63BA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Ampoweruk</w:t>
            </w:r>
            <w:proofErr w:type="spellEnd"/>
            <w:r w:rsidRPr="004433D7">
              <w:rPr>
                <w:rFonts w:eastAsia="Times New Roman" w:cs="Times New Roman"/>
                <w:color w:val="000000"/>
                <w:sz w:val="16"/>
                <w:szCs w:val="16"/>
              </w:rPr>
              <w:t xml:space="preserve"> Limited</w:t>
            </w:r>
          </w:p>
        </w:tc>
        <w:tc>
          <w:tcPr>
            <w:tcW w:w="1526" w:type="dxa"/>
            <w:tcBorders>
              <w:top w:val="nil"/>
              <w:left w:val="nil"/>
              <w:bottom w:val="single" w:sz="4" w:space="0" w:color="auto"/>
              <w:right w:val="single" w:sz="4" w:space="0" w:color="auto"/>
            </w:tcBorders>
            <w:shd w:val="clear" w:color="auto" w:fill="auto"/>
            <w:noWrap/>
            <w:vAlign w:val="center"/>
            <w:hideMark/>
          </w:tcPr>
          <w:p w14:paraId="12EB27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£355.31</w:t>
            </w:r>
          </w:p>
        </w:tc>
        <w:tc>
          <w:tcPr>
            <w:tcW w:w="1510" w:type="dxa"/>
            <w:tcBorders>
              <w:top w:val="nil"/>
              <w:left w:val="nil"/>
              <w:bottom w:val="single" w:sz="4" w:space="0" w:color="auto"/>
              <w:right w:val="single" w:sz="4" w:space="0" w:color="auto"/>
            </w:tcBorders>
            <w:shd w:val="clear" w:color="auto" w:fill="auto"/>
            <w:noWrap/>
            <w:vAlign w:val="center"/>
            <w:hideMark/>
          </w:tcPr>
          <w:p w14:paraId="624B85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£88.83</w:t>
            </w:r>
          </w:p>
        </w:tc>
        <w:tc>
          <w:tcPr>
            <w:tcW w:w="1510" w:type="dxa"/>
            <w:tcBorders>
              <w:top w:val="nil"/>
              <w:left w:val="nil"/>
              <w:bottom w:val="single" w:sz="4" w:space="0" w:color="auto"/>
              <w:right w:val="single" w:sz="4" w:space="0" w:color="auto"/>
            </w:tcBorders>
            <w:shd w:val="clear" w:color="auto" w:fill="auto"/>
            <w:noWrap/>
            <w:vAlign w:val="center"/>
            <w:hideMark/>
          </w:tcPr>
          <w:p w14:paraId="064C6A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£88.83</w:t>
            </w:r>
          </w:p>
        </w:tc>
        <w:tc>
          <w:tcPr>
            <w:tcW w:w="1516" w:type="dxa"/>
            <w:tcBorders>
              <w:top w:val="nil"/>
              <w:left w:val="nil"/>
              <w:bottom w:val="single" w:sz="4" w:space="0" w:color="auto"/>
              <w:right w:val="single" w:sz="4" w:space="0" w:color="auto"/>
            </w:tcBorders>
            <w:shd w:val="clear" w:color="auto" w:fill="auto"/>
            <w:noWrap/>
            <w:vAlign w:val="center"/>
            <w:hideMark/>
          </w:tcPr>
          <w:p w14:paraId="3CA8CC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£266.49</w:t>
            </w:r>
          </w:p>
        </w:tc>
        <w:tc>
          <w:tcPr>
            <w:tcW w:w="1510" w:type="dxa"/>
            <w:tcBorders>
              <w:top w:val="nil"/>
              <w:left w:val="nil"/>
              <w:bottom w:val="single" w:sz="4" w:space="0" w:color="auto"/>
              <w:right w:val="single" w:sz="4" w:space="0" w:color="auto"/>
            </w:tcBorders>
            <w:shd w:val="clear" w:color="auto" w:fill="auto"/>
            <w:noWrap/>
            <w:vAlign w:val="center"/>
            <w:hideMark/>
          </w:tcPr>
          <w:p w14:paraId="32A8E9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50B6C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£444.15</w:t>
            </w:r>
          </w:p>
        </w:tc>
      </w:tr>
      <w:tr w:rsidR="004433D7" w:rsidRPr="004433D7" w14:paraId="7C593823"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8D5687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Avid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0E1486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£178.17</w:t>
            </w:r>
          </w:p>
        </w:tc>
        <w:tc>
          <w:tcPr>
            <w:tcW w:w="1510" w:type="dxa"/>
            <w:tcBorders>
              <w:top w:val="nil"/>
              <w:left w:val="nil"/>
              <w:bottom w:val="single" w:sz="4" w:space="0" w:color="auto"/>
              <w:right w:val="single" w:sz="4" w:space="0" w:color="auto"/>
            </w:tcBorders>
            <w:shd w:val="clear" w:color="auto" w:fill="auto"/>
            <w:noWrap/>
            <w:vAlign w:val="center"/>
            <w:hideMark/>
          </w:tcPr>
          <w:p w14:paraId="44695F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£178.17</w:t>
            </w:r>
          </w:p>
        </w:tc>
        <w:tc>
          <w:tcPr>
            <w:tcW w:w="1510" w:type="dxa"/>
            <w:tcBorders>
              <w:top w:val="nil"/>
              <w:left w:val="nil"/>
              <w:bottom w:val="single" w:sz="4" w:space="0" w:color="auto"/>
              <w:right w:val="single" w:sz="4" w:space="0" w:color="auto"/>
            </w:tcBorders>
            <w:shd w:val="clear" w:color="auto" w:fill="auto"/>
            <w:noWrap/>
            <w:vAlign w:val="center"/>
            <w:hideMark/>
          </w:tcPr>
          <w:p w14:paraId="197313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6EC512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9712F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63FE5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£178.17</w:t>
            </w:r>
          </w:p>
        </w:tc>
      </w:tr>
      <w:tr w:rsidR="004433D7" w:rsidRPr="004433D7" w14:paraId="5C0423D6"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5CB911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Avro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6D8951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£90,947.98</w:t>
            </w:r>
          </w:p>
        </w:tc>
        <w:tc>
          <w:tcPr>
            <w:tcW w:w="1510" w:type="dxa"/>
            <w:tcBorders>
              <w:top w:val="nil"/>
              <w:left w:val="nil"/>
              <w:bottom w:val="single" w:sz="4" w:space="0" w:color="auto"/>
              <w:right w:val="single" w:sz="4" w:space="0" w:color="auto"/>
            </w:tcBorders>
            <w:shd w:val="clear" w:color="auto" w:fill="auto"/>
            <w:noWrap/>
            <w:vAlign w:val="center"/>
            <w:hideMark/>
          </w:tcPr>
          <w:p w14:paraId="47FD26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£22,737.00</w:t>
            </w:r>
          </w:p>
        </w:tc>
        <w:tc>
          <w:tcPr>
            <w:tcW w:w="1510" w:type="dxa"/>
            <w:tcBorders>
              <w:top w:val="nil"/>
              <w:left w:val="nil"/>
              <w:bottom w:val="single" w:sz="4" w:space="0" w:color="auto"/>
              <w:right w:val="single" w:sz="4" w:space="0" w:color="auto"/>
            </w:tcBorders>
            <w:shd w:val="clear" w:color="auto" w:fill="auto"/>
            <w:noWrap/>
            <w:vAlign w:val="center"/>
            <w:hideMark/>
          </w:tcPr>
          <w:p w14:paraId="55C5C0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£22,737.00</w:t>
            </w:r>
          </w:p>
        </w:tc>
        <w:tc>
          <w:tcPr>
            <w:tcW w:w="1516" w:type="dxa"/>
            <w:tcBorders>
              <w:top w:val="nil"/>
              <w:left w:val="nil"/>
              <w:bottom w:val="single" w:sz="4" w:space="0" w:color="auto"/>
              <w:right w:val="single" w:sz="4" w:space="0" w:color="auto"/>
            </w:tcBorders>
            <w:shd w:val="clear" w:color="auto" w:fill="auto"/>
            <w:noWrap/>
            <w:vAlign w:val="center"/>
            <w:hideMark/>
          </w:tcPr>
          <w:p w14:paraId="1E6DC2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£22,737.00</w:t>
            </w:r>
          </w:p>
        </w:tc>
        <w:tc>
          <w:tcPr>
            <w:tcW w:w="1510" w:type="dxa"/>
            <w:tcBorders>
              <w:top w:val="nil"/>
              <w:left w:val="nil"/>
              <w:bottom w:val="single" w:sz="4" w:space="0" w:color="auto"/>
              <w:right w:val="single" w:sz="4" w:space="0" w:color="auto"/>
            </w:tcBorders>
            <w:shd w:val="clear" w:color="auto" w:fill="auto"/>
            <w:noWrap/>
            <w:vAlign w:val="center"/>
            <w:hideMark/>
          </w:tcPr>
          <w:p w14:paraId="73DDB5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£22,737.00</w:t>
            </w:r>
          </w:p>
        </w:tc>
        <w:tc>
          <w:tcPr>
            <w:tcW w:w="1531" w:type="dxa"/>
            <w:tcBorders>
              <w:top w:val="nil"/>
              <w:left w:val="nil"/>
              <w:bottom w:val="single" w:sz="4" w:space="0" w:color="auto"/>
              <w:right w:val="single" w:sz="4" w:space="0" w:color="auto"/>
            </w:tcBorders>
            <w:shd w:val="clear" w:color="auto" w:fill="auto"/>
            <w:noWrap/>
            <w:vAlign w:val="center"/>
            <w:hideMark/>
          </w:tcPr>
          <w:p w14:paraId="1B7E6C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£90,948.00</w:t>
            </w:r>
          </w:p>
        </w:tc>
      </w:tr>
      <w:tr w:rsidR="004433D7" w:rsidRPr="004433D7" w14:paraId="41F4656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5DF9EE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Axis Telecom Limited</w:t>
            </w:r>
          </w:p>
        </w:tc>
        <w:tc>
          <w:tcPr>
            <w:tcW w:w="1526" w:type="dxa"/>
            <w:tcBorders>
              <w:top w:val="nil"/>
              <w:left w:val="nil"/>
              <w:bottom w:val="single" w:sz="4" w:space="0" w:color="auto"/>
              <w:right w:val="single" w:sz="4" w:space="0" w:color="auto"/>
            </w:tcBorders>
            <w:shd w:val="clear" w:color="auto" w:fill="auto"/>
            <w:noWrap/>
            <w:vAlign w:val="center"/>
            <w:hideMark/>
          </w:tcPr>
          <w:p w14:paraId="0EE026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£6,572.20</w:t>
            </w:r>
          </w:p>
        </w:tc>
        <w:tc>
          <w:tcPr>
            <w:tcW w:w="1510" w:type="dxa"/>
            <w:tcBorders>
              <w:top w:val="nil"/>
              <w:left w:val="nil"/>
              <w:bottom w:val="single" w:sz="4" w:space="0" w:color="auto"/>
              <w:right w:val="single" w:sz="4" w:space="0" w:color="auto"/>
            </w:tcBorders>
            <w:shd w:val="clear" w:color="auto" w:fill="auto"/>
            <w:noWrap/>
            <w:vAlign w:val="center"/>
            <w:hideMark/>
          </w:tcPr>
          <w:p w14:paraId="4823F0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£6,572.20</w:t>
            </w:r>
          </w:p>
        </w:tc>
        <w:tc>
          <w:tcPr>
            <w:tcW w:w="1510" w:type="dxa"/>
            <w:tcBorders>
              <w:top w:val="nil"/>
              <w:left w:val="nil"/>
              <w:bottom w:val="single" w:sz="4" w:space="0" w:color="auto"/>
              <w:right w:val="single" w:sz="4" w:space="0" w:color="auto"/>
            </w:tcBorders>
            <w:shd w:val="clear" w:color="auto" w:fill="auto"/>
            <w:noWrap/>
            <w:vAlign w:val="center"/>
            <w:hideMark/>
          </w:tcPr>
          <w:p w14:paraId="25C376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56A8C4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37E16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373331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£6,572.20</w:t>
            </w:r>
          </w:p>
        </w:tc>
      </w:tr>
      <w:tr w:rsidR="004433D7" w:rsidRPr="004433D7" w14:paraId="7B353991"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7E2C00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526" w:type="dxa"/>
            <w:tcBorders>
              <w:top w:val="nil"/>
              <w:left w:val="nil"/>
              <w:bottom w:val="single" w:sz="4" w:space="0" w:color="auto"/>
              <w:right w:val="single" w:sz="4" w:space="0" w:color="auto"/>
            </w:tcBorders>
            <w:shd w:val="clear" w:color="auto" w:fill="auto"/>
            <w:noWrap/>
            <w:vAlign w:val="center"/>
            <w:hideMark/>
          </w:tcPr>
          <w:p w14:paraId="30EE0C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£227,891.65</w:t>
            </w:r>
          </w:p>
        </w:tc>
        <w:tc>
          <w:tcPr>
            <w:tcW w:w="1510" w:type="dxa"/>
            <w:tcBorders>
              <w:top w:val="nil"/>
              <w:left w:val="nil"/>
              <w:bottom w:val="single" w:sz="4" w:space="0" w:color="auto"/>
              <w:right w:val="single" w:sz="4" w:space="0" w:color="auto"/>
            </w:tcBorders>
            <w:shd w:val="clear" w:color="auto" w:fill="auto"/>
            <w:noWrap/>
            <w:vAlign w:val="center"/>
            <w:hideMark/>
          </w:tcPr>
          <w:p w14:paraId="37545F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£56,972.91</w:t>
            </w:r>
          </w:p>
        </w:tc>
        <w:tc>
          <w:tcPr>
            <w:tcW w:w="1510" w:type="dxa"/>
            <w:tcBorders>
              <w:top w:val="nil"/>
              <w:left w:val="nil"/>
              <w:bottom w:val="single" w:sz="4" w:space="0" w:color="auto"/>
              <w:right w:val="single" w:sz="4" w:space="0" w:color="auto"/>
            </w:tcBorders>
            <w:shd w:val="clear" w:color="auto" w:fill="auto"/>
            <w:noWrap/>
            <w:vAlign w:val="center"/>
            <w:hideMark/>
          </w:tcPr>
          <w:p w14:paraId="3AE641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£56,972.91</w:t>
            </w:r>
          </w:p>
        </w:tc>
        <w:tc>
          <w:tcPr>
            <w:tcW w:w="1516" w:type="dxa"/>
            <w:tcBorders>
              <w:top w:val="nil"/>
              <w:left w:val="nil"/>
              <w:bottom w:val="single" w:sz="4" w:space="0" w:color="auto"/>
              <w:right w:val="single" w:sz="4" w:space="0" w:color="auto"/>
            </w:tcBorders>
            <w:shd w:val="clear" w:color="auto" w:fill="auto"/>
            <w:noWrap/>
            <w:vAlign w:val="center"/>
            <w:hideMark/>
          </w:tcPr>
          <w:p w14:paraId="2E657E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£56,972.91</w:t>
            </w:r>
          </w:p>
        </w:tc>
        <w:tc>
          <w:tcPr>
            <w:tcW w:w="1510" w:type="dxa"/>
            <w:tcBorders>
              <w:top w:val="nil"/>
              <w:left w:val="nil"/>
              <w:bottom w:val="single" w:sz="4" w:space="0" w:color="auto"/>
              <w:right w:val="single" w:sz="4" w:space="0" w:color="auto"/>
            </w:tcBorders>
            <w:shd w:val="clear" w:color="auto" w:fill="auto"/>
            <w:noWrap/>
            <w:vAlign w:val="center"/>
            <w:hideMark/>
          </w:tcPr>
          <w:p w14:paraId="06C109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£56,972.91</w:t>
            </w:r>
          </w:p>
        </w:tc>
        <w:tc>
          <w:tcPr>
            <w:tcW w:w="1531" w:type="dxa"/>
            <w:tcBorders>
              <w:top w:val="nil"/>
              <w:left w:val="nil"/>
              <w:bottom w:val="single" w:sz="4" w:space="0" w:color="auto"/>
              <w:right w:val="single" w:sz="4" w:space="0" w:color="auto"/>
            </w:tcBorders>
            <w:shd w:val="clear" w:color="auto" w:fill="auto"/>
            <w:noWrap/>
            <w:vAlign w:val="center"/>
            <w:hideMark/>
          </w:tcPr>
          <w:p w14:paraId="36A1E0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£227,891.64</w:t>
            </w:r>
          </w:p>
        </w:tc>
      </w:tr>
      <w:tr w:rsidR="004433D7" w:rsidRPr="004433D7" w14:paraId="77E84E9F"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3EE5F0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526" w:type="dxa"/>
            <w:tcBorders>
              <w:top w:val="nil"/>
              <w:left w:val="nil"/>
              <w:bottom w:val="single" w:sz="4" w:space="0" w:color="auto"/>
              <w:right w:val="single" w:sz="4" w:space="0" w:color="auto"/>
            </w:tcBorders>
            <w:shd w:val="clear" w:color="auto" w:fill="auto"/>
            <w:noWrap/>
            <w:vAlign w:val="center"/>
            <w:hideMark/>
          </w:tcPr>
          <w:p w14:paraId="2AC019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£90,283.44</w:t>
            </w:r>
          </w:p>
        </w:tc>
        <w:tc>
          <w:tcPr>
            <w:tcW w:w="1510" w:type="dxa"/>
            <w:tcBorders>
              <w:top w:val="nil"/>
              <w:left w:val="nil"/>
              <w:bottom w:val="single" w:sz="4" w:space="0" w:color="auto"/>
              <w:right w:val="single" w:sz="4" w:space="0" w:color="auto"/>
            </w:tcBorders>
            <w:shd w:val="clear" w:color="auto" w:fill="auto"/>
            <w:noWrap/>
            <w:vAlign w:val="center"/>
            <w:hideMark/>
          </w:tcPr>
          <w:p w14:paraId="26A52F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£22,570.86</w:t>
            </w:r>
          </w:p>
        </w:tc>
        <w:tc>
          <w:tcPr>
            <w:tcW w:w="1510" w:type="dxa"/>
            <w:tcBorders>
              <w:top w:val="nil"/>
              <w:left w:val="nil"/>
              <w:bottom w:val="single" w:sz="4" w:space="0" w:color="auto"/>
              <w:right w:val="single" w:sz="4" w:space="0" w:color="auto"/>
            </w:tcBorders>
            <w:shd w:val="clear" w:color="auto" w:fill="auto"/>
            <w:noWrap/>
            <w:vAlign w:val="center"/>
            <w:hideMark/>
          </w:tcPr>
          <w:p w14:paraId="2A2A89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£22,570.86</w:t>
            </w:r>
          </w:p>
        </w:tc>
        <w:tc>
          <w:tcPr>
            <w:tcW w:w="1516" w:type="dxa"/>
            <w:tcBorders>
              <w:top w:val="nil"/>
              <w:left w:val="nil"/>
              <w:bottom w:val="single" w:sz="4" w:space="0" w:color="auto"/>
              <w:right w:val="single" w:sz="4" w:space="0" w:color="auto"/>
            </w:tcBorders>
            <w:shd w:val="clear" w:color="auto" w:fill="auto"/>
            <w:noWrap/>
            <w:vAlign w:val="center"/>
            <w:hideMark/>
          </w:tcPr>
          <w:p w14:paraId="3CDC82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£22,570.86</w:t>
            </w:r>
          </w:p>
        </w:tc>
        <w:tc>
          <w:tcPr>
            <w:tcW w:w="1510" w:type="dxa"/>
            <w:tcBorders>
              <w:top w:val="nil"/>
              <w:left w:val="nil"/>
              <w:bottom w:val="single" w:sz="4" w:space="0" w:color="auto"/>
              <w:right w:val="single" w:sz="4" w:space="0" w:color="auto"/>
            </w:tcBorders>
            <w:shd w:val="clear" w:color="auto" w:fill="auto"/>
            <w:noWrap/>
            <w:vAlign w:val="center"/>
            <w:hideMark/>
          </w:tcPr>
          <w:p w14:paraId="7291A5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£22,570.86</w:t>
            </w:r>
          </w:p>
        </w:tc>
        <w:tc>
          <w:tcPr>
            <w:tcW w:w="1531" w:type="dxa"/>
            <w:tcBorders>
              <w:top w:val="nil"/>
              <w:left w:val="nil"/>
              <w:bottom w:val="single" w:sz="4" w:space="0" w:color="auto"/>
              <w:right w:val="single" w:sz="4" w:space="0" w:color="auto"/>
            </w:tcBorders>
            <w:shd w:val="clear" w:color="auto" w:fill="auto"/>
            <w:noWrap/>
            <w:vAlign w:val="center"/>
            <w:hideMark/>
          </w:tcPr>
          <w:p w14:paraId="587768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£90,283.44</w:t>
            </w:r>
          </w:p>
        </w:tc>
      </w:tr>
      <w:tr w:rsidR="004433D7" w:rsidRPr="004433D7" w14:paraId="06E6775C"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61D1A0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BP Energy Europe Limited</w:t>
            </w:r>
          </w:p>
        </w:tc>
        <w:tc>
          <w:tcPr>
            <w:tcW w:w="1526" w:type="dxa"/>
            <w:tcBorders>
              <w:top w:val="nil"/>
              <w:left w:val="nil"/>
              <w:bottom w:val="single" w:sz="4" w:space="0" w:color="auto"/>
              <w:right w:val="single" w:sz="4" w:space="0" w:color="auto"/>
            </w:tcBorders>
            <w:shd w:val="clear" w:color="auto" w:fill="auto"/>
            <w:noWrap/>
            <w:vAlign w:val="center"/>
            <w:hideMark/>
          </w:tcPr>
          <w:p w14:paraId="457B76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£2,913.64</w:t>
            </w:r>
          </w:p>
        </w:tc>
        <w:tc>
          <w:tcPr>
            <w:tcW w:w="1510" w:type="dxa"/>
            <w:tcBorders>
              <w:top w:val="nil"/>
              <w:left w:val="nil"/>
              <w:bottom w:val="single" w:sz="4" w:space="0" w:color="auto"/>
              <w:right w:val="single" w:sz="4" w:space="0" w:color="auto"/>
            </w:tcBorders>
            <w:shd w:val="clear" w:color="auto" w:fill="auto"/>
            <w:noWrap/>
            <w:vAlign w:val="center"/>
            <w:hideMark/>
          </w:tcPr>
          <w:p w14:paraId="2C6E7F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£2,913.64</w:t>
            </w:r>
          </w:p>
        </w:tc>
        <w:tc>
          <w:tcPr>
            <w:tcW w:w="1510" w:type="dxa"/>
            <w:tcBorders>
              <w:top w:val="nil"/>
              <w:left w:val="nil"/>
              <w:bottom w:val="single" w:sz="4" w:space="0" w:color="auto"/>
              <w:right w:val="single" w:sz="4" w:space="0" w:color="auto"/>
            </w:tcBorders>
            <w:shd w:val="clear" w:color="auto" w:fill="auto"/>
            <w:noWrap/>
            <w:vAlign w:val="center"/>
            <w:hideMark/>
          </w:tcPr>
          <w:p w14:paraId="262B1E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5F2B61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E3B36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0A076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£2,913.64</w:t>
            </w:r>
          </w:p>
        </w:tc>
      </w:tr>
      <w:tr w:rsidR="004433D7" w:rsidRPr="004433D7" w14:paraId="51D41660"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27DB7A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Breeze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3BFC24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£4,573.46</w:t>
            </w:r>
          </w:p>
        </w:tc>
        <w:tc>
          <w:tcPr>
            <w:tcW w:w="1510" w:type="dxa"/>
            <w:tcBorders>
              <w:top w:val="nil"/>
              <w:left w:val="nil"/>
              <w:bottom w:val="single" w:sz="4" w:space="0" w:color="auto"/>
              <w:right w:val="single" w:sz="4" w:space="0" w:color="auto"/>
            </w:tcBorders>
            <w:shd w:val="clear" w:color="auto" w:fill="auto"/>
            <w:noWrap/>
            <w:vAlign w:val="center"/>
            <w:hideMark/>
          </w:tcPr>
          <w:p w14:paraId="531580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£1,143.36</w:t>
            </w:r>
          </w:p>
        </w:tc>
        <w:tc>
          <w:tcPr>
            <w:tcW w:w="1510" w:type="dxa"/>
            <w:tcBorders>
              <w:top w:val="nil"/>
              <w:left w:val="nil"/>
              <w:bottom w:val="single" w:sz="4" w:space="0" w:color="auto"/>
              <w:right w:val="single" w:sz="4" w:space="0" w:color="auto"/>
            </w:tcBorders>
            <w:shd w:val="clear" w:color="auto" w:fill="auto"/>
            <w:noWrap/>
            <w:vAlign w:val="center"/>
            <w:hideMark/>
          </w:tcPr>
          <w:p w14:paraId="7AFA92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£1,143.36</w:t>
            </w:r>
          </w:p>
        </w:tc>
        <w:tc>
          <w:tcPr>
            <w:tcW w:w="1516" w:type="dxa"/>
            <w:tcBorders>
              <w:top w:val="nil"/>
              <w:left w:val="nil"/>
              <w:bottom w:val="single" w:sz="4" w:space="0" w:color="auto"/>
              <w:right w:val="single" w:sz="4" w:space="0" w:color="auto"/>
            </w:tcBorders>
            <w:shd w:val="clear" w:color="auto" w:fill="auto"/>
            <w:noWrap/>
            <w:vAlign w:val="center"/>
            <w:hideMark/>
          </w:tcPr>
          <w:p w14:paraId="79D275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9ED54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0C49D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£2,286.72</w:t>
            </w:r>
          </w:p>
        </w:tc>
      </w:tr>
      <w:tr w:rsidR="004433D7" w:rsidRPr="004433D7" w14:paraId="295513BA"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06B349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Brilliant Energy Supply Ltd</w:t>
            </w:r>
          </w:p>
        </w:tc>
        <w:tc>
          <w:tcPr>
            <w:tcW w:w="1526" w:type="dxa"/>
            <w:tcBorders>
              <w:top w:val="nil"/>
              <w:left w:val="nil"/>
              <w:bottom w:val="single" w:sz="4" w:space="0" w:color="auto"/>
              <w:right w:val="single" w:sz="4" w:space="0" w:color="auto"/>
            </w:tcBorders>
            <w:shd w:val="clear" w:color="auto" w:fill="auto"/>
            <w:noWrap/>
            <w:vAlign w:val="center"/>
            <w:hideMark/>
          </w:tcPr>
          <w:p w14:paraId="3BCC9A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£5,038.33</w:t>
            </w:r>
          </w:p>
        </w:tc>
        <w:tc>
          <w:tcPr>
            <w:tcW w:w="1510" w:type="dxa"/>
            <w:tcBorders>
              <w:top w:val="nil"/>
              <w:left w:val="nil"/>
              <w:bottom w:val="single" w:sz="4" w:space="0" w:color="auto"/>
              <w:right w:val="single" w:sz="4" w:space="0" w:color="auto"/>
            </w:tcBorders>
            <w:shd w:val="clear" w:color="auto" w:fill="auto"/>
            <w:noWrap/>
            <w:vAlign w:val="center"/>
            <w:hideMark/>
          </w:tcPr>
          <w:p w14:paraId="3359D6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887A8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2759E2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E6046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0E6DE7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491D359B" w14:textId="77777777" w:rsidTr="00780608">
        <w:trPr>
          <w:trHeight w:val="8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FE27E1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6F0C29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£47,610.46</w:t>
            </w:r>
          </w:p>
        </w:tc>
        <w:tc>
          <w:tcPr>
            <w:tcW w:w="1510" w:type="dxa"/>
            <w:tcBorders>
              <w:top w:val="nil"/>
              <w:left w:val="nil"/>
              <w:bottom w:val="single" w:sz="4" w:space="0" w:color="auto"/>
              <w:right w:val="single" w:sz="4" w:space="0" w:color="auto"/>
            </w:tcBorders>
            <w:shd w:val="clear" w:color="auto" w:fill="auto"/>
            <w:noWrap/>
            <w:vAlign w:val="center"/>
            <w:hideMark/>
          </w:tcPr>
          <w:p w14:paraId="408F92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£11,902.61</w:t>
            </w:r>
          </w:p>
        </w:tc>
        <w:tc>
          <w:tcPr>
            <w:tcW w:w="1510" w:type="dxa"/>
            <w:tcBorders>
              <w:top w:val="nil"/>
              <w:left w:val="nil"/>
              <w:bottom w:val="single" w:sz="4" w:space="0" w:color="auto"/>
              <w:right w:val="single" w:sz="4" w:space="0" w:color="auto"/>
            </w:tcBorders>
            <w:shd w:val="clear" w:color="auto" w:fill="auto"/>
            <w:noWrap/>
            <w:vAlign w:val="center"/>
            <w:hideMark/>
          </w:tcPr>
          <w:p w14:paraId="5EEFE8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£11,902.61</w:t>
            </w:r>
          </w:p>
        </w:tc>
        <w:tc>
          <w:tcPr>
            <w:tcW w:w="1516" w:type="dxa"/>
            <w:tcBorders>
              <w:top w:val="nil"/>
              <w:left w:val="nil"/>
              <w:bottom w:val="single" w:sz="4" w:space="0" w:color="auto"/>
              <w:right w:val="single" w:sz="4" w:space="0" w:color="auto"/>
            </w:tcBorders>
            <w:shd w:val="clear" w:color="auto" w:fill="auto"/>
            <w:noWrap/>
            <w:vAlign w:val="center"/>
            <w:hideMark/>
          </w:tcPr>
          <w:p w14:paraId="34C514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£11,902.61</w:t>
            </w:r>
          </w:p>
        </w:tc>
        <w:tc>
          <w:tcPr>
            <w:tcW w:w="1510" w:type="dxa"/>
            <w:tcBorders>
              <w:top w:val="nil"/>
              <w:left w:val="nil"/>
              <w:bottom w:val="single" w:sz="4" w:space="0" w:color="auto"/>
              <w:right w:val="single" w:sz="4" w:space="0" w:color="auto"/>
            </w:tcBorders>
            <w:shd w:val="clear" w:color="auto" w:fill="auto"/>
            <w:noWrap/>
            <w:vAlign w:val="center"/>
            <w:hideMark/>
          </w:tcPr>
          <w:p w14:paraId="07A848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£11,902.61</w:t>
            </w:r>
          </w:p>
        </w:tc>
        <w:tc>
          <w:tcPr>
            <w:tcW w:w="1531" w:type="dxa"/>
            <w:tcBorders>
              <w:top w:val="nil"/>
              <w:left w:val="nil"/>
              <w:bottom w:val="single" w:sz="4" w:space="0" w:color="auto"/>
              <w:right w:val="single" w:sz="4" w:space="0" w:color="auto"/>
            </w:tcBorders>
            <w:shd w:val="clear" w:color="auto" w:fill="auto"/>
            <w:noWrap/>
            <w:vAlign w:val="center"/>
            <w:hideMark/>
          </w:tcPr>
          <w:p w14:paraId="5E038B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£47,610.44</w:t>
            </w:r>
          </w:p>
        </w:tc>
      </w:tr>
      <w:tr w:rsidR="004433D7" w:rsidRPr="004433D7" w14:paraId="05CD1CD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09E61F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526" w:type="dxa"/>
            <w:tcBorders>
              <w:top w:val="nil"/>
              <w:left w:val="nil"/>
              <w:bottom w:val="single" w:sz="4" w:space="0" w:color="auto"/>
              <w:right w:val="single" w:sz="4" w:space="0" w:color="auto"/>
            </w:tcBorders>
            <w:shd w:val="clear" w:color="auto" w:fill="auto"/>
            <w:noWrap/>
            <w:vAlign w:val="center"/>
            <w:hideMark/>
          </w:tcPr>
          <w:p w14:paraId="5720EE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£6,081,871.91</w:t>
            </w:r>
          </w:p>
        </w:tc>
        <w:tc>
          <w:tcPr>
            <w:tcW w:w="1510" w:type="dxa"/>
            <w:tcBorders>
              <w:top w:val="nil"/>
              <w:left w:val="nil"/>
              <w:bottom w:val="single" w:sz="4" w:space="0" w:color="auto"/>
              <w:right w:val="single" w:sz="4" w:space="0" w:color="auto"/>
            </w:tcBorders>
            <w:shd w:val="clear" w:color="auto" w:fill="auto"/>
            <w:noWrap/>
            <w:vAlign w:val="center"/>
            <w:hideMark/>
          </w:tcPr>
          <w:p w14:paraId="256531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£1,520,467.98</w:t>
            </w:r>
          </w:p>
        </w:tc>
        <w:tc>
          <w:tcPr>
            <w:tcW w:w="1510" w:type="dxa"/>
            <w:tcBorders>
              <w:top w:val="nil"/>
              <w:left w:val="nil"/>
              <w:bottom w:val="single" w:sz="4" w:space="0" w:color="auto"/>
              <w:right w:val="single" w:sz="4" w:space="0" w:color="auto"/>
            </w:tcBorders>
            <w:shd w:val="clear" w:color="auto" w:fill="auto"/>
            <w:noWrap/>
            <w:vAlign w:val="center"/>
            <w:hideMark/>
          </w:tcPr>
          <w:p w14:paraId="361633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£1,520,467.98</w:t>
            </w:r>
          </w:p>
        </w:tc>
        <w:tc>
          <w:tcPr>
            <w:tcW w:w="1516" w:type="dxa"/>
            <w:tcBorders>
              <w:top w:val="nil"/>
              <w:left w:val="nil"/>
              <w:bottom w:val="single" w:sz="4" w:space="0" w:color="auto"/>
              <w:right w:val="single" w:sz="4" w:space="0" w:color="auto"/>
            </w:tcBorders>
            <w:shd w:val="clear" w:color="auto" w:fill="auto"/>
            <w:noWrap/>
            <w:vAlign w:val="center"/>
            <w:hideMark/>
          </w:tcPr>
          <w:p w14:paraId="0CC1C5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£1,520,467.98</w:t>
            </w:r>
          </w:p>
        </w:tc>
        <w:tc>
          <w:tcPr>
            <w:tcW w:w="1510" w:type="dxa"/>
            <w:tcBorders>
              <w:top w:val="nil"/>
              <w:left w:val="nil"/>
              <w:bottom w:val="single" w:sz="4" w:space="0" w:color="auto"/>
              <w:right w:val="single" w:sz="4" w:space="0" w:color="auto"/>
            </w:tcBorders>
            <w:shd w:val="clear" w:color="auto" w:fill="auto"/>
            <w:noWrap/>
            <w:vAlign w:val="center"/>
            <w:hideMark/>
          </w:tcPr>
          <w:p w14:paraId="00B0AB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£1,520,467.98</w:t>
            </w:r>
          </w:p>
        </w:tc>
        <w:tc>
          <w:tcPr>
            <w:tcW w:w="1531" w:type="dxa"/>
            <w:tcBorders>
              <w:top w:val="nil"/>
              <w:left w:val="nil"/>
              <w:bottom w:val="single" w:sz="4" w:space="0" w:color="auto"/>
              <w:right w:val="single" w:sz="4" w:space="0" w:color="auto"/>
            </w:tcBorders>
            <w:shd w:val="clear" w:color="auto" w:fill="auto"/>
            <w:noWrap/>
            <w:vAlign w:val="center"/>
            <w:hideMark/>
          </w:tcPr>
          <w:p w14:paraId="14AE82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£6,081,871.92</w:t>
            </w:r>
          </w:p>
        </w:tc>
      </w:tr>
      <w:tr w:rsidR="004433D7" w:rsidRPr="004433D7" w14:paraId="4EC46983"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8D7E8F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526" w:type="dxa"/>
            <w:tcBorders>
              <w:top w:val="nil"/>
              <w:left w:val="nil"/>
              <w:bottom w:val="single" w:sz="4" w:space="0" w:color="auto"/>
              <w:right w:val="single" w:sz="4" w:space="0" w:color="auto"/>
            </w:tcBorders>
            <w:shd w:val="clear" w:color="auto" w:fill="auto"/>
            <w:noWrap/>
            <w:vAlign w:val="center"/>
            <w:hideMark/>
          </w:tcPr>
          <w:p w14:paraId="7E1021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£23,136.59</w:t>
            </w:r>
          </w:p>
        </w:tc>
        <w:tc>
          <w:tcPr>
            <w:tcW w:w="1510" w:type="dxa"/>
            <w:tcBorders>
              <w:top w:val="nil"/>
              <w:left w:val="nil"/>
              <w:bottom w:val="single" w:sz="4" w:space="0" w:color="auto"/>
              <w:right w:val="single" w:sz="4" w:space="0" w:color="auto"/>
            </w:tcBorders>
            <w:shd w:val="clear" w:color="auto" w:fill="auto"/>
            <w:noWrap/>
            <w:vAlign w:val="center"/>
            <w:hideMark/>
          </w:tcPr>
          <w:p w14:paraId="4BDA94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£5,784.15</w:t>
            </w:r>
          </w:p>
        </w:tc>
        <w:tc>
          <w:tcPr>
            <w:tcW w:w="1510" w:type="dxa"/>
            <w:tcBorders>
              <w:top w:val="nil"/>
              <w:left w:val="nil"/>
              <w:bottom w:val="single" w:sz="4" w:space="0" w:color="auto"/>
              <w:right w:val="single" w:sz="4" w:space="0" w:color="auto"/>
            </w:tcBorders>
            <w:shd w:val="clear" w:color="auto" w:fill="auto"/>
            <w:noWrap/>
            <w:vAlign w:val="center"/>
            <w:hideMark/>
          </w:tcPr>
          <w:p w14:paraId="1B9013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£5,784.15</w:t>
            </w:r>
          </w:p>
        </w:tc>
        <w:tc>
          <w:tcPr>
            <w:tcW w:w="1516" w:type="dxa"/>
            <w:tcBorders>
              <w:top w:val="nil"/>
              <w:left w:val="nil"/>
              <w:bottom w:val="single" w:sz="4" w:space="0" w:color="auto"/>
              <w:right w:val="single" w:sz="4" w:space="0" w:color="auto"/>
            </w:tcBorders>
            <w:shd w:val="clear" w:color="auto" w:fill="auto"/>
            <w:noWrap/>
            <w:vAlign w:val="center"/>
            <w:hideMark/>
          </w:tcPr>
          <w:p w14:paraId="01451E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£5,784.15</w:t>
            </w:r>
          </w:p>
        </w:tc>
        <w:tc>
          <w:tcPr>
            <w:tcW w:w="1510" w:type="dxa"/>
            <w:tcBorders>
              <w:top w:val="nil"/>
              <w:left w:val="nil"/>
              <w:bottom w:val="single" w:sz="4" w:space="0" w:color="auto"/>
              <w:right w:val="single" w:sz="4" w:space="0" w:color="auto"/>
            </w:tcBorders>
            <w:shd w:val="clear" w:color="auto" w:fill="auto"/>
            <w:noWrap/>
            <w:vAlign w:val="center"/>
            <w:hideMark/>
          </w:tcPr>
          <w:p w14:paraId="53C123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£5,784.15</w:t>
            </w:r>
          </w:p>
        </w:tc>
        <w:tc>
          <w:tcPr>
            <w:tcW w:w="1531" w:type="dxa"/>
            <w:tcBorders>
              <w:top w:val="nil"/>
              <w:left w:val="nil"/>
              <w:bottom w:val="single" w:sz="4" w:space="0" w:color="auto"/>
              <w:right w:val="single" w:sz="4" w:space="0" w:color="auto"/>
            </w:tcBorders>
            <w:shd w:val="clear" w:color="auto" w:fill="auto"/>
            <w:noWrap/>
            <w:vAlign w:val="center"/>
            <w:hideMark/>
          </w:tcPr>
          <w:p w14:paraId="337C9D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£23,136.60</w:t>
            </w:r>
          </w:p>
        </w:tc>
      </w:tr>
      <w:tr w:rsidR="004433D7" w:rsidRPr="004433D7" w14:paraId="2227A10A"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010B88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Bruntwood</w:t>
            </w:r>
            <w:proofErr w:type="spellEnd"/>
            <w:r w:rsidRPr="004433D7">
              <w:rPr>
                <w:rFonts w:eastAsia="Times New Roman" w:cs="Times New Roman"/>
                <w:color w:val="000000"/>
                <w:sz w:val="16"/>
                <w:szCs w:val="16"/>
              </w:rPr>
              <w:t xml:space="preserve"> Energy Services Limited</w:t>
            </w:r>
          </w:p>
        </w:tc>
        <w:tc>
          <w:tcPr>
            <w:tcW w:w="1526" w:type="dxa"/>
            <w:tcBorders>
              <w:top w:val="nil"/>
              <w:left w:val="nil"/>
              <w:bottom w:val="single" w:sz="4" w:space="0" w:color="auto"/>
              <w:right w:val="single" w:sz="4" w:space="0" w:color="auto"/>
            </w:tcBorders>
            <w:shd w:val="clear" w:color="auto" w:fill="auto"/>
            <w:noWrap/>
            <w:vAlign w:val="center"/>
            <w:hideMark/>
          </w:tcPr>
          <w:p w14:paraId="7C8503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£1,653.67</w:t>
            </w:r>
          </w:p>
        </w:tc>
        <w:tc>
          <w:tcPr>
            <w:tcW w:w="1510" w:type="dxa"/>
            <w:tcBorders>
              <w:top w:val="nil"/>
              <w:left w:val="nil"/>
              <w:bottom w:val="single" w:sz="4" w:space="0" w:color="auto"/>
              <w:right w:val="single" w:sz="4" w:space="0" w:color="auto"/>
            </w:tcBorders>
            <w:shd w:val="clear" w:color="auto" w:fill="auto"/>
            <w:noWrap/>
            <w:vAlign w:val="center"/>
            <w:hideMark/>
          </w:tcPr>
          <w:p w14:paraId="15F6EA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£1,653.67</w:t>
            </w:r>
          </w:p>
        </w:tc>
        <w:tc>
          <w:tcPr>
            <w:tcW w:w="1510" w:type="dxa"/>
            <w:tcBorders>
              <w:top w:val="nil"/>
              <w:left w:val="nil"/>
              <w:bottom w:val="single" w:sz="4" w:space="0" w:color="auto"/>
              <w:right w:val="single" w:sz="4" w:space="0" w:color="auto"/>
            </w:tcBorders>
            <w:shd w:val="clear" w:color="auto" w:fill="auto"/>
            <w:noWrap/>
            <w:vAlign w:val="center"/>
            <w:hideMark/>
          </w:tcPr>
          <w:p w14:paraId="3C7D2F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29854F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A3BD4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45814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£1,653.67</w:t>
            </w:r>
          </w:p>
        </w:tc>
      </w:tr>
      <w:tr w:rsidR="004433D7" w:rsidRPr="004433D7" w14:paraId="11AF56CA"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559C76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 (prev. Bullion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4043EB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£71,592.83</w:t>
            </w:r>
          </w:p>
        </w:tc>
        <w:tc>
          <w:tcPr>
            <w:tcW w:w="1510" w:type="dxa"/>
            <w:tcBorders>
              <w:top w:val="nil"/>
              <w:left w:val="nil"/>
              <w:bottom w:val="single" w:sz="4" w:space="0" w:color="auto"/>
              <w:right w:val="single" w:sz="4" w:space="0" w:color="auto"/>
            </w:tcBorders>
            <w:shd w:val="clear" w:color="auto" w:fill="auto"/>
            <w:noWrap/>
            <w:vAlign w:val="center"/>
            <w:hideMark/>
          </w:tcPr>
          <w:p w14:paraId="08B322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£17,898.21</w:t>
            </w:r>
          </w:p>
        </w:tc>
        <w:tc>
          <w:tcPr>
            <w:tcW w:w="1510" w:type="dxa"/>
            <w:tcBorders>
              <w:top w:val="nil"/>
              <w:left w:val="nil"/>
              <w:bottom w:val="single" w:sz="4" w:space="0" w:color="auto"/>
              <w:right w:val="single" w:sz="4" w:space="0" w:color="auto"/>
            </w:tcBorders>
            <w:shd w:val="clear" w:color="auto" w:fill="auto"/>
            <w:noWrap/>
            <w:vAlign w:val="center"/>
            <w:hideMark/>
          </w:tcPr>
          <w:p w14:paraId="5B4CFB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£17,898.21</w:t>
            </w:r>
          </w:p>
        </w:tc>
        <w:tc>
          <w:tcPr>
            <w:tcW w:w="1516" w:type="dxa"/>
            <w:tcBorders>
              <w:top w:val="nil"/>
              <w:left w:val="nil"/>
              <w:bottom w:val="single" w:sz="4" w:space="0" w:color="auto"/>
              <w:right w:val="single" w:sz="4" w:space="0" w:color="auto"/>
            </w:tcBorders>
            <w:shd w:val="clear" w:color="auto" w:fill="auto"/>
            <w:noWrap/>
            <w:vAlign w:val="center"/>
            <w:hideMark/>
          </w:tcPr>
          <w:p w14:paraId="334DFD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£17,898.21</w:t>
            </w:r>
          </w:p>
        </w:tc>
        <w:tc>
          <w:tcPr>
            <w:tcW w:w="1510" w:type="dxa"/>
            <w:tcBorders>
              <w:top w:val="nil"/>
              <w:left w:val="nil"/>
              <w:bottom w:val="single" w:sz="4" w:space="0" w:color="auto"/>
              <w:right w:val="single" w:sz="4" w:space="0" w:color="auto"/>
            </w:tcBorders>
            <w:shd w:val="clear" w:color="auto" w:fill="auto"/>
            <w:noWrap/>
            <w:vAlign w:val="center"/>
            <w:hideMark/>
          </w:tcPr>
          <w:p w14:paraId="51FBD6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£17,898.21</w:t>
            </w:r>
          </w:p>
        </w:tc>
        <w:tc>
          <w:tcPr>
            <w:tcW w:w="1531" w:type="dxa"/>
            <w:tcBorders>
              <w:top w:val="nil"/>
              <w:left w:val="nil"/>
              <w:bottom w:val="single" w:sz="4" w:space="0" w:color="auto"/>
              <w:right w:val="single" w:sz="4" w:space="0" w:color="auto"/>
            </w:tcBorders>
            <w:shd w:val="clear" w:color="auto" w:fill="auto"/>
            <w:noWrap/>
            <w:vAlign w:val="center"/>
            <w:hideMark/>
          </w:tcPr>
          <w:p w14:paraId="456D6B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£71,592.84</w:t>
            </w:r>
          </w:p>
        </w:tc>
      </w:tr>
      <w:tr w:rsidR="004433D7" w:rsidRPr="004433D7" w14:paraId="61988955"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EA1512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5DB35A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£131,575.12</w:t>
            </w:r>
          </w:p>
        </w:tc>
        <w:tc>
          <w:tcPr>
            <w:tcW w:w="1510" w:type="dxa"/>
            <w:tcBorders>
              <w:top w:val="nil"/>
              <w:left w:val="nil"/>
              <w:bottom w:val="single" w:sz="4" w:space="0" w:color="auto"/>
              <w:right w:val="single" w:sz="4" w:space="0" w:color="auto"/>
            </w:tcBorders>
            <w:shd w:val="clear" w:color="auto" w:fill="auto"/>
            <w:noWrap/>
            <w:vAlign w:val="center"/>
            <w:hideMark/>
          </w:tcPr>
          <w:p w14:paraId="44983B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£32,893.78</w:t>
            </w:r>
          </w:p>
        </w:tc>
        <w:tc>
          <w:tcPr>
            <w:tcW w:w="1510" w:type="dxa"/>
            <w:tcBorders>
              <w:top w:val="nil"/>
              <w:left w:val="nil"/>
              <w:bottom w:val="single" w:sz="4" w:space="0" w:color="auto"/>
              <w:right w:val="single" w:sz="4" w:space="0" w:color="auto"/>
            </w:tcBorders>
            <w:shd w:val="clear" w:color="auto" w:fill="auto"/>
            <w:noWrap/>
            <w:vAlign w:val="center"/>
            <w:hideMark/>
          </w:tcPr>
          <w:p w14:paraId="1F2525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£32,893.78</w:t>
            </w:r>
          </w:p>
        </w:tc>
        <w:tc>
          <w:tcPr>
            <w:tcW w:w="1516" w:type="dxa"/>
            <w:tcBorders>
              <w:top w:val="nil"/>
              <w:left w:val="nil"/>
              <w:bottom w:val="single" w:sz="4" w:space="0" w:color="auto"/>
              <w:right w:val="single" w:sz="4" w:space="0" w:color="auto"/>
            </w:tcBorders>
            <w:shd w:val="clear" w:color="auto" w:fill="auto"/>
            <w:noWrap/>
            <w:vAlign w:val="center"/>
            <w:hideMark/>
          </w:tcPr>
          <w:p w14:paraId="6F0BE6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£32,893.78</w:t>
            </w:r>
          </w:p>
        </w:tc>
        <w:tc>
          <w:tcPr>
            <w:tcW w:w="1510" w:type="dxa"/>
            <w:tcBorders>
              <w:top w:val="nil"/>
              <w:left w:val="nil"/>
              <w:bottom w:val="single" w:sz="4" w:space="0" w:color="auto"/>
              <w:right w:val="single" w:sz="4" w:space="0" w:color="auto"/>
            </w:tcBorders>
            <w:shd w:val="clear" w:color="auto" w:fill="auto"/>
            <w:noWrap/>
            <w:vAlign w:val="center"/>
            <w:hideMark/>
          </w:tcPr>
          <w:p w14:paraId="36A30A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£32,893.78</w:t>
            </w:r>
          </w:p>
        </w:tc>
        <w:tc>
          <w:tcPr>
            <w:tcW w:w="1531" w:type="dxa"/>
            <w:tcBorders>
              <w:top w:val="nil"/>
              <w:left w:val="nil"/>
              <w:bottom w:val="single" w:sz="4" w:space="0" w:color="auto"/>
              <w:right w:val="single" w:sz="4" w:space="0" w:color="auto"/>
            </w:tcBorders>
            <w:shd w:val="clear" w:color="auto" w:fill="auto"/>
            <w:noWrap/>
            <w:vAlign w:val="center"/>
            <w:hideMark/>
          </w:tcPr>
          <w:p w14:paraId="27E39A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£131,575.12</w:t>
            </w:r>
          </w:p>
        </w:tc>
      </w:tr>
      <w:tr w:rsidR="004433D7" w:rsidRPr="004433D7" w14:paraId="5F0DCE9E"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3D961B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Business Power and Gas Limited</w:t>
            </w:r>
          </w:p>
        </w:tc>
        <w:tc>
          <w:tcPr>
            <w:tcW w:w="1526" w:type="dxa"/>
            <w:tcBorders>
              <w:top w:val="nil"/>
              <w:left w:val="nil"/>
              <w:bottom w:val="single" w:sz="4" w:space="0" w:color="auto"/>
              <w:right w:val="single" w:sz="4" w:space="0" w:color="auto"/>
            </w:tcBorders>
            <w:shd w:val="clear" w:color="auto" w:fill="auto"/>
            <w:noWrap/>
            <w:vAlign w:val="center"/>
            <w:hideMark/>
          </w:tcPr>
          <w:p w14:paraId="358669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£17,634.41</w:t>
            </w:r>
          </w:p>
        </w:tc>
        <w:tc>
          <w:tcPr>
            <w:tcW w:w="1510" w:type="dxa"/>
            <w:tcBorders>
              <w:top w:val="nil"/>
              <w:left w:val="nil"/>
              <w:bottom w:val="single" w:sz="4" w:space="0" w:color="auto"/>
              <w:right w:val="single" w:sz="4" w:space="0" w:color="auto"/>
            </w:tcBorders>
            <w:shd w:val="clear" w:color="auto" w:fill="auto"/>
            <w:noWrap/>
            <w:vAlign w:val="center"/>
            <w:hideMark/>
          </w:tcPr>
          <w:p w14:paraId="007D7F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£4,408.60</w:t>
            </w:r>
          </w:p>
        </w:tc>
        <w:tc>
          <w:tcPr>
            <w:tcW w:w="1510" w:type="dxa"/>
            <w:tcBorders>
              <w:top w:val="nil"/>
              <w:left w:val="nil"/>
              <w:bottom w:val="single" w:sz="4" w:space="0" w:color="auto"/>
              <w:right w:val="single" w:sz="4" w:space="0" w:color="auto"/>
            </w:tcBorders>
            <w:shd w:val="clear" w:color="auto" w:fill="auto"/>
            <w:noWrap/>
            <w:vAlign w:val="center"/>
            <w:hideMark/>
          </w:tcPr>
          <w:p w14:paraId="6994D6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£4,408.60</w:t>
            </w:r>
          </w:p>
        </w:tc>
        <w:tc>
          <w:tcPr>
            <w:tcW w:w="1516" w:type="dxa"/>
            <w:tcBorders>
              <w:top w:val="nil"/>
              <w:left w:val="nil"/>
              <w:bottom w:val="single" w:sz="4" w:space="0" w:color="auto"/>
              <w:right w:val="single" w:sz="4" w:space="0" w:color="auto"/>
            </w:tcBorders>
            <w:shd w:val="clear" w:color="auto" w:fill="auto"/>
            <w:noWrap/>
            <w:vAlign w:val="center"/>
            <w:hideMark/>
          </w:tcPr>
          <w:p w14:paraId="0DF285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£4,408.60</w:t>
            </w:r>
          </w:p>
        </w:tc>
        <w:tc>
          <w:tcPr>
            <w:tcW w:w="1510" w:type="dxa"/>
            <w:tcBorders>
              <w:top w:val="nil"/>
              <w:left w:val="nil"/>
              <w:bottom w:val="single" w:sz="4" w:space="0" w:color="auto"/>
              <w:right w:val="single" w:sz="4" w:space="0" w:color="auto"/>
            </w:tcBorders>
            <w:shd w:val="clear" w:color="auto" w:fill="auto"/>
            <w:noWrap/>
            <w:vAlign w:val="center"/>
            <w:hideMark/>
          </w:tcPr>
          <w:p w14:paraId="2BF5F2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£4,408.60</w:t>
            </w:r>
          </w:p>
        </w:tc>
        <w:tc>
          <w:tcPr>
            <w:tcW w:w="1531" w:type="dxa"/>
            <w:tcBorders>
              <w:top w:val="nil"/>
              <w:left w:val="nil"/>
              <w:bottom w:val="single" w:sz="4" w:space="0" w:color="auto"/>
              <w:right w:val="single" w:sz="4" w:space="0" w:color="auto"/>
            </w:tcBorders>
            <w:shd w:val="clear" w:color="auto" w:fill="auto"/>
            <w:noWrap/>
            <w:vAlign w:val="center"/>
            <w:hideMark/>
          </w:tcPr>
          <w:p w14:paraId="155E55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£17,634.40</w:t>
            </w:r>
          </w:p>
        </w:tc>
      </w:tr>
      <w:tr w:rsidR="004433D7" w:rsidRPr="004433D7" w14:paraId="112DC121"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FBC71F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CNG Electricity Limited</w:t>
            </w:r>
          </w:p>
        </w:tc>
        <w:tc>
          <w:tcPr>
            <w:tcW w:w="1526" w:type="dxa"/>
            <w:tcBorders>
              <w:top w:val="nil"/>
              <w:left w:val="nil"/>
              <w:bottom w:val="single" w:sz="4" w:space="0" w:color="auto"/>
              <w:right w:val="single" w:sz="4" w:space="0" w:color="auto"/>
            </w:tcBorders>
            <w:shd w:val="clear" w:color="auto" w:fill="auto"/>
            <w:noWrap/>
            <w:vAlign w:val="center"/>
            <w:hideMark/>
          </w:tcPr>
          <w:p w14:paraId="6B6DFB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£22.01</w:t>
            </w:r>
          </w:p>
        </w:tc>
        <w:tc>
          <w:tcPr>
            <w:tcW w:w="1510" w:type="dxa"/>
            <w:tcBorders>
              <w:top w:val="nil"/>
              <w:left w:val="nil"/>
              <w:bottom w:val="single" w:sz="4" w:space="0" w:color="auto"/>
              <w:right w:val="single" w:sz="4" w:space="0" w:color="auto"/>
            </w:tcBorders>
            <w:shd w:val="clear" w:color="auto" w:fill="auto"/>
            <w:noWrap/>
            <w:vAlign w:val="center"/>
            <w:hideMark/>
          </w:tcPr>
          <w:p w14:paraId="75435E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£5.50</w:t>
            </w:r>
          </w:p>
        </w:tc>
        <w:tc>
          <w:tcPr>
            <w:tcW w:w="1510" w:type="dxa"/>
            <w:tcBorders>
              <w:top w:val="nil"/>
              <w:left w:val="nil"/>
              <w:bottom w:val="single" w:sz="4" w:space="0" w:color="auto"/>
              <w:right w:val="single" w:sz="4" w:space="0" w:color="auto"/>
            </w:tcBorders>
            <w:shd w:val="clear" w:color="auto" w:fill="auto"/>
            <w:noWrap/>
            <w:vAlign w:val="center"/>
            <w:hideMark/>
          </w:tcPr>
          <w:p w14:paraId="348C7E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£5.50</w:t>
            </w:r>
          </w:p>
        </w:tc>
        <w:tc>
          <w:tcPr>
            <w:tcW w:w="1516" w:type="dxa"/>
            <w:tcBorders>
              <w:top w:val="nil"/>
              <w:left w:val="nil"/>
              <w:bottom w:val="single" w:sz="4" w:space="0" w:color="auto"/>
              <w:right w:val="single" w:sz="4" w:space="0" w:color="auto"/>
            </w:tcBorders>
            <w:shd w:val="clear" w:color="auto" w:fill="auto"/>
            <w:noWrap/>
            <w:vAlign w:val="center"/>
            <w:hideMark/>
          </w:tcPr>
          <w:p w14:paraId="0CCEC1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£5.50</w:t>
            </w:r>
          </w:p>
        </w:tc>
        <w:tc>
          <w:tcPr>
            <w:tcW w:w="1510" w:type="dxa"/>
            <w:tcBorders>
              <w:top w:val="nil"/>
              <w:left w:val="nil"/>
              <w:bottom w:val="single" w:sz="4" w:space="0" w:color="auto"/>
              <w:right w:val="single" w:sz="4" w:space="0" w:color="auto"/>
            </w:tcBorders>
            <w:shd w:val="clear" w:color="auto" w:fill="auto"/>
            <w:noWrap/>
            <w:vAlign w:val="center"/>
            <w:hideMark/>
          </w:tcPr>
          <w:p w14:paraId="72E32B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£5.50</w:t>
            </w:r>
          </w:p>
        </w:tc>
        <w:tc>
          <w:tcPr>
            <w:tcW w:w="1531" w:type="dxa"/>
            <w:tcBorders>
              <w:top w:val="nil"/>
              <w:left w:val="nil"/>
              <w:bottom w:val="single" w:sz="4" w:space="0" w:color="auto"/>
              <w:right w:val="single" w:sz="4" w:space="0" w:color="auto"/>
            </w:tcBorders>
            <w:shd w:val="clear" w:color="auto" w:fill="auto"/>
            <w:noWrap/>
            <w:vAlign w:val="center"/>
            <w:hideMark/>
          </w:tcPr>
          <w:p w14:paraId="0FFDA8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£22.00</w:t>
            </w:r>
          </w:p>
        </w:tc>
      </w:tr>
      <w:tr w:rsidR="004433D7" w:rsidRPr="004433D7" w14:paraId="47DF3AC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356C2D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27D80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£322,769.03</w:t>
            </w:r>
          </w:p>
        </w:tc>
        <w:tc>
          <w:tcPr>
            <w:tcW w:w="1510" w:type="dxa"/>
            <w:tcBorders>
              <w:top w:val="nil"/>
              <w:left w:val="nil"/>
              <w:bottom w:val="single" w:sz="4" w:space="0" w:color="auto"/>
              <w:right w:val="single" w:sz="4" w:space="0" w:color="auto"/>
            </w:tcBorders>
            <w:shd w:val="clear" w:color="auto" w:fill="auto"/>
            <w:noWrap/>
            <w:vAlign w:val="center"/>
            <w:hideMark/>
          </w:tcPr>
          <w:p w14:paraId="33AE28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£80,692.26</w:t>
            </w:r>
          </w:p>
        </w:tc>
        <w:tc>
          <w:tcPr>
            <w:tcW w:w="1510" w:type="dxa"/>
            <w:tcBorders>
              <w:top w:val="nil"/>
              <w:left w:val="nil"/>
              <w:bottom w:val="single" w:sz="4" w:space="0" w:color="auto"/>
              <w:right w:val="single" w:sz="4" w:space="0" w:color="auto"/>
            </w:tcBorders>
            <w:shd w:val="clear" w:color="auto" w:fill="auto"/>
            <w:noWrap/>
            <w:vAlign w:val="center"/>
            <w:hideMark/>
          </w:tcPr>
          <w:p w14:paraId="3B5E90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£80,692.26</w:t>
            </w:r>
          </w:p>
        </w:tc>
        <w:tc>
          <w:tcPr>
            <w:tcW w:w="1516" w:type="dxa"/>
            <w:tcBorders>
              <w:top w:val="nil"/>
              <w:left w:val="nil"/>
              <w:bottom w:val="single" w:sz="4" w:space="0" w:color="auto"/>
              <w:right w:val="single" w:sz="4" w:space="0" w:color="auto"/>
            </w:tcBorders>
            <w:shd w:val="clear" w:color="auto" w:fill="auto"/>
            <w:noWrap/>
            <w:vAlign w:val="center"/>
            <w:hideMark/>
          </w:tcPr>
          <w:p w14:paraId="35EB27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£80,692.26</w:t>
            </w:r>
          </w:p>
        </w:tc>
        <w:tc>
          <w:tcPr>
            <w:tcW w:w="1510" w:type="dxa"/>
            <w:tcBorders>
              <w:top w:val="nil"/>
              <w:left w:val="nil"/>
              <w:bottom w:val="single" w:sz="4" w:space="0" w:color="auto"/>
              <w:right w:val="single" w:sz="4" w:space="0" w:color="auto"/>
            </w:tcBorders>
            <w:shd w:val="clear" w:color="auto" w:fill="auto"/>
            <w:noWrap/>
            <w:vAlign w:val="center"/>
            <w:hideMark/>
          </w:tcPr>
          <w:p w14:paraId="195EAF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£80,692.26</w:t>
            </w:r>
          </w:p>
        </w:tc>
        <w:tc>
          <w:tcPr>
            <w:tcW w:w="1531" w:type="dxa"/>
            <w:tcBorders>
              <w:top w:val="nil"/>
              <w:left w:val="nil"/>
              <w:bottom w:val="single" w:sz="4" w:space="0" w:color="auto"/>
              <w:right w:val="single" w:sz="4" w:space="0" w:color="auto"/>
            </w:tcBorders>
            <w:shd w:val="clear" w:color="auto" w:fill="auto"/>
            <w:noWrap/>
            <w:vAlign w:val="center"/>
            <w:hideMark/>
          </w:tcPr>
          <w:p w14:paraId="608776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£322,769.04</w:t>
            </w:r>
          </w:p>
        </w:tc>
      </w:tr>
      <w:tr w:rsidR="004433D7" w:rsidRPr="004433D7" w14:paraId="34F7B1C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9DEF64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5 Limited</w:t>
            </w:r>
          </w:p>
        </w:tc>
        <w:tc>
          <w:tcPr>
            <w:tcW w:w="1526" w:type="dxa"/>
            <w:tcBorders>
              <w:top w:val="nil"/>
              <w:left w:val="nil"/>
              <w:bottom w:val="single" w:sz="4" w:space="0" w:color="auto"/>
              <w:right w:val="single" w:sz="4" w:space="0" w:color="auto"/>
            </w:tcBorders>
            <w:shd w:val="clear" w:color="auto" w:fill="auto"/>
            <w:noWrap/>
            <w:vAlign w:val="center"/>
            <w:hideMark/>
          </w:tcPr>
          <w:p w14:paraId="5999EF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£65,200.33</w:t>
            </w:r>
          </w:p>
        </w:tc>
        <w:tc>
          <w:tcPr>
            <w:tcW w:w="1510" w:type="dxa"/>
            <w:tcBorders>
              <w:top w:val="nil"/>
              <w:left w:val="nil"/>
              <w:bottom w:val="single" w:sz="4" w:space="0" w:color="auto"/>
              <w:right w:val="single" w:sz="4" w:space="0" w:color="auto"/>
            </w:tcBorders>
            <w:shd w:val="clear" w:color="auto" w:fill="auto"/>
            <w:noWrap/>
            <w:vAlign w:val="center"/>
            <w:hideMark/>
          </w:tcPr>
          <w:p w14:paraId="0178BF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£16,300.08</w:t>
            </w:r>
          </w:p>
        </w:tc>
        <w:tc>
          <w:tcPr>
            <w:tcW w:w="1510" w:type="dxa"/>
            <w:tcBorders>
              <w:top w:val="nil"/>
              <w:left w:val="nil"/>
              <w:bottom w:val="single" w:sz="4" w:space="0" w:color="auto"/>
              <w:right w:val="single" w:sz="4" w:space="0" w:color="auto"/>
            </w:tcBorders>
            <w:shd w:val="clear" w:color="auto" w:fill="auto"/>
            <w:noWrap/>
            <w:vAlign w:val="center"/>
            <w:hideMark/>
          </w:tcPr>
          <w:p w14:paraId="105E2A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£16,300.08</w:t>
            </w:r>
          </w:p>
        </w:tc>
        <w:tc>
          <w:tcPr>
            <w:tcW w:w="1516" w:type="dxa"/>
            <w:tcBorders>
              <w:top w:val="nil"/>
              <w:left w:val="nil"/>
              <w:bottom w:val="single" w:sz="4" w:space="0" w:color="auto"/>
              <w:right w:val="single" w:sz="4" w:space="0" w:color="auto"/>
            </w:tcBorders>
            <w:shd w:val="clear" w:color="auto" w:fill="auto"/>
            <w:noWrap/>
            <w:vAlign w:val="center"/>
            <w:hideMark/>
          </w:tcPr>
          <w:p w14:paraId="078355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£16,300.08</w:t>
            </w:r>
          </w:p>
        </w:tc>
        <w:tc>
          <w:tcPr>
            <w:tcW w:w="1510" w:type="dxa"/>
            <w:tcBorders>
              <w:top w:val="nil"/>
              <w:left w:val="nil"/>
              <w:bottom w:val="single" w:sz="4" w:space="0" w:color="auto"/>
              <w:right w:val="single" w:sz="4" w:space="0" w:color="auto"/>
            </w:tcBorders>
            <w:shd w:val="clear" w:color="auto" w:fill="auto"/>
            <w:noWrap/>
            <w:vAlign w:val="center"/>
            <w:hideMark/>
          </w:tcPr>
          <w:p w14:paraId="5480BE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£16,300.08</w:t>
            </w:r>
          </w:p>
        </w:tc>
        <w:tc>
          <w:tcPr>
            <w:tcW w:w="1531" w:type="dxa"/>
            <w:tcBorders>
              <w:top w:val="nil"/>
              <w:left w:val="nil"/>
              <w:bottom w:val="single" w:sz="4" w:space="0" w:color="auto"/>
              <w:right w:val="single" w:sz="4" w:space="0" w:color="auto"/>
            </w:tcBorders>
            <w:shd w:val="clear" w:color="auto" w:fill="auto"/>
            <w:noWrap/>
            <w:vAlign w:val="center"/>
            <w:hideMark/>
          </w:tcPr>
          <w:p w14:paraId="6A28A9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£65,200.32</w:t>
            </w:r>
          </w:p>
        </w:tc>
      </w:tr>
      <w:tr w:rsidR="004433D7" w:rsidRPr="004433D7" w14:paraId="44D73C6E"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D6C059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Coulomb Energy Supply Limited </w:t>
            </w:r>
          </w:p>
        </w:tc>
        <w:tc>
          <w:tcPr>
            <w:tcW w:w="1526" w:type="dxa"/>
            <w:tcBorders>
              <w:top w:val="nil"/>
              <w:left w:val="nil"/>
              <w:bottom w:val="single" w:sz="4" w:space="0" w:color="auto"/>
              <w:right w:val="single" w:sz="4" w:space="0" w:color="auto"/>
            </w:tcBorders>
            <w:shd w:val="clear" w:color="auto" w:fill="auto"/>
            <w:noWrap/>
            <w:vAlign w:val="center"/>
            <w:hideMark/>
          </w:tcPr>
          <w:p w14:paraId="541E89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£14,640.39</w:t>
            </w:r>
          </w:p>
        </w:tc>
        <w:tc>
          <w:tcPr>
            <w:tcW w:w="1510" w:type="dxa"/>
            <w:tcBorders>
              <w:top w:val="nil"/>
              <w:left w:val="nil"/>
              <w:bottom w:val="single" w:sz="4" w:space="0" w:color="auto"/>
              <w:right w:val="single" w:sz="4" w:space="0" w:color="auto"/>
            </w:tcBorders>
            <w:shd w:val="clear" w:color="auto" w:fill="auto"/>
            <w:noWrap/>
            <w:vAlign w:val="center"/>
            <w:hideMark/>
          </w:tcPr>
          <w:p w14:paraId="328FEC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£3,660.10</w:t>
            </w:r>
          </w:p>
        </w:tc>
        <w:tc>
          <w:tcPr>
            <w:tcW w:w="1510" w:type="dxa"/>
            <w:tcBorders>
              <w:top w:val="nil"/>
              <w:left w:val="nil"/>
              <w:bottom w:val="single" w:sz="4" w:space="0" w:color="auto"/>
              <w:right w:val="single" w:sz="4" w:space="0" w:color="auto"/>
            </w:tcBorders>
            <w:shd w:val="clear" w:color="auto" w:fill="auto"/>
            <w:noWrap/>
            <w:vAlign w:val="center"/>
            <w:hideMark/>
          </w:tcPr>
          <w:p w14:paraId="566DAA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£3,660.10</w:t>
            </w:r>
          </w:p>
        </w:tc>
        <w:tc>
          <w:tcPr>
            <w:tcW w:w="1516" w:type="dxa"/>
            <w:tcBorders>
              <w:top w:val="nil"/>
              <w:left w:val="nil"/>
              <w:bottom w:val="single" w:sz="4" w:space="0" w:color="auto"/>
              <w:right w:val="single" w:sz="4" w:space="0" w:color="auto"/>
            </w:tcBorders>
            <w:shd w:val="clear" w:color="auto" w:fill="auto"/>
            <w:noWrap/>
            <w:vAlign w:val="center"/>
            <w:hideMark/>
          </w:tcPr>
          <w:p w14:paraId="484308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£3,660.10</w:t>
            </w:r>
          </w:p>
        </w:tc>
        <w:tc>
          <w:tcPr>
            <w:tcW w:w="1510" w:type="dxa"/>
            <w:tcBorders>
              <w:top w:val="nil"/>
              <w:left w:val="nil"/>
              <w:bottom w:val="single" w:sz="4" w:space="0" w:color="auto"/>
              <w:right w:val="single" w:sz="4" w:space="0" w:color="auto"/>
            </w:tcBorders>
            <w:shd w:val="clear" w:color="auto" w:fill="auto"/>
            <w:noWrap/>
            <w:vAlign w:val="center"/>
            <w:hideMark/>
          </w:tcPr>
          <w:p w14:paraId="4EB1F3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£3,660.10</w:t>
            </w:r>
          </w:p>
        </w:tc>
        <w:tc>
          <w:tcPr>
            <w:tcW w:w="1531" w:type="dxa"/>
            <w:tcBorders>
              <w:top w:val="nil"/>
              <w:left w:val="nil"/>
              <w:bottom w:val="single" w:sz="4" w:space="0" w:color="auto"/>
              <w:right w:val="single" w:sz="4" w:space="0" w:color="auto"/>
            </w:tcBorders>
            <w:shd w:val="clear" w:color="auto" w:fill="auto"/>
            <w:noWrap/>
            <w:vAlign w:val="center"/>
            <w:hideMark/>
          </w:tcPr>
          <w:p w14:paraId="1BE896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£14,640.40</w:t>
            </w:r>
          </w:p>
        </w:tc>
      </w:tr>
      <w:tr w:rsidR="004433D7" w:rsidRPr="004433D7" w14:paraId="1CD984D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036254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Dong Energy Power Sales UK Limited</w:t>
            </w:r>
          </w:p>
        </w:tc>
        <w:tc>
          <w:tcPr>
            <w:tcW w:w="1526" w:type="dxa"/>
            <w:tcBorders>
              <w:top w:val="nil"/>
              <w:left w:val="nil"/>
              <w:bottom w:val="single" w:sz="4" w:space="0" w:color="auto"/>
              <w:right w:val="single" w:sz="4" w:space="0" w:color="auto"/>
            </w:tcBorders>
            <w:shd w:val="clear" w:color="auto" w:fill="auto"/>
            <w:noWrap/>
            <w:vAlign w:val="center"/>
            <w:hideMark/>
          </w:tcPr>
          <w:p w14:paraId="083FC1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£578,290.86</w:t>
            </w:r>
          </w:p>
        </w:tc>
        <w:tc>
          <w:tcPr>
            <w:tcW w:w="1510" w:type="dxa"/>
            <w:tcBorders>
              <w:top w:val="nil"/>
              <w:left w:val="nil"/>
              <w:bottom w:val="single" w:sz="4" w:space="0" w:color="auto"/>
              <w:right w:val="single" w:sz="4" w:space="0" w:color="auto"/>
            </w:tcBorders>
            <w:shd w:val="clear" w:color="auto" w:fill="auto"/>
            <w:noWrap/>
            <w:vAlign w:val="center"/>
            <w:hideMark/>
          </w:tcPr>
          <w:p w14:paraId="10E376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£144,572.72</w:t>
            </w:r>
          </w:p>
        </w:tc>
        <w:tc>
          <w:tcPr>
            <w:tcW w:w="1510" w:type="dxa"/>
            <w:tcBorders>
              <w:top w:val="nil"/>
              <w:left w:val="nil"/>
              <w:bottom w:val="single" w:sz="4" w:space="0" w:color="auto"/>
              <w:right w:val="single" w:sz="4" w:space="0" w:color="auto"/>
            </w:tcBorders>
            <w:shd w:val="clear" w:color="auto" w:fill="auto"/>
            <w:noWrap/>
            <w:vAlign w:val="center"/>
            <w:hideMark/>
          </w:tcPr>
          <w:p w14:paraId="015175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£144,572.72</w:t>
            </w:r>
          </w:p>
        </w:tc>
        <w:tc>
          <w:tcPr>
            <w:tcW w:w="1516" w:type="dxa"/>
            <w:tcBorders>
              <w:top w:val="nil"/>
              <w:left w:val="nil"/>
              <w:bottom w:val="single" w:sz="4" w:space="0" w:color="auto"/>
              <w:right w:val="single" w:sz="4" w:space="0" w:color="auto"/>
            </w:tcBorders>
            <w:shd w:val="clear" w:color="auto" w:fill="auto"/>
            <w:noWrap/>
            <w:vAlign w:val="center"/>
            <w:hideMark/>
          </w:tcPr>
          <w:p w14:paraId="2D2615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£144,572.72</w:t>
            </w:r>
          </w:p>
        </w:tc>
        <w:tc>
          <w:tcPr>
            <w:tcW w:w="1510" w:type="dxa"/>
            <w:tcBorders>
              <w:top w:val="nil"/>
              <w:left w:val="nil"/>
              <w:bottom w:val="single" w:sz="4" w:space="0" w:color="auto"/>
              <w:right w:val="single" w:sz="4" w:space="0" w:color="auto"/>
            </w:tcBorders>
            <w:shd w:val="clear" w:color="auto" w:fill="auto"/>
            <w:noWrap/>
            <w:vAlign w:val="center"/>
            <w:hideMark/>
          </w:tcPr>
          <w:p w14:paraId="2901D1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£144,572.72</w:t>
            </w:r>
          </w:p>
        </w:tc>
        <w:tc>
          <w:tcPr>
            <w:tcW w:w="1531" w:type="dxa"/>
            <w:tcBorders>
              <w:top w:val="nil"/>
              <w:left w:val="nil"/>
              <w:bottom w:val="single" w:sz="4" w:space="0" w:color="auto"/>
              <w:right w:val="single" w:sz="4" w:space="0" w:color="auto"/>
            </w:tcBorders>
            <w:shd w:val="clear" w:color="auto" w:fill="auto"/>
            <w:noWrap/>
            <w:vAlign w:val="center"/>
            <w:hideMark/>
          </w:tcPr>
          <w:p w14:paraId="45CE77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£578,290.88</w:t>
            </w:r>
          </w:p>
        </w:tc>
      </w:tr>
      <w:tr w:rsidR="004433D7" w:rsidRPr="004433D7" w14:paraId="3AA4CB67"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FC9C73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526" w:type="dxa"/>
            <w:tcBorders>
              <w:top w:val="nil"/>
              <w:left w:val="nil"/>
              <w:bottom w:val="single" w:sz="4" w:space="0" w:color="auto"/>
              <w:right w:val="single" w:sz="4" w:space="0" w:color="auto"/>
            </w:tcBorders>
            <w:shd w:val="clear" w:color="auto" w:fill="auto"/>
            <w:noWrap/>
            <w:vAlign w:val="center"/>
            <w:hideMark/>
          </w:tcPr>
          <w:p w14:paraId="5AECF2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£147,366.94</w:t>
            </w:r>
          </w:p>
        </w:tc>
        <w:tc>
          <w:tcPr>
            <w:tcW w:w="1510" w:type="dxa"/>
            <w:tcBorders>
              <w:top w:val="nil"/>
              <w:left w:val="nil"/>
              <w:bottom w:val="single" w:sz="4" w:space="0" w:color="auto"/>
              <w:right w:val="single" w:sz="4" w:space="0" w:color="auto"/>
            </w:tcBorders>
            <w:shd w:val="clear" w:color="auto" w:fill="auto"/>
            <w:noWrap/>
            <w:vAlign w:val="center"/>
            <w:hideMark/>
          </w:tcPr>
          <w:p w14:paraId="4F2CAB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£36,841.73</w:t>
            </w:r>
          </w:p>
        </w:tc>
        <w:tc>
          <w:tcPr>
            <w:tcW w:w="1510" w:type="dxa"/>
            <w:tcBorders>
              <w:top w:val="nil"/>
              <w:left w:val="nil"/>
              <w:bottom w:val="single" w:sz="4" w:space="0" w:color="auto"/>
              <w:right w:val="single" w:sz="4" w:space="0" w:color="auto"/>
            </w:tcBorders>
            <w:shd w:val="clear" w:color="auto" w:fill="auto"/>
            <w:noWrap/>
            <w:vAlign w:val="center"/>
            <w:hideMark/>
          </w:tcPr>
          <w:p w14:paraId="7FB82F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£73,683.46</w:t>
            </w:r>
          </w:p>
        </w:tc>
        <w:tc>
          <w:tcPr>
            <w:tcW w:w="1516" w:type="dxa"/>
            <w:tcBorders>
              <w:top w:val="nil"/>
              <w:left w:val="nil"/>
              <w:bottom w:val="single" w:sz="4" w:space="0" w:color="auto"/>
              <w:right w:val="single" w:sz="4" w:space="0" w:color="auto"/>
            </w:tcBorders>
            <w:shd w:val="clear" w:color="auto" w:fill="auto"/>
            <w:noWrap/>
            <w:vAlign w:val="center"/>
            <w:hideMark/>
          </w:tcPr>
          <w:p w14:paraId="58075F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DE46D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£36,841.73</w:t>
            </w:r>
          </w:p>
        </w:tc>
        <w:tc>
          <w:tcPr>
            <w:tcW w:w="1531" w:type="dxa"/>
            <w:tcBorders>
              <w:top w:val="nil"/>
              <w:left w:val="nil"/>
              <w:bottom w:val="single" w:sz="4" w:space="0" w:color="auto"/>
              <w:right w:val="single" w:sz="4" w:space="0" w:color="auto"/>
            </w:tcBorders>
            <w:shd w:val="clear" w:color="auto" w:fill="auto"/>
            <w:noWrap/>
            <w:vAlign w:val="center"/>
            <w:hideMark/>
          </w:tcPr>
          <w:p w14:paraId="2F49BB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£147,366.92</w:t>
            </w:r>
          </w:p>
        </w:tc>
      </w:tr>
      <w:tr w:rsidR="004433D7" w:rsidRPr="004433D7" w14:paraId="66C8ED1F"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F1BFD3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E (Gas and Electricity) Limited</w:t>
            </w:r>
          </w:p>
        </w:tc>
        <w:tc>
          <w:tcPr>
            <w:tcW w:w="1526" w:type="dxa"/>
            <w:tcBorders>
              <w:top w:val="nil"/>
              <w:left w:val="nil"/>
              <w:bottom w:val="single" w:sz="4" w:space="0" w:color="auto"/>
              <w:right w:val="single" w:sz="4" w:space="0" w:color="auto"/>
            </w:tcBorders>
            <w:shd w:val="clear" w:color="auto" w:fill="auto"/>
            <w:noWrap/>
            <w:vAlign w:val="center"/>
            <w:hideMark/>
          </w:tcPr>
          <w:p w14:paraId="4FCF10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£90,862.48</w:t>
            </w:r>
          </w:p>
        </w:tc>
        <w:tc>
          <w:tcPr>
            <w:tcW w:w="1510" w:type="dxa"/>
            <w:tcBorders>
              <w:top w:val="nil"/>
              <w:left w:val="nil"/>
              <w:bottom w:val="single" w:sz="4" w:space="0" w:color="auto"/>
              <w:right w:val="single" w:sz="4" w:space="0" w:color="auto"/>
            </w:tcBorders>
            <w:shd w:val="clear" w:color="auto" w:fill="auto"/>
            <w:noWrap/>
            <w:vAlign w:val="center"/>
            <w:hideMark/>
          </w:tcPr>
          <w:p w14:paraId="55BEF4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£22,715.62</w:t>
            </w:r>
          </w:p>
        </w:tc>
        <w:tc>
          <w:tcPr>
            <w:tcW w:w="1510" w:type="dxa"/>
            <w:tcBorders>
              <w:top w:val="nil"/>
              <w:left w:val="nil"/>
              <w:bottom w:val="single" w:sz="4" w:space="0" w:color="auto"/>
              <w:right w:val="single" w:sz="4" w:space="0" w:color="auto"/>
            </w:tcBorders>
            <w:shd w:val="clear" w:color="auto" w:fill="auto"/>
            <w:noWrap/>
            <w:vAlign w:val="center"/>
            <w:hideMark/>
          </w:tcPr>
          <w:p w14:paraId="19C0E7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£22,715.62</w:t>
            </w:r>
          </w:p>
        </w:tc>
        <w:tc>
          <w:tcPr>
            <w:tcW w:w="1516" w:type="dxa"/>
            <w:tcBorders>
              <w:top w:val="nil"/>
              <w:left w:val="nil"/>
              <w:bottom w:val="single" w:sz="4" w:space="0" w:color="auto"/>
              <w:right w:val="single" w:sz="4" w:space="0" w:color="auto"/>
            </w:tcBorders>
            <w:shd w:val="clear" w:color="auto" w:fill="auto"/>
            <w:noWrap/>
            <w:vAlign w:val="center"/>
            <w:hideMark/>
          </w:tcPr>
          <w:p w14:paraId="186DEF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£22,715.62</w:t>
            </w:r>
          </w:p>
        </w:tc>
        <w:tc>
          <w:tcPr>
            <w:tcW w:w="1510" w:type="dxa"/>
            <w:tcBorders>
              <w:top w:val="nil"/>
              <w:left w:val="nil"/>
              <w:bottom w:val="single" w:sz="4" w:space="0" w:color="auto"/>
              <w:right w:val="single" w:sz="4" w:space="0" w:color="auto"/>
            </w:tcBorders>
            <w:shd w:val="clear" w:color="auto" w:fill="auto"/>
            <w:noWrap/>
            <w:vAlign w:val="center"/>
            <w:hideMark/>
          </w:tcPr>
          <w:p w14:paraId="4C83A6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£22,715.62</w:t>
            </w:r>
          </w:p>
        </w:tc>
        <w:tc>
          <w:tcPr>
            <w:tcW w:w="1531" w:type="dxa"/>
            <w:tcBorders>
              <w:top w:val="nil"/>
              <w:left w:val="nil"/>
              <w:bottom w:val="single" w:sz="4" w:space="0" w:color="auto"/>
              <w:right w:val="single" w:sz="4" w:space="0" w:color="auto"/>
            </w:tcBorders>
            <w:shd w:val="clear" w:color="auto" w:fill="auto"/>
            <w:noWrap/>
            <w:vAlign w:val="center"/>
            <w:hideMark/>
          </w:tcPr>
          <w:p w14:paraId="71A51F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£90,862.48</w:t>
            </w:r>
          </w:p>
        </w:tc>
      </w:tr>
      <w:tr w:rsidR="004433D7" w:rsidRPr="004433D7" w14:paraId="11CBD8D1"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53DB1B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526" w:type="dxa"/>
            <w:tcBorders>
              <w:top w:val="nil"/>
              <w:left w:val="nil"/>
              <w:bottom w:val="single" w:sz="4" w:space="0" w:color="auto"/>
              <w:right w:val="single" w:sz="4" w:space="0" w:color="auto"/>
            </w:tcBorders>
            <w:shd w:val="clear" w:color="auto" w:fill="auto"/>
            <w:noWrap/>
            <w:vAlign w:val="center"/>
            <w:hideMark/>
          </w:tcPr>
          <w:p w14:paraId="6AD802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£3,741,023.50</w:t>
            </w:r>
          </w:p>
        </w:tc>
        <w:tc>
          <w:tcPr>
            <w:tcW w:w="1510" w:type="dxa"/>
            <w:tcBorders>
              <w:top w:val="nil"/>
              <w:left w:val="nil"/>
              <w:bottom w:val="single" w:sz="4" w:space="0" w:color="auto"/>
              <w:right w:val="single" w:sz="4" w:space="0" w:color="auto"/>
            </w:tcBorders>
            <w:shd w:val="clear" w:color="auto" w:fill="auto"/>
            <w:noWrap/>
            <w:vAlign w:val="center"/>
            <w:hideMark/>
          </w:tcPr>
          <w:p w14:paraId="7BF3A1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£935,255.87</w:t>
            </w:r>
          </w:p>
        </w:tc>
        <w:tc>
          <w:tcPr>
            <w:tcW w:w="1510" w:type="dxa"/>
            <w:tcBorders>
              <w:top w:val="nil"/>
              <w:left w:val="nil"/>
              <w:bottom w:val="single" w:sz="4" w:space="0" w:color="auto"/>
              <w:right w:val="single" w:sz="4" w:space="0" w:color="auto"/>
            </w:tcBorders>
            <w:shd w:val="clear" w:color="auto" w:fill="auto"/>
            <w:noWrap/>
            <w:vAlign w:val="center"/>
            <w:hideMark/>
          </w:tcPr>
          <w:p w14:paraId="4C96A9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£935,255.87</w:t>
            </w:r>
          </w:p>
        </w:tc>
        <w:tc>
          <w:tcPr>
            <w:tcW w:w="1516" w:type="dxa"/>
            <w:tcBorders>
              <w:top w:val="nil"/>
              <w:left w:val="nil"/>
              <w:bottom w:val="single" w:sz="4" w:space="0" w:color="auto"/>
              <w:right w:val="single" w:sz="4" w:space="0" w:color="auto"/>
            </w:tcBorders>
            <w:shd w:val="clear" w:color="auto" w:fill="auto"/>
            <w:noWrap/>
            <w:vAlign w:val="center"/>
            <w:hideMark/>
          </w:tcPr>
          <w:p w14:paraId="4AF28A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£935,255.87</w:t>
            </w:r>
          </w:p>
        </w:tc>
        <w:tc>
          <w:tcPr>
            <w:tcW w:w="1510" w:type="dxa"/>
            <w:tcBorders>
              <w:top w:val="nil"/>
              <w:left w:val="nil"/>
              <w:bottom w:val="single" w:sz="4" w:space="0" w:color="auto"/>
              <w:right w:val="single" w:sz="4" w:space="0" w:color="auto"/>
            </w:tcBorders>
            <w:shd w:val="clear" w:color="auto" w:fill="auto"/>
            <w:noWrap/>
            <w:vAlign w:val="center"/>
            <w:hideMark/>
          </w:tcPr>
          <w:p w14:paraId="55A788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£935,255.87</w:t>
            </w:r>
          </w:p>
        </w:tc>
        <w:tc>
          <w:tcPr>
            <w:tcW w:w="1531" w:type="dxa"/>
            <w:tcBorders>
              <w:top w:val="nil"/>
              <w:left w:val="nil"/>
              <w:bottom w:val="single" w:sz="4" w:space="0" w:color="auto"/>
              <w:right w:val="single" w:sz="4" w:space="0" w:color="auto"/>
            </w:tcBorders>
            <w:shd w:val="clear" w:color="auto" w:fill="auto"/>
            <w:noWrap/>
            <w:vAlign w:val="center"/>
            <w:hideMark/>
          </w:tcPr>
          <w:p w14:paraId="173971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£3,741,023.48</w:t>
            </w:r>
          </w:p>
        </w:tc>
      </w:tr>
      <w:tr w:rsidR="004433D7" w:rsidRPr="004433D7" w14:paraId="5210735C"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44975E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526" w:type="dxa"/>
            <w:tcBorders>
              <w:top w:val="nil"/>
              <w:left w:val="nil"/>
              <w:bottom w:val="single" w:sz="4" w:space="0" w:color="auto"/>
              <w:right w:val="single" w:sz="4" w:space="0" w:color="auto"/>
            </w:tcBorders>
            <w:shd w:val="clear" w:color="auto" w:fill="auto"/>
            <w:noWrap/>
            <w:vAlign w:val="center"/>
            <w:hideMark/>
          </w:tcPr>
          <w:p w14:paraId="213D37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£2,935,405.18</w:t>
            </w:r>
          </w:p>
        </w:tc>
        <w:tc>
          <w:tcPr>
            <w:tcW w:w="1510" w:type="dxa"/>
            <w:tcBorders>
              <w:top w:val="nil"/>
              <w:left w:val="nil"/>
              <w:bottom w:val="single" w:sz="4" w:space="0" w:color="auto"/>
              <w:right w:val="single" w:sz="4" w:space="0" w:color="auto"/>
            </w:tcBorders>
            <w:shd w:val="clear" w:color="auto" w:fill="auto"/>
            <w:noWrap/>
            <w:vAlign w:val="center"/>
            <w:hideMark/>
          </w:tcPr>
          <w:p w14:paraId="4474B0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£733,851.29</w:t>
            </w:r>
          </w:p>
        </w:tc>
        <w:tc>
          <w:tcPr>
            <w:tcW w:w="1510" w:type="dxa"/>
            <w:tcBorders>
              <w:top w:val="nil"/>
              <w:left w:val="nil"/>
              <w:bottom w:val="single" w:sz="4" w:space="0" w:color="auto"/>
              <w:right w:val="single" w:sz="4" w:space="0" w:color="auto"/>
            </w:tcBorders>
            <w:shd w:val="clear" w:color="auto" w:fill="auto"/>
            <w:noWrap/>
            <w:vAlign w:val="center"/>
            <w:hideMark/>
          </w:tcPr>
          <w:p w14:paraId="4BAAD2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£733,851.29</w:t>
            </w:r>
          </w:p>
        </w:tc>
        <w:tc>
          <w:tcPr>
            <w:tcW w:w="1516" w:type="dxa"/>
            <w:tcBorders>
              <w:top w:val="nil"/>
              <w:left w:val="nil"/>
              <w:bottom w:val="single" w:sz="4" w:space="0" w:color="auto"/>
              <w:right w:val="single" w:sz="4" w:space="0" w:color="auto"/>
            </w:tcBorders>
            <w:shd w:val="clear" w:color="auto" w:fill="auto"/>
            <w:noWrap/>
            <w:vAlign w:val="center"/>
            <w:hideMark/>
          </w:tcPr>
          <w:p w14:paraId="7353FF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£733,851.29</w:t>
            </w:r>
          </w:p>
        </w:tc>
        <w:tc>
          <w:tcPr>
            <w:tcW w:w="1510" w:type="dxa"/>
            <w:tcBorders>
              <w:top w:val="nil"/>
              <w:left w:val="nil"/>
              <w:bottom w:val="single" w:sz="4" w:space="0" w:color="auto"/>
              <w:right w:val="single" w:sz="4" w:space="0" w:color="auto"/>
            </w:tcBorders>
            <w:shd w:val="clear" w:color="auto" w:fill="auto"/>
            <w:noWrap/>
            <w:vAlign w:val="center"/>
            <w:hideMark/>
          </w:tcPr>
          <w:p w14:paraId="788C8E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£733,851.29</w:t>
            </w:r>
          </w:p>
        </w:tc>
        <w:tc>
          <w:tcPr>
            <w:tcW w:w="1531" w:type="dxa"/>
            <w:tcBorders>
              <w:top w:val="nil"/>
              <w:left w:val="nil"/>
              <w:bottom w:val="single" w:sz="4" w:space="0" w:color="auto"/>
              <w:right w:val="single" w:sz="4" w:space="0" w:color="auto"/>
            </w:tcBorders>
            <w:shd w:val="clear" w:color="auto" w:fill="auto"/>
            <w:noWrap/>
            <w:vAlign w:val="center"/>
            <w:hideMark/>
          </w:tcPr>
          <w:p w14:paraId="434BE8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£2,935,405.16</w:t>
            </w:r>
          </w:p>
        </w:tc>
      </w:tr>
      <w:tr w:rsidR="004433D7" w:rsidRPr="004433D7" w14:paraId="7E4FF88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C267A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526" w:type="dxa"/>
            <w:tcBorders>
              <w:top w:val="nil"/>
              <w:left w:val="nil"/>
              <w:bottom w:val="single" w:sz="4" w:space="0" w:color="auto"/>
              <w:right w:val="single" w:sz="4" w:space="0" w:color="auto"/>
            </w:tcBorders>
            <w:shd w:val="clear" w:color="auto" w:fill="auto"/>
            <w:noWrap/>
            <w:vAlign w:val="center"/>
            <w:hideMark/>
          </w:tcPr>
          <w:p w14:paraId="4B25E2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£1,658.79</w:t>
            </w:r>
          </w:p>
        </w:tc>
        <w:tc>
          <w:tcPr>
            <w:tcW w:w="1510" w:type="dxa"/>
            <w:tcBorders>
              <w:top w:val="nil"/>
              <w:left w:val="nil"/>
              <w:bottom w:val="single" w:sz="4" w:space="0" w:color="auto"/>
              <w:right w:val="single" w:sz="4" w:space="0" w:color="auto"/>
            </w:tcBorders>
            <w:shd w:val="clear" w:color="auto" w:fill="auto"/>
            <w:noWrap/>
            <w:vAlign w:val="center"/>
            <w:hideMark/>
          </w:tcPr>
          <w:p w14:paraId="0777B9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£2,073.50</w:t>
            </w:r>
          </w:p>
        </w:tc>
        <w:tc>
          <w:tcPr>
            <w:tcW w:w="1510" w:type="dxa"/>
            <w:tcBorders>
              <w:top w:val="nil"/>
              <w:left w:val="nil"/>
              <w:bottom w:val="single" w:sz="4" w:space="0" w:color="auto"/>
              <w:right w:val="single" w:sz="4" w:space="0" w:color="auto"/>
            </w:tcBorders>
            <w:shd w:val="clear" w:color="auto" w:fill="auto"/>
            <w:noWrap/>
            <w:vAlign w:val="center"/>
            <w:hideMark/>
          </w:tcPr>
          <w:p w14:paraId="1710C1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£1,244.10</w:t>
            </w:r>
          </w:p>
        </w:tc>
        <w:tc>
          <w:tcPr>
            <w:tcW w:w="1516" w:type="dxa"/>
            <w:tcBorders>
              <w:top w:val="nil"/>
              <w:left w:val="nil"/>
              <w:bottom w:val="single" w:sz="4" w:space="0" w:color="auto"/>
              <w:right w:val="single" w:sz="4" w:space="0" w:color="auto"/>
            </w:tcBorders>
            <w:shd w:val="clear" w:color="auto" w:fill="auto"/>
            <w:noWrap/>
            <w:vAlign w:val="center"/>
            <w:hideMark/>
          </w:tcPr>
          <w:p w14:paraId="78E387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BC8AE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CD339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£3,317.60</w:t>
            </w:r>
          </w:p>
        </w:tc>
      </w:tr>
      <w:tr w:rsidR="004433D7" w:rsidRPr="004433D7" w14:paraId="18EFD43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CFEF1C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Eddington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3B8ED7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£7,906.92</w:t>
            </w:r>
          </w:p>
        </w:tc>
        <w:tc>
          <w:tcPr>
            <w:tcW w:w="1510" w:type="dxa"/>
            <w:tcBorders>
              <w:top w:val="nil"/>
              <w:left w:val="nil"/>
              <w:bottom w:val="single" w:sz="4" w:space="0" w:color="auto"/>
              <w:right w:val="single" w:sz="4" w:space="0" w:color="auto"/>
            </w:tcBorders>
            <w:shd w:val="clear" w:color="auto" w:fill="auto"/>
            <w:noWrap/>
            <w:vAlign w:val="center"/>
            <w:hideMark/>
          </w:tcPr>
          <w:p w14:paraId="72008C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£1,976.73</w:t>
            </w:r>
          </w:p>
        </w:tc>
        <w:tc>
          <w:tcPr>
            <w:tcW w:w="1510" w:type="dxa"/>
            <w:tcBorders>
              <w:top w:val="nil"/>
              <w:left w:val="nil"/>
              <w:bottom w:val="single" w:sz="4" w:space="0" w:color="auto"/>
              <w:right w:val="single" w:sz="4" w:space="0" w:color="auto"/>
            </w:tcBorders>
            <w:shd w:val="clear" w:color="auto" w:fill="auto"/>
            <w:noWrap/>
            <w:vAlign w:val="center"/>
            <w:hideMark/>
          </w:tcPr>
          <w:p w14:paraId="1A286A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£1,976.73</w:t>
            </w:r>
          </w:p>
        </w:tc>
        <w:tc>
          <w:tcPr>
            <w:tcW w:w="1516" w:type="dxa"/>
            <w:tcBorders>
              <w:top w:val="nil"/>
              <w:left w:val="nil"/>
              <w:bottom w:val="single" w:sz="4" w:space="0" w:color="auto"/>
              <w:right w:val="single" w:sz="4" w:space="0" w:color="auto"/>
            </w:tcBorders>
            <w:shd w:val="clear" w:color="auto" w:fill="auto"/>
            <w:noWrap/>
            <w:vAlign w:val="center"/>
            <w:hideMark/>
          </w:tcPr>
          <w:p w14:paraId="1B9517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£1,976.73</w:t>
            </w:r>
          </w:p>
        </w:tc>
        <w:tc>
          <w:tcPr>
            <w:tcW w:w="1510" w:type="dxa"/>
            <w:tcBorders>
              <w:top w:val="nil"/>
              <w:left w:val="nil"/>
              <w:bottom w:val="single" w:sz="4" w:space="0" w:color="auto"/>
              <w:right w:val="single" w:sz="4" w:space="0" w:color="auto"/>
            </w:tcBorders>
            <w:shd w:val="clear" w:color="auto" w:fill="auto"/>
            <w:noWrap/>
            <w:vAlign w:val="center"/>
            <w:hideMark/>
          </w:tcPr>
          <w:p w14:paraId="41A807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£1,976.73</w:t>
            </w:r>
          </w:p>
        </w:tc>
        <w:tc>
          <w:tcPr>
            <w:tcW w:w="1531" w:type="dxa"/>
            <w:tcBorders>
              <w:top w:val="nil"/>
              <w:left w:val="nil"/>
              <w:bottom w:val="single" w:sz="4" w:space="0" w:color="auto"/>
              <w:right w:val="single" w:sz="4" w:space="0" w:color="auto"/>
            </w:tcBorders>
            <w:shd w:val="clear" w:color="auto" w:fill="auto"/>
            <w:noWrap/>
            <w:vAlign w:val="center"/>
            <w:hideMark/>
          </w:tcPr>
          <w:p w14:paraId="66384D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£7,906.92</w:t>
            </w:r>
          </w:p>
        </w:tc>
      </w:tr>
      <w:tr w:rsidR="004433D7" w:rsidRPr="004433D7" w14:paraId="48A79B12"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3AD378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526" w:type="dxa"/>
            <w:tcBorders>
              <w:top w:val="nil"/>
              <w:left w:val="nil"/>
              <w:bottom w:val="single" w:sz="4" w:space="0" w:color="auto"/>
              <w:right w:val="single" w:sz="4" w:space="0" w:color="auto"/>
            </w:tcBorders>
            <w:shd w:val="clear" w:color="auto" w:fill="auto"/>
            <w:noWrap/>
            <w:vAlign w:val="center"/>
            <w:hideMark/>
          </w:tcPr>
          <w:p w14:paraId="6738A9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£8,134,523.32</w:t>
            </w:r>
          </w:p>
        </w:tc>
        <w:tc>
          <w:tcPr>
            <w:tcW w:w="1510" w:type="dxa"/>
            <w:tcBorders>
              <w:top w:val="nil"/>
              <w:left w:val="nil"/>
              <w:bottom w:val="single" w:sz="4" w:space="0" w:color="auto"/>
              <w:right w:val="single" w:sz="4" w:space="0" w:color="auto"/>
            </w:tcBorders>
            <w:shd w:val="clear" w:color="auto" w:fill="auto"/>
            <w:noWrap/>
            <w:vAlign w:val="center"/>
            <w:hideMark/>
          </w:tcPr>
          <w:p w14:paraId="03BC7A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£2,033,630.83</w:t>
            </w:r>
          </w:p>
        </w:tc>
        <w:tc>
          <w:tcPr>
            <w:tcW w:w="1510" w:type="dxa"/>
            <w:tcBorders>
              <w:top w:val="nil"/>
              <w:left w:val="nil"/>
              <w:bottom w:val="single" w:sz="4" w:space="0" w:color="auto"/>
              <w:right w:val="single" w:sz="4" w:space="0" w:color="auto"/>
            </w:tcBorders>
            <w:shd w:val="clear" w:color="auto" w:fill="auto"/>
            <w:noWrap/>
            <w:vAlign w:val="center"/>
            <w:hideMark/>
          </w:tcPr>
          <w:p w14:paraId="70ACC1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£2,033,630.83</w:t>
            </w:r>
          </w:p>
        </w:tc>
        <w:tc>
          <w:tcPr>
            <w:tcW w:w="1516" w:type="dxa"/>
            <w:tcBorders>
              <w:top w:val="nil"/>
              <w:left w:val="nil"/>
              <w:bottom w:val="single" w:sz="4" w:space="0" w:color="auto"/>
              <w:right w:val="single" w:sz="4" w:space="0" w:color="auto"/>
            </w:tcBorders>
            <w:shd w:val="clear" w:color="auto" w:fill="auto"/>
            <w:noWrap/>
            <w:vAlign w:val="center"/>
            <w:hideMark/>
          </w:tcPr>
          <w:p w14:paraId="2E90C9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£2,033,630.83</w:t>
            </w:r>
          </w:p>
        </w:tc>
        <w:tc>
          <w:tcPr>
            <w:tcW w:w="1510" w:type="dxa"/>
            <w:tcBorders>
              <w:top w:val="nil"/>
              <w:left w:val="nil"/>
              <w:bottom w:val="single" w:sz="4" w:space="0" w:color="auto"/>
              <w:right w:val="single" w:sz="4" w:space="0" w:color="auto"/>
            </w:tcBorders>
            <w:shd w:val="clear" w:color="auto" w:fill="auto"/>
            <w:noWrap/>
            <w:vAlign w:val="center"/>
            <w:hideMark/>
          </w:tcPr>
          <w:p w14:paraId="0395A1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£2,033,630.83</w:t>
            </w:r>
          </w:p>
        </w:tc>
        <w:tc>
          <w:tcPr>
            <w:tcW w:w="1531" w:type="dxa"/>
            <w:tcBorders>
              <w:top w:val="nil"/>
              <w:left w:val="nil"/>
              <w:bottom w:val="single" w:sz="4" w:space="0" w:color="auto"/>
              <w:right w:val="single" w:sz="4" w:space="0" w:color="auto"/>
            </w:tcBorders>
            <w:shd w:val="clear" w:color="auto" w:fill="auto"/>
            <w:noWrap/>
            <w:vAlign w:val="center"/>
            <w:hideMark/>
          </w:tcPr>
          <w:p w14:paraId="1E6FF8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£8,134,523.32</w:t>
            </w:r>
          </w:p>
        </w:tc>
      </w:tr>
      <w:tr w:rsidR="004433D7" w:rsidRPr="004433D7" w14:paraId="53FFE499"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0F4E4E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Effortless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2DFDF9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£1,447.35</w:t>
            </w:r>
          </w:p>
        </w:tc>
        <w:tc>
          <w:tcPr>
            <w:tcW w:w="1510" w:type="dxa"/>
            <w:tcBorders>
              <w:top w:val="nil"/>
              <w:left w:val="nil"/>
              <w:bottom w:val="single" w:sz="4" w:space="0" w:color="auto"/>
              <w:right w:val="single" w:sz="4" w:space="0" w:color="auto"/>
            </w:tcBorders>
            <w:shd w:val="clear" w:color="auto" w:fill="auto"/>
            <w:noWrap/>
            <w:vAlign w:val="center"/>
            <w:hideMark/>
          </w:tcPr>
          <w:p w14:paraId="0358F1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£1,447.35</w:t>
            </w:r>
          </w:p>
        </w:tc>
        <w:tc>
          <w:tcPr>
            <w:tcW w:w="1510" w:type="dxa"/>
            <w:tcBorders>
              <w:top w:val="nil"/>
              <w:left w:val="nil"/>
              <w:bottom w:val="single" w:sz="4" w:space="0" w:color="auto"/>
              <w:right w:val="single" w:sz="4" w:space="0" w:color="auto"/>
            </w:tcBorders>
            <w:shd w:val="clear" w:color="auto" w:fill="auto"/>
            <w:noWrap/>
            <w:vAlign w:val="center"/>
            <w:hideMark/>
          </w:tcPr>
          <w:p w14:paraId="062816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4AEA47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8CF7A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AAB98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£1,447.35</w:t>
            </w:r>
          </w:p>
        </w:tc>
      </w:tr>
      <w:tr w:rsidR="004433D7" w:rsidRPr="004433D7" w14:paraId="0845231D"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AF194C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Electraphase</w:t>
            </w:r>
            <w:proofErr w:type="spellEnd"/>
            <w:r w:rsidRPr="004433D7">
              <w:rPr>
                <w:rFonts w:eastAsia="Times New Roman" w:cs="Times New Roman"/>
                <w:color w:val="000000"/>
                <w:sz w:val="16"/>
                <w:szCs w:val="16"/>
              </w:rPr>
              <w:t xml:space="preserve"> Ltd</w:t>
            </w:r>
          </w:p>
        </w:tc>
        <w:tc>
          <w:tcPr>
            <w:tcW w:w="1526" w:type="dxa"/>
            <w:tcBorders>
              <w:top w:val="nil"/>
              <w:left w:val="nil"/>
              <w:bottom w:val="single" w:sz="4" w:space="0" w:color="auto"/>
              <w:right w:val="single" w:sz="4" w:space="0" w:color="auto"/>
            </w:tcBorders>
            <w:shd w:val="clear" w:color="auto" w:fill="auto"/>
            <w:noWrap/>
            <w:vAlign w:val="center"/>
            <w:hideMark/>
          </w:tcPr>
          <w:p w14:paraId="40E47B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£2,345.35</w:t>
            </w:r>
          </w:p>
        </w:tc>
        <w:tc>
          <w:tcPr>
            <w:tcW w:w="1510" w:type="dxa"/>
            <w:tcBorders>
              <w:top w:val="nil"/>
              <w:left w:val="nil"/>
              <w:bottom w:val="single" w:sz="4" w:space="0" w:color="auto"/>
              <w:right w:val="single" w:sz="4" w:space="0" w:color="auto"/>
            </w:tcBorders>
            <w:shd w:val="clear" w:color="auto" w:fill="auto"/>
            <w:noWrap/>
            <w:vAlign w:val="center"/>
            <w:hideMark/>
          </w:tcPr>
          <w:p w14:paraId="185F80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2CDC2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4AB1C6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106E5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09828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278E006C"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F60BF5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1D9942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£422,843.96</w:t>
            </w:r>
          </w:p>
        </w:tc>
        <w:tc>
          <w:tcPr>
            <w:tcW w:w="1510" w:type="dxa"/>
            <w:tcBorders>
              <w:top w:val="nil"/>
              <w:left w:val="nil"/>
              <w:bottom w:val="single" w:sz="4" w:space="0" w:color="auto"/>
              <w:right w:val="single" w:sz="4" w:space="0" w:color="auto"/>
            </w:tcBorders>
            <w:shd w:val="clear" w:color="auto" w:fill="auto"/>
            <w:noWrap/>
            <w:vAlign w:val="center"/>
            <w:hideMark/>
          </w:tcPr>
          <w:p w14:paraId="1B899C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£105,710.99</w:t>
            </w:r>
          </w:p>
        </w:tc>
        <w:tc>
          <w:tcPr>
            <w:tcW w:w="1510" w:type="dxa"/>
            <w:tcBorders>
              <w:top w:val="nil"/>
              <w:left w:val="nil"/>
              <w:bottom w:val="single" w:sz="4" w:space="0" w:color="auto"/>
              <w:right w:val="single" w:sz="4" w:space="0" w:color="auto"/>
            </w:tcBorders>
            <w:shd w:val="clear" w:color="auto" w:fill="auto"/>
            <w:noWrap/>
            <w:vAlign w:val="center"/>
            <w:hideMark/>
          </w:tcPr>
          <w:p w14:paraId="094908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£105,710.99</w:t>
            </w:r>
          </w:p>
        </w:tc>
        <w:tc>
          <w:tcPr>
            <w:tcW w:w="1516" w:type="dxa"/>
            <w:tcBorders>
              <w:top w:val="nil"/>
              <w:left w:val="nil"/>
              <w:bottom w:val="single" w:sz="4" w:space="0" w:color="auto"/>
              <w:right w:val="single" w:sz="4" w:space="0" w:color="auto"/>
            </w:tcBorders>
            <w:shd w:val="clear" w:color="auto" w:fill="auto"/>
            <w:noWrap/>
            <w:vAlign w:val="center"/>
            <w:hideMark/>
          </w:tcPr>
          <w:p w14:paraId="51E080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£105,710.99</w:t>
            </w:r>
          </w:p>
        </w:tc>
        <w:tc>
          <w:tcPr>
            <w:tcW w:w="1510" w:type="dxa"/>
            <w:tcBorders>
              <w:top w:val="nil"/>
              <w:left w:val="nil"/>
              <w:bottom w:val="single" w:sz="4" w:space="0" w:color="auto"/>
              <w:right w:val="single" w:sz="4" w:space="0" w:color="auto"/>
            </w:tcBorders>
            <w:shd w:val="clear" w:color="auto" w:fill="auto"/>
            <w:noWrap/>
            <w:vAlign w:val="center"/>
            <w:hideMark/>
          </w:tcPr>
          <w:p w14:paraId="2C9DE4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£105,710.99</w:t>
            </w:r>
          </w:p>
        </w:tc>
        <w:tc>
          <w:tcPr>
            <w:tcW w:w="1531" w:type="dxa"/>
            <w:tcBorders>
              <w:top w:val="nil"/>
              <w:left w:val="nil"/>
              <w:bottom w:val="single" w:sz="4" w:space="0" w:color="auto"/>
              <w:right w:val="single" w:sz="4" w:space="0" w:color="auto"/>
            </w:tcBorders>
            <w:shd w:val="clear" w:color="auto" w:fill="auto"/>
            <w:noWrap/>
            <w:vAlign w:val="center"/>
            <w:hideMark/>
          </w:tcPr>
          <w:p w14:paraId="404EBB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£422,843.96</w:t>
            </w:r>
          </w:p>
        </w:tc>
      </w:tr>
      <w:tr w:rsidR="004433D7" w:rsidRPr="004433D7" w14:paraId="77427BFE"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DB2F53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526" w:type="dxa"/>
            <w:tcBorders>
              <w:top w:val="nil"/>
              <w:left w:val="nil"/>
              <w:bottom w:val="single" w:sz="4" w:space="0" w:color="auto"/>
              <w:right w:val="single" w:sz="4" w:space="0" w:color="auto"/>
            </w:tcBorders>
            <w:shd w:val="clear" w:color="auto" w:fill="auto"/>
            <w:noWrap/>
            <w:vAlign w:val="center"/>
            <w:hideMark/>
          </w:tcPr>
          <w:p w14:paraId="257631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£76,583.03</w:t>
            </w:r>
          </w:p>
        </w:tc>
        <w:tc>
          <w:tcPr>
            <w:tcW w:w="1510" w:type="dxa"/>
            <w:tcBorders>
              <w:top w:val="nil"/>
              <w:left w:val="nil"/>
              <w:bottom w:val="single" w:sz="4" w:space="0" w:color="auto"/>
              <w:right w:val="single" w:sz="4" w:space="0" w:color="auto"/>
            </w:tcBorders>
            <w:shd w:val="clear" w:color="auto" w:fill="auto"/>
            <w:noWrap/>
            <w:vAlign w:val="center"/>
            <w:hideMark/>
          </w:tcPr>
          <w:p w14:paraId="426316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£19,145.76</w:t>
            </w:r>
          </w:p>
        </w:tc>
        <w:tc>
          <w:tcPr>
            <w:tcW w:w="1510" w:type="dxa"/>
            <w:tcBorders>
              <w:top w:val="nil"/>
              <w:left w:val="nil"/>
              <w:bottom w:val="single" w:sz="4" w:space="0" w:color="auto"/>
              <w:right w:val="single" w:sz="4" w:space="0" w:color="auto"/>
            </w:tcBorders>
            <w:shd w:val="clear" w:color="auto" w:fill="auto"/>
            <w:noWrap/>
            <w:vAlign w:val="center"/>
            <w:hideMark/>
          </w:tcPr>
          <w:p w14:paraId="6E6D3B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£19,145.76</w:t>
            </w:r>
          </w:p>
        </w:tc>
        <w:tc>
          <w:tcPr>
            <w:tcW w:w="1516" w:type="dxa"/>
            <w:tcBorders>
              <w:top w:val="nil"/>
              <w:left w:val="nil"/>
              <w:bottom w:val="single" w:sz="4" w:space="0" w:color="auto"/>
              <w:right w:val="single" w:sz="4" w:space="0" w:color="auto"/>
            </w:tcBorders>
            <w:shd w:val="clear" w:color="auto" w:fill="auto"/>
            <w:noWrap/>
            <w:vAlign w:val="center"/>
            <w:hideMark/>
          </w:tcPr>
          <w:p w14:paraId="6F866B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£19,145.76</w:t>
            </w:r>
          </w:p>
        </w:tc>
        <w:tc>
          <w:tcPr>
            <w:tcW w:w="1510" w:type="dxa"/>
            <w:tcBorders>
              <w:top w:val="nil"/>
              <w:left w:val="nil"/>
              <w:bottom w:val="single" w:sz="4" w:space="0" w:color="auto"/>
              <w:right w:val="single" w:sz="4" w:space="0" w:color="auto"/>
            </w:tcBorders>
            <w:shd w:val="clear" w:color="auto" w:fill="auto"/>
            <w:noWrap/>
            <w:vAlign w:val="center"/>
            <w:hideMark/>
          </w:tcPr>
          <w:p w14:paraId="12D40D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£19,145.76</w:t>
            </w:r>
          </w:p>
        </w:tc>
        <w:tc>
          <w:tcPr>
            <w:tcW w:w="1531" w:type="dxa"/>
            <w:tcBorders>
              <w:top w:val="nil"/>
              <w:left w:val="nil"/>
              <w:bottom w:val="single" w:sz="4" w:space="0" w:color="auto"/>
              <w:right w:val="single" w:sz="4" w:space="0" w:color="auto"/>
            </w:tcBorders>
            <w:shd w:val="clear" w:color="auto" w:fill="auto"/>
            <w:noWrap/>
            <w:vAlign w:val="center"/>
            <w:hideMark/>
          </w:tcPr>
          <w:p w14:paraId="6C1831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£76,583.04</w:t>
            </w:r>
          </w:p>
        </w:tc>
      </w:tr>
      <w:tr w:rsidR="004433D7" w:rsidRPr="004433D7" w14:paraId="6079412D"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C9BAB6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0B0B1F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£1,896,889.64</w:t>
            </w:r>
          </w:p>
        </w:tc>
        <w:tc>
          <w:tcPr>
            <w:tcW w:w="1510" w:type="dxa"/>
            <w:tcBorders>
              <w:top w:val="nil"/>
              <w:left w:val="nil"/>
              <w:bottom w:val="single" w:sz="4" w:space="0" w:color="auto"/>
              <w:right w:val="single" w:sz="4" w:space="0" w:color="auto"/>
            </w:tcBorders>
            <w:shd w:val="clear" w:color="auto" w:fill="auto"/>
            <w:noWrap/>
            <w:vAlign w:val="center"/>
            <w:hideMark/>
          </w:tcPr>
          <w:p w14:paraId="44CCFA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£474,222.41</w:t>
            </w:r>
          </w:p>
        </w:tc>
        <w:tc>
          <w:tcPr>
            <w:tcW w:w="1510" w:type="dxa"/>
            <w:tcBorders>
              <w:top w:val="nil"/>
              <w:left w:val="nil"/>
              <w:bottom w:val="single" w:sz="4" w:space="0" w:color="auto"/>
              <w:right w:val="single" w:sz="4" w:space="0" w:color="auto"/>
            </w:tcBorders>
            <w:shd w:val="clear" w:color="auto" w:fill="auto"/>
            <w:noWrap/>
            <w:vAlign w:val="center"/>
            <w:hideMark/>
          </w:tcPr>
          <w:p w14:paraId="06BFBC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£474,222.41</w:t>
            </w:r>
          </w:p>
        </w:tc>
        <w:tc>
          <w:tcPr>
            <w:tcW w:w="1516" w:type="dxa"/>
            <w:tcBorders>
              <w:top w:val="nil"/>
              <w:left w:val="nil"/>
              <w:bottom w:val="single" w:sz="4" w:space="0" w:color="auto"/>
              <w:right w:val="single" w:sz="4" w:space="0" w:color="auto"/>
            </w:tcBorders>
            <w:shd w:val="clear" w:color="auto" w:fill="auto"/>
            <w:noWrap/>
            <w:vAlign w:val="center"/>
            <w:hideMark/>
          </w:tcPr>
          <w:p w14:paraId="04B090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£474,222.41</w:t>
            </w:r>
          </w:p>
        </w:tc>
        <w:tc>
          <w:tcPr>
            <w:tcW w:w="1510" w:type="dxa"/>
            <w:tcBorders>
              <w:top w:val="nil"/>
              <w:left w:val="nil"/>
              <w:bottom w:val="single" w:sz="4" w:space="0" w:color="auto"/>
              <w:right w:val="single" w:sz="4" w:space="0" w:color="auto"/>
            </w:tcBorders>
            <w:shd w:val="clear" w:color="auto" w:fill="auto"/>
            <w:noWrap/>
            <w:vAlign w:val="center"/>
            <w:hideMark/>
          </w:tcPr>
          <w:p w14:paraId="04A89D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£474,222.41</w:t>
            </w:r>
          </w:p>
        </w:tc>
        <w:tc>
          <w:tcPr>
            <w:tcW w:w="1531" w:type="dxa"/>
            <w:tcBorders>
              <w:top w:val="nil"/>
              <w:left w:val="nil"/>
              <w:bottom w:val="single" w:sz="4" w:space="0" w:color="auto"/>
              <w:right w:val="single" w:sz="4" w:space="0" w:color="auto"/>
            </w:tcBorders>
            <w:shd w:val="clear" w:color="auto" w:fill="auto"/>
            <w:noWrap/>
            <w:vAlign w:val="center"/>
            <w:hideMark/>
          </w:tcPr>
          <w:p w14:paraId="53AAF4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£1,896,889.64</w:t>
            </w:r>
          </w:p>
        </w:tc>
      </w:tr>
      <w:tr w:rsidR="004433D7" w:rsidRPr="004433D7" w14:paraId="3A92111E"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6C63B42"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Enstroga</w:t>
            </w:r>
            <w:proofErr w:type="spellEnd"/>
            <w:r w:rsidRPr="004433D7">
              <w:rPr>
                <w:rFonts w:eastAsia="Times New Roman" w:cs="Times New Roman"/>
                <w:color w:val="000000"/>
                <w:sz w:val="16"/>
                <w:szCs w:val="16"/>
              </w:rPr>
              <w:t xml:space="preserve"> Ltd </w:t>
            </w:r>
          </w:p>
        </w:tc>
        <w:tc>
          <w:tcPr>
            <w:tcW w:w="1526" w:type="dxa"/>
            <w:tcBorders>
              <w:top w:val="nil"/>
              <w:left w:val="nil"/>
              <w:bottom w:val="single" w:sz="4" w:space="0" w:color="auto"/>
              <w:right w:val="single" w:sz="4" w:space="0" w:color="auto"/>
            </w:tcBorders>
            <w:shd w:val="clear" w:color="auto" w:fill="auto"/>
            <w:noWrap/>
            <w:vAlign w:val="center"/>
            <w:hideMark/>
          </w:tcPr>
          <w:p w14:paraId="1DDC19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£3,455.82</w:t>
            </w:r>
          </w:p>
        </w:tc>
        <w:tc>
          <w:tcPr>
            <w:tcW w:w="1510" w:type="dxa"/>
            <w:tcBorders>
              <w:top w:val="nil"/>
              <w:left w:val="nil"/>
              <w:bottom w:val="single" w:sz="4" w:space="0" w:color="auto"/>
              <w:right w:val="single" w:sz="4" w:space="0" w:color="auto"/>
            </w:tcBorders>
            <w:shd w:val="clear" w:color="auto" w:fill="auto"/>
            <w:noWrap/>
            <w:vAlign w:val="center"/>
            <w:hideMark/>
          </w:tcPr>
          <w:p w14:paraId="1FD040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£3,455.82</w:t>
            </w:r>
          </w:p>
        </w:tc>
        <w:tc>
          <w:tcPr>
            <w:tcW w:w="1510" w:type="dxa"/>
            <w:tcBorders>
              <w:top w:val="nil"/>
              <w:left w:val="nil"/>
              <w:bottom w:val="single" w:sz="4" w:space="0" w:color="auto"/>
              <w:right w:val="single" w:sz="4" w:space="0" w:color="auto"/>
            </w:tcBorders>
            <w:shd w:val="clear" w:color="auto" w:fill="auto"/>
            <w:noWrap/>
            <w:vAlign w:val="center"/>
            <w:hideMark/>
          </w:tcPr>
          <w:p w14:paraId="134F25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5E702F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0E59D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3E606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£3,455.82</w:t>
            </w:r>
          </w:p>
        </w:tc>
      </w:tr>
      <w:tr w:rsidR="004433D7" w:rsidRPr="004433D7" w14:paraId="20F7850C"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0A76D3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EPG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02167F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£5,333.23</w:t>
            </w:r>
          </w:p>
        </w:tc>
        <w:tc>
          <w:tcPr>
            <w:tcW w:w="1510" w:type="dxa"/>
            <w:tcBorders>
              <w:top w:val="nil"/>
              <w:left w:val="nil"/>
              <w:bottom w:val="single" w:sz="4" w:space="0" w:color="auto"/>
              <w:right w:val="single" w:sz="4" w:space="0" w:color="auto"/>
            </w:tcBorders>
            <w:shd w:val="clear" w:color="auto" w:fill="auto"/>
            <w:noWrap/>
            <w:vAlign w:val="center"/>
            <w:hideMark/>
          </w:tcPr>
          <w:p w14:paraId="342AD5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£1,333.31</w:t>
            </w:r>
          </w:p>
        </w:tc>
        <w:tc>
          <w:tcPr>
            <w:tcW w:w="1510" w:type="dxa"/>
            <w:tcBorders>
              <w:top w:val="nil"/>
              <w:left w:val="nil"/>
              <w:bottom w:val="single" w:sz="4" w:space="0" w:color="auto"/>
              <w:right w:val="single" w:sz="4" w:space="0" w:color="auto"/>
            </w:tcBorders>
            <w:shd w:val="clear" w:color="auto" w:fill="auto"/>
            <w:noWrap/>
            <w:vAlign w:val="center"/>
            <w:hideMark/>
          </w:tcPr>
          <w:p w14:paraId="6A3B0D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£1,333.31</w:t>
            </w:r>
          </w:p>
        </w:tc>
        <w:tc>
          <w:tcPr>
            <w:tcW w:w="1516" w:type="dxa"/>
            <w:tcBorders>
              <w:top w:val="nil"/>
              <w:left w:val="nil"/>
              <w:bottom w:val="single" w:sz="4" w:space="0" w:color="auto"/>
              <w:right w:val="single" w:sz="4" w:space="0" w:color="auto"/>
            </w:tcBorders>
            <w:shd w:val="clear" w:color="auto" w:fill="auto"/>
            <w:noWrap/>
            <w:vAlign w:val="center"/>
            <w:hideMark/>
          </w:tcPr>
          <w:p w14:paraId="769486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£1,333.31</w:t>
            </w:r>
          </w:p>
        </w:tc>
        <w:tc>
          <w:tcPr>
            <w:tcW w:w="1510" w:type="dxa"/>
            <w:tcBorders>
              <w:top w:val="nil"/>
              <w:left w:val="nil"/>
              <w:bottom w:val="single" w:sz="4" w:space="0" w:color="auto"/>
              <w:right w:val="single" w:sz="4" w:space="0" w:color="auto"/>
            </w:tcBorders>
            <w:shd w:val="clear" w:color="auto" w:fill="auto"/>
            <w:noWrap/>
            <w:vAlign w:val="center"/>
            <w:hideMark/>
          </w:tcPr>
          <w:p w14:paraId="3AF292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£1,333.31</w:t>
            </w:r>
          </w:p>
        </w:tc>
        <w:tc>
          <w:tcPr>
            <w:tcW w:w="1531" w:type="dxa"/>
            <w:tcBorders>
              <w:top w:val="nil"/>
              <w:left w:val="nil"/>
              <w:bottom w:val="single" w:sz="4" w:space="0" w:color="auto"/>
              <w:right w:val="single" w:sz="4" w:space="0" w:color="auto"/>
            </w:tcBorders>
            <w:shd w:val="clear" w:color="auto" w:fill="auto"/>
            <w:noWrap/>
            <w:vAlign w:val="center"/>
            <w:hideMark/>
          </w:tcPr>
          <w:p w14:paraId="06F931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£5,333.24</w:t>
            </w:r>
          </w:p>
        </w:tc>
      </w:tr>
      <w:tr w:rsidR="004433D7" w:rsidRPr="004433D7" w14:paraId="5B083408"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2B7EA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74AA87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£1,864.61</w:t>
            </w:r>
          </w:p>
        </w:tc>
        <w:tc>
          <w:tcPr>
            <w:tcW w:w="1510" w:type="dxa"/>
            <w:tcBorders>
              <w:top w:val="nil"/>
              <w:left w:val="nil"/>
              <w:bottom w:val="single" w:sz="4" w:space="0" w:color="auto"/>
              <w:right w:val="single" w:sz="4" w:space="0" w:color="auto"/>
            </w:tcBorders>
            <w:shd w:val="clear" w:color="auto" w:fill="auto"/>
            <w:noWrap/>
            <w:vAlign w:val="center"/>
            <w:hideMark/>
          </w:tcPr>
          <w:p w14:paraId="4D10F9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£1,864.61</w:t>
            </w:r>
          </w:p>
        </w:tc>
        <w:tc>
          <w:tcPr>
            <w:tcW w:w="1510" w:type="dxa"/>
            <w:tcBorders>
              <w:top w:val="nil"/>
              <w:left w:val="nil"/>
              <w:bottom w:val="single" w:sz="4" w:space="0" w:color="auto"/>
              <w:right w:val="single" w:sz="4" w:space="0" w:color="auto"/>
            </w:tcBorders>
            <w:shd w:val="clear" w:color="auto" w:fill="auto"/>
            <w:noWrap/>
            <w:vAlign w:val="center"/>
            <w:hideMark/>
          </w:tcPr>
          <w:p w14:paraId="1F40A5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0E0E7F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D3D3F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1A752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£1,864.61</w:t>
            </w:r>
          </w:p>
        </w:tc>
      </w:tr>
      <w:tr w:rsidR="004433D7" w:rsidRPr="004433D7" w14:paraId="1450283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4C0ECC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Eversmart</w:t>
            </w:r>
            <w:proofErr w:type="spellEnd"/>
            <w:r w:rsidRPr="004433D7">
              <w:rPr>
                <w:rFonts w:eastAsia="Times New Roman" w:cs="Times New Roman"/>
                <w:color w:val="000000"/>
                <w:sz w:val="16"/>
                <w:szCs w:val="16"/>
              </w:rPr>
              <w:t xml:space="preserv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84847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£4,662.54</w:t>
            </w:r>
          </w:p>
        </w:tc>
        <w:tc>
          <w:tcPr>
            <w:tcW w:w="1510" w:type="dxa"/>
            <w:tcBorders>
              <w:top w:val="nil"/>
              <w:left w:val="nil"/>
              <w:bottom w:val="single" w:sz="4" w:space="0" w:color="auto"/>
              <w:right w:val="single" w:sz="4" w:space="0" w:color="auto"/>
            </w:tcBorders>
            <w:shd w:val="clear" w:color="auto" w:fill="auto"/>
            <w:noWrap/>
            <w:vAlign w:val="center"/>
            <w:hideMark/>
          </w:tcPr>
          <w:p w14:paraId="67FBA9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CA78C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02C91D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86D3F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234F2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508F65D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224196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1DF05B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£19,001.89</w:t>
            </w:r>
          </w:p>
        </w:tc>
        <w:tc>
          <w:tcPr>
            <w:tcW w:w="1510" w:type="dxa"/>
            <w:tcBorders>
              <w:top w:val="nil"/>
              <w:left w:val="nil"/>
              <w:bottom w:val="single" w:sz="4" w:space="0" w:color="auto"/>
              <w:right w:val="single" w:sz="4" w:space="0" w:color="auto"/>
            </w:tcBorders>
            <w:shd w:val="clear" w:color="auto" w:fill="auto"/>
            <w:noWrap/>
            <w:vAlign w:val="center"/>
            <w:hideMark/>
          </w:tcPr>
          <w:p w14:paraId="28E267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£4,750.47</w:t>
            </w:r>
          </w:p>
        </w:tc>
        <w:tc>
          <w:tcPr>
            <w:tcW w:w="1510" w:type="dxa"/>
            <w:tcBorders>
              <w:top w:val="nil"/>
              <w:left w:val="nil"/>
              <w:bottom w:val="single" w:sz="4" w:space="0" w:color="auto"/>
              <w:right w:val="single" w:sz="4" w:space="0" w:color="auto"/>
            </w:tcBorders>
            <w:shd w:val="clear" w:color="auto" w:fill="auto"/>
            <w:noWrap/>
            <w:vAlign w:val="center"/>
            <w:hideMark/>
          </w:tcPr>
          <w:p w14:paraId="10A1E3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£4,750.47</w:t>
            </w:r>
          </w:p>
        </w:tc>
        <w:tc>
          <w:tcPr>
            <w:tcW w:w="1516" w:type="dxa"/>
            <w:tcBorders>
              <w:top w:val="nil"/>
              <w:left w:val="nil"/>
              <w:bottom w:val="single" w:sz="4" w:space="0" w:color="auto"/>
              <w:right w:val="single" w:sz="4" w:space="0" w:color="auto"/>
            </w:tcBorders>
            <w:shd w:val="clear" w:color="auto" w:fill="auto"/>
            <w:noWrap/>
            <w:vAlign w:val="center"/>
            <w:hideMark/>
          </w:tcPr>
          <w:p w14:paraId="2DACAF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£4,750.47</w:t>
            </w:r>
          </w:p>
        </w:tc>
        <w:tc>
          <w:tcPr>
            <w:tcW w:w="1510" w:type="dxa"/>
            <w:tcBorders>
              <w:top w:val="nil"/>
              <w:left w:val="nil"/>
              <w:bottom w:val="single" w:sz="4" w:space="0" w:color="auto"/>
              <w:right w:val="single" w:sz="4" w:space="0" w:color="auto"/>
            </w:tcBorders>
            <w:shd w:val="clear" w:color="auto" w:fill="auto"/>
            <w:noWrap/>
            <w:vAlign w:val="center"/>
            <w:hideMark/>
          </w:tcPr>
          <w:p w14:paraId="54C34F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£4,750.47</w:t>
            </w:r>
          </w:p>
        </w:tc>
        <w:tc>
          <w:tcPr>
            <w:tcW w:w="1531" w:type="dxa"/>
            <w:tcBorders>
              <w:top w:val="nil"/>
              <w:left w:val="nil"/>
              <w:bottom w:val="single" w:sz="4" w:space="0" w:color="auto"/>
              <w:right w:val="single" w:sz="4" w:space="0" w:color="auto"/>
            </w:tcBorders>
            <w:shd w:val="clear" w:color="auto" w:fill="auto"/>
            <w:noWrap/>
            <w:vAlign w:val="center"/>
            <w:hideMark/>
          </w:tcPr>
          <w:p w14:paraId="63D07E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£19,001.88</w:t>
            </w:r>
          </w:p>
        </w:tc>
      </w:tr>
      <w:tr w:rsidR="004433D7" w:rsidRPr="004433D7" w14:paraId="5E9868CE"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842595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Farmoor</w:t>
            </w:r>
            <w:proofErr w:type="spellEnd"/>
            <w:r w:rsidRPr="004433D7">
              <w:rPr>
                <w:rFonts w:eastAsia="Times New Roman" w:cs="Times New Roman"/>
                <w:color w:val="000000"/>
                <w:sz w:val="16"/>
                <w:szCs w:val="16"/>
              </w:rPr>
              <w:t xml:space="preserv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146B65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£33,281.34</w:t>
            </w:r>
          </w:p>
        </w:tc>
        <w:tc>
          <w:tcPr>
            <w:tcW w:w="1510" w:type="dxa"/>
            <w:tcBorders>
              <w:top w:val="nil"/>
              <w:left w:val="nil"/>
              <w:bottom w:val="single" w:sz="4" w:space="0" w:color="auto"/>
              <w:right w:val="single" w:sz="4" w:space="0" w:color="auto"/>
            </w:tcBorders>
            <w:shd w:val="clear" w:color="auto" w:fill="auto"/>
            <w:noWrap/>
            <w:vAlign w:val="center"/>
            <w:hideMark/>
          </w:tcPr>
          <w:p w14:paraId="772D76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£8,320.34</w:t>
            </w:r>
          </w:p>
        </w:tc>
        <w:tc>
          <w:tcPr>
            <w:tcW w:w="1510" w:type="dxa"/>
            <w:tcBorders>
              <w:top w:val="nil"/>
              <w:left w:val="nil"/>
              <w:bottom w:val="single" w:sz="4" w:space="0" w:color="auto"/>
              <w:right w:val="single" w:sz="4" w:space="0" w:color="auto"/>
            </w:tcBorders>
            <w:shd w:val="clear" w:color="auto" w:fill="auto"/>
            <w:noWrap/>
            <w:vAlign w:val="center"/>
            <w:hideMark/>
          </w:tcPr>
          <w:p w14:paraId="2638AC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£8,320.34</w:t>
            </w:r>
          </w:p>
        </w:tc>
        <w:tc>
          <w:tcPr>
            <w:tcW w:w="1516" w:type="dxa"/>
            <w:tcBorders>
              <w:top w:val="nil"/>
              <w:left w:val="nil"/>
              <w:bottom w:val="single" w:sz="4" w:space="0" w:color="auto"/>
              <w:right w:val="single" w:sz="4" w:space="0" w:color="auto"/>
            </w:tcBorders>
            <w:shd w:val="clear" w:color="auto" w:fill="auto"/>
            <w:noWrap/>
            <w:vAlign w:val="center"/>
            <w:hideMark/>
          </w:tcPr>
          <w:p w14:paraId="674375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£8,320.34</w:t>
            </w:r>
          </w:p>
        </w:tc>
        <w:tc>
          <w:tcPr>
            <w:tcW w:w="1510" w:type="dxa"/>
            <w:tcBorders>
              <w:top w:val="nil"/>
              <w:left w:val="nil"/>
              <w:bottom w:val="single" w:sz="4" w:space="0" w:color="auto"/>
              <w:right w:val="single" w:sz="4" w:space="0" w:color="auto"/>
            </w:tcBorders>
            <w:shd w:val="clear" w:color="auto" w:fill="auto"/>
            <w:noWrap/>
            <w:vAlign w:val="center"/>
            <w:hideMark/>
          </w:tcPr>
          <w:p w14:paraId="21FCC7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£8,320.34</w:t>
            </w:r>
          </w:p>
        </w:tc>
        <w:tc>
          <w:tcPr>
            <w:tcW w:w="1531" w:type="dxa"/>
            <w:tcBorders>
              <w:top w:val="nil"/>
              <w:left w:val="nil"/>
              <w:bottom w:val="single" w:sz="4" w:space="0" w:color="auto"/>
              <w:right w:val="single" w:sz="4" w:space="0" w:color="auto"/>
            </w:tcBorders>
            <w:shd w:val="clear" w:color="auto" w:fill="auto"/>
            <w:noWrap/>
            <w:vAlign w:val="center"/>
            <w:hideMark/>
          </w:tcPr>
          <w:p w14:paraId="798782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£33,281.36</w:t>
            </w:r>
          </w:p>
        </w:tc>
      </w:tr>
      <w:tr w:rsidR="004433D7" w:rsidRPr="004433D7" w14:paraId="1AA8D96E"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7F99CD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First Utility Limited</w:t>
            </w:r>
          </w:p>
        </w:tc>
        <w:tc>
          <w:tcPr>
            <w:tcW w:w="1526" w:type="dxa"/>
            <w:tcBorders>
              <w:top w:val="nil"/>
              <w:left w:val="nil"/>
              <w:bottom w:val="single" w:sz="4" w:space="0" w:color="auto"/>
              <w:right w:val="single" w:sz="4" w:space="0" w:color="auto"/>
            </w:tcBorders>
            <w:shd w:val="clear" w:color="auto" w:fill="auto"/>
            <w:noWrap/>
            <w:vAlign w:val="center"/>
            <w:hideMark/>
          </w:tcPr>
          <w:p w14:paraId="5E030D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£583,871.88</w:t>
            </w:r>
          </w:p>
        </w:tc>
        <w:tc>
          <w:tcPr>
            <w:tcW w:w="1510" w:type="dxa"/>
            <w:tcBorders>
              <w:top w:val="nil"/>
              <w:left w:val="nil"/>
              <w:bottom w:val="single" w:sz="4" w:space="0" w:color="auto"/>
              <w:right w:val="single" w:sz="4" w:space="0" w:color="auto"/>
            </w:tcBorders>
            <w:shd w:val="clear" w:color="auto" w:fill="auto"/>
            <w:noWrap/>
            <w:vAlign w:val="center"/>
            <w:hideMark/>
          </w:tcPr>
          <w:p w14:paraId="3638D4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£145,967.97</w:t>
            </w:r>
          </w:p>
        </w:tc>
        <w:tc>
          <w:tcPr>
            <w:tcW w:w="1510" w:type="dxa"/>
            <w:tcBorders>
              <w:top w:val="nil"/>
              <w:left w:val="nil"/>
              <w:bottom w:val="single" w:sz="4" w:space="0" w:color="auto"/>
              <w:right w:val="single" w:sz="4" w:space="0" w:color="auto"/>
            </w:tcBorders>
            <w:shd w:val="clear" w:color="auto" w:fill="auto"/>
            <w:noWrap/>
            <w:vAlign w:val="center"/>
            <w:hideMark/>
          </w:tcPr>
          <w:p w14:paraId="3D40B3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£145,967.97</w:t>
            </w:r>
          </w:p>
        </w:tc>
        <w:tc>
          <w:tcPr>
            <w:tcW w:w="1516" w:type="dxa"/>
            <w:tcBorders>
              <w:top w:val="nil"/>
              <w:left w:val="nil"/>
              <w:bottom w:val="single" w:sz="4" w:space="0" w:color="auto"/>
              <w:right w:val="single" w:sz="4" w:space="0" w:color="auto"/>
            </w:tcBorders>
            <w:shd w:val="clear" w:color="auto" w:fill="auto"/>
            <w:noWrap/>
            <w:vAlign w:val="center"/>
            <w:hideMark/>
          </w:tcPr>
          <w:p w14:paraId="762849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£145,967.97</w:t>
            </w:r>
          </w:p>
        </w:tc>
        <w:tc>
          <w:tcPr>
            <w:tcW w:w="1510" w:type="dxa"/>
            <w:tcBorders>
              <w:top w:val="nil"/>
              <w:left w:val="nil"/>
              <w:bottom w:val="single" w:sz="4" w:space="0" w:color="auto"/>
              <w:right w:val="single" w:sz="4" w:space="0" w:color="auto"/>
            </w:tcBorders>
            <w:shd w:val="clear" w:color="auto" w:fill="auto"/>
            <w:noWrap/>
            <w:vAlign w:val="center"/>
            <w:hideMark/>
          </w:tcPr>
          <w:p w14:paraId="029F65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£145,967.97</w:t>
            </w:r>
          </w:p>
        </w:tc>
        <w:tc>
          <w:tcPr>
            <w:tcW w:w="1531" w:type="dxa"/>
            <w:tcBorders>
              <w:top w:val="nil"/>
              <w:left w:val="nil"/>
              <w:bottom w:val="single" w:sz="4" w:space="0" w:color="auto"/>
              <w:right w:val="single" w:sz="4" w:space="0" w:color="auto"/>
            </w:tcBorders>
            <w:shd w:val="clear" w:color="auto" w:fill="auto"/>
            <w:noWrap/>
            <w:vAlign w:val="center"/>
            <w:hideMark/>
          </w:tcPr>
          <w:p w14:paraId="381863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£583,871.88</w:t>
            </w:r>
          </w:p>
        </w:tc>
      </w:tr>
      <w:tr w:rsidR="004433D7" w:rsidRPr="004433D7" w14:paraId="7388B7CC"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AAA17F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4A674C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£109,894.58</w:t>
            </w:r>
          </w:p>
        </w:tc>
        <w:tc>
          <w:tcPr>
            <w:tcW w:w="1510" w:type="dxa"/>
            <w:tcBorders>
              <w:top w:val="nil"/>
              <w:left w:val="nil"/>
              <w:bottom w:val="single" w:sz="4" w:space="0" w:color="auto"/>
              <w:right w:val="single" w:sz="4" w:space="0" w:color="auto"/>
            </w:tcBorders>
            <w:shd w:val="clear" w:color="auto" w:fill="auto"/>
            <w:noWrap/>
            <w:vAlign w:val="center"/>
            <w:hideMark/>
          </w:tcPr>
          <w:p w14:paraId="77F2AE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£27,473.65</w:t>
            </w:r>
          </w:p>
        </w:tc>
        <w:tc>
          <w:tcPr>
            <w:tcW w:w="1510" w:type="dxa"/>
            <w:tcBorders>
              <w:top w:val="nil"/>
              <w:left w:val="nil"/>
              <w:bottom w:val="single" w:sz="4" w:space="0" w:color="auto"/>
              <w:right w:val="single" w:sz="4" w:space="0" w:color="auto"/>
            </w:tcBorders>
            <w:shd w:val="clear" w:color="auto" w:fill="auto"/>
            <w:noWrap/>
            <w:vAlign w:val="center"/>
            <w:hideMark/>
          </w:tcPr>
          <w:p w14:paraId="341496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£27,473.65</w:t>
            </w:r>
          </w:p>
        </w:tc>
        <w:tc>
          <w:tcPr>
            <w:tcW w:w="1516" w:type="dxa"/>
            <w:tcBorders>
              <w:top w:val="nil"/>
              <w:left w:val="nil"/>
              <w:bottom w:val="single" w:sz="4" w:space="0" w:color="auto"/>
              <w:right w:val="single" w:sz="4" w:space="0" w:color="auto"/>
            </w:tcBorders>
            <w:shd w:val="clear" w:color="auto" w:fill="auto"/>
            <w:noWrap/>
            <w:vAlign w:val="center"/>
            <w:hideMark/>
          </w:tcPr>
          <w:p w14:paraId="14E6918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£27,473.65</w:t>
            </w:r>
          </w:p>
        </w:tc>
        <w:tc>
          <w:tcPr>
            <w:tcW w:w="1510" w:type="dxa"/>
            <w:tcBorders>
              <w:top w:val="nil"/>
              <w:left w:val="nil"/>
              <w:bottom w:val="single" w:sz="4" w:space="0" w:color="auto"/>
              <w:right w:val="single" w:sz="4" w:space="0" w:color="auto"/>
            </w:tcBorders>
            <w:shd w:val="clear" w:color="auto" w:fill="auto"/>
            <w:noWrap/>
            <w:vAlign w:val="center"/>
            <w:hideMark/>
          </w:tcPr>
          <w:p w14:paraId="6C6967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£27,473.65</w:t>
            </w:r>
          </w:p>
        </w:tc>
        <w:tc>
          <w:tcPr>
            <w:tcW w:w="1531" w:type="dxa"/>
            <w:tcBorders>
              <w:top w:val="nil"/>
              <w:left w:val="nil"/>
              <w:bottom w:val="single" w:sz="4" w:space="0" w:color="auto"/>
              <w:right w:val="single" w:sz="4" w:space="0" w:color="auto"/>
            </w:tcBorders>
            <w:shd w:val="clear" w:color="auto" w:fill="auto"/>
            <w:noWrap/>
            <w:vAlign w:val="center"/>
            <w:hideMark/>
          </w:tcPr>
          <w:p w14:paraId="22A6C9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£109,894.60</w:t>
            </w:r>
          </w:p>
        </w:tc>
      </w:tr>
      <w:tr w:rsidR="004433D7" w:rsidRPr="004433D7" w14:paraId="01DDB235"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F000F5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Foxglove Energy Supply Limited (T/A Fischer Energy)</w:t>
            </w:r>
          </w:p>
        </w:tc>
        <w:tc>
          <w:tcPr>
            <w:tcW w:w="1526" w:type="dxa"/>
            <w:tcBorders>
              <w:top w:val="nil"/>
              <w:left w:val="nil"/>
              <w:bottom w:val="single" w:sz="4" w:space="0" w:color="auto"/>
              <w:right w:val="single" w:sz="4" w:space="0" w:color="auto"/>
            </w:tcBorders>
            <w:shd w:val="clear" w:color="auto" w:fill="auto"/>
            <w:noWrap/>
            <w:vAlign w:val="center"/>
            <w:hideMark/>
          </w:tcPr>
          <w:p w14:paraId="205924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£12,323.20</w:t>
            </w:r>
          </w:p>
        </w:tc>
        <w:tc>
          <w:tcPr>
            <w:tcW w:w="1510" w:type="dxa"/>
            <w:tcBorders>
              <w:top w:val="nil"/>
              <w:left w:val="nil"/>
              <w:bottom w:val="single" w:sz="4" w:space="0" w:color="auto"/>
              <w:right w:val="single" w:sz="4" w:space="0" w:color="auto"/>
            </w:tcBorders>
            <w:shd w:val="clear" w:color="auto" w:fill="auto"/>
            <w:noWrap/>
            <w:vAlign w:val="center"/>
            <w:hideMark/>
          </w:tcPr>
          <w:p w14:paraId="16D5FB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£3,080.80</w:t>
            </w:r>
          </w:p>
        </w:tc>
        <w:tc>
          <w:tcPr>
            <w:tcW w:w="1510" w:type="dxa"/>
            <w:tcBorders>
              <w:top w:val="nil"/>
              <w:left w:val="nil"/>
              <w:bottom w:val="single" w:sz="4" w:space="0" w:color="auto"/>
              <w:right w:val="single" w:sz="4" w:space="0" w:color="auto"/>
            </w:tcBorders>
            <w:shd w:val="clear" w:color="auto" w:fill="auto"/>
            <w:noWrap/>
            <w:vAlign w:val="center"/>
            <w:hideMark/>
          </w:tcPr>
          <w:p w14:paraId="2A1D47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£3,080.80</w:t>
            </w:r>
          </w:p>
        </w:tc>
        <w:tc>
          <w:tcPr>
            <w:tcW w:w="1516" w:type="dxa"/>
            <w:tcBorders>
              <w:top w:val="nil"/>
              <w:left w:val="nil"/>
              <w:bottom w:val="single" w:sz="4" w:space="0" w:color="auto"/>
              <w:right w:val="single" w:sz="4" w:space="0" w:color="auto"/>
            </w:tcBorders>
            <w:shd w:val="clear" w:color="auto" w:fill="auto"/>
            <w:noWrap/>
            <w:vAlign w:val="center"/>
            <w:hideMark/>
          </w:tcPr>
          <w:p w14:paraId="4049B4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£3,080.80</w:t>
            </w:r>
          </w:p>
        </w:tc>
        <w:tc>
          <w:tcPr>
            <w:tcW w:w="1510" w:type="dxa"/>
            <w:tcBorders>
              <w:top w:val="nil"/>
              <w:left w:val="nil"/>
              <w:bottom w:val="single" w:sz="4" w:space="0" w:color="auto"/>
              <w:right w:val="single" w:sz="4" w:space="0" w:color="auto"/>
            </w:tcBorders>
            <w:shd w:val="clear" w:color="auto" w:fill="auto"/>
            <w:noWrap/>
            <w:vAlign w:val="center"/>
            <w:hideMark/>
          </w:tcPr>
          <w:p w14:paraId="6699C5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£3,080.80</w:t>
            </w:r>
          </w:p>
        </w:tc>
        <w:tc>
          <w:tcPr>
            <w:tcW w:w="1531" w:type="dxa"/>
            <w:tcBorders>
              <w:top w:val="nil"/>
              <w:left w:val="nil"/>
              <w:bottom w:val="single" w:sz="4" w:space="0" w:color="auto"/>
              <w:right w:val="single" w:sz="4" w:space="0" w:color="auto"/>
            </w:tcBorders>
            <w:shd w:val="clear" w:color="auto" w:fill="auto"/>
            <w:noWrap/>
            <w:vAlign w:val="center"/>
            <w:hideMark/>
          </w:tcPr>
          <w:p w14:paraId="34321F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£12,323.20</w:t>
            </w:r>
          </w:p>
        </w:tc>
      </w:tr>
      <w:tr w:rsidR="004433D7" w:rsidRPr="004433D7" w14:paraId="1600A9B1"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10A3A2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526" w:type="dxa"/>
            <w:tcBorders>
              <w:top w:val="nil"/>
              <w:left w:val="nil"/>
              <w:bottom w:val="single" w:sz="4" w:space="0" w:color="auto"/>
              <w:right w:val="single" w:sz="4" w:space="0" w:color="auto"/>
            </w:tcBorders>
            <w:shd w:val="clear" w:color="auto" w:fill="auto"/>
            <w:noWrap/>
            <w:vAlign w:val="center"/>
            <w:hideMark/>
          </w:tcPr>
          <w:p w14:paraId="7064B1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£252,239.57</w:t>
            </w:r>
          </w:p>
        </w:tc>
        <w:tc>
          <w:tcPr>
            <w:tcW w:w="1510" w:type="dxa"/>
            <w:tcBorders>
              <w:top w:val="nil"/>
              <w:left w:val="nil"/>
              <w:bottom w:val="single" w:sz="4" w:space="0" w:color="auto"/>
              <w:right w:val="single" w:sz="4" w:space="0" w:color="auto"/>
            </w:tcBorders>
            <w:shd w:val="clear" w:color="auto" w:fill="auto"/>
            <w:noWrap/>
            <w:vAlign w:val="center"/>
            <w:hideMark/>
          </w:tcPr>
          <w:p w14:paraId="61EDC3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£63,059.89</w:t>
            </w:r>
          </w:p>
        </w:tc>
        <w:tc>
          <w:tcPr>
            <w:tcW w:w="1510" w:type="dxa"/>
            <w:tcBorders>
              <w:top w:val="nil"/>
              <w:left w:val="nil"/>
              <w:bottom w:val="single" w:sz="4" w:space="0" w:color="auto"/>
              <w:right w:val="single" w:sz="4" w:space="0" w:color="auto"/>
            </w:tcBorders>
            <w:shd w:val="clear" w:color="auto" w:fill="auto"/>
            <w:noWrap/>
            <w:vAlign w:val="center"/>
            <w:hideMark/>
          </w:tcPr>
          <w:p w14:paraId="797C2D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£63,059.89</w:t>
            </w:r>
          </w:p>
        </w:tc>
        <w:tc>
          <w:tcPr>
            <w:tcW w:w="1516" w:type="dxa"/>
            <w:tcBorders>
              <w:top w:val="nil"/>
              <w:left w:val="nil"/>
              <w:bottom w:val="single" w:sz="4" w:space="0" w:color="auto"/>
              <w:right w:val="single" w:sz="4" w:space="0" w:color="auto"/>
            </w:tcBorders>
            <w:shd w:val="clear" w:color="auto" w:fill="auto"/>
            <w:noWrap/>
            <w:vAlign w:val="center"/>
            <w:hideMark/>
          </w:tcPr>
          <w:p w14:paraId="2BF854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£63,059.89</w:t>
            </w:r>
          </w:p>
        </w:tc>
        <w:tc>
          <w:tcPr>
            <w:tcW w:w="1510" w:type="dxa"/>
            <w:tcBorders>
              <w:top w:val="nil"/>
              <w:left w:val="nil"/>
              <w:bottom w:val="single" w:sz="4" w:space="0" w:color="auto"/>
              <w:right w:val="single" w:sz="4" w:space="0" w:color="auto"/>
            </w:tcBorders>
            <w:shd w:val="clear" w:color="auto" w:fill="auto"/>
            <w:noWrap/>
            <w:vAlign w:val="center"/>
            <w:hideMark/>
          </w:tcPr>
          <w:p w14:paraId="70C2E4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£63,059.89</w:t>
            </w:r>
          </w:p>
        </w:tc>
        <w:tc>
          <w:tcPr>
            <w:tcW w:w="1531" w:type="dxa"/>
            <w:tcBorders>
              <w:top w:val="nil"/>
              <w:left w:val="nil"/>
              <w:bottom w:val="single" w:sz="4" w:space="0" w:color="auto"/>
              <w:right w:val="single" w:sz="4" w:space="0" w:color="auto"/>
            </w:tcBorders>
            <w:shd w:val="clear" w:color="auto" w:fill="auto"/>
            <w:noWrap/>
            <w:vAlign w:val="center"/>
            <w:hideMark/>
          </w:tcPr>
          <w:p w14:paraId="7FD7D4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£252,239.56</w:t>
            </w:r>
          </w:p>
        </w:tc>
      </w:tr>
      <w:tr w:rsidR="004433D7" w:rsidRPr="004433D7" w14:paraId="46D7AB81"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27AA7C5"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Gnergy</w:t>
            </w:r>
            <w:proofErr w:type="spellEnd"/>
            <w:r w:rsidRPr="004433D7">
              <w:rPr>
                <w:rFonts w:eastAsia="Times New Roman" w:cs="Times New Roman"/>
                <w:color w:val="000000"/>
                <w:sz w:val="16"/>
                <w:szCs w:val="16"/>
              </w:rPr>
              <w:t xml:space="preserve"> Limited</w:t>
            </w:r>
          </w:p>
        </w:tc>
        <w:tc>
          <w:tcPr>
            <w:tcW w:w="1526" w:type="dxa"/>
            <w:tcBorders>
              <w:top w:val="nil"/>
              <w:left w:val="nil"/>
              <w:bottom w:val="single" w:sz="4" w:space="0" w:color="auto"/>
              <w:right w:val="single" w:sz="4" w:space="0" w:color="auto"/>
            </w:tcBorders>
            <w:shd w:val="clear" w:color="auto" w:fill="auto"/>
            <w:noWrap/>
            <w:vAlign w:val="center"/>
            <w:hideMark/>
          </w:tcPr>
          <w:p w14:paraId="2682FA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£9,095.72</w:t>
            </w:r>
          </w:p>
        </w:tc>
        <w:tc>
          <w:tcPr>
            <w:tcW w:w="1510" w:type="dxa"/>
            <w:tcBorders>
              <w:top w:val="nil"/>
              <w:left w:val="nil"/>
              <w:bottom w:val="single" w:sz="4" w:space="0" w:color="auto"/>
              <w:right w:val="single" w:sz="4" w:space="0" w:color="auto"/>
            </w:tcBorders>
            <w:shd w:val="clear" w:color="auto" w:fill="auto"/>
            <w:noWrap/>
            <w:vAlign w:val="center"/>
            <w:hideMark/>
          </w:tcPr>
          <w:p w14:paraId="09CEC5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£2,273.93</w:t>
            </w:r>
          </w:p>
        </w:tc>
        <w:tc>
          <w:tcPr>
            <w:tcW w:w="1510" w:type="dxa"/>
            <w:tcBorders>
              <w:top w:val="nil"/>
              <w:left w:val="nil"/>
              <w:bottom w:val="single" w:sz="4" w:space="0" w:color="auto"/>
              <w:right w:val="single" w:sz="4" w:space="0" w:color="auto"/>
            </w:tcBorders>
            <w:shd w:val="clear" w:color="auto" w:fill="auto"/>
            <w:noWrap/>
            <w:vAlign w:val="center"/>
            <w:hideMark/>
          </w:tcPr>
          <w:p w14:paraId="5C6865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£2,273.93</w:t>
            </w:r>
          </w:p>
        </w:tc>
        <w:tc>
          <w:tcPr>
            <w:tcW w:w="1516" w:type="dxa"/>
            <w:tcBorders>
              <w:top w:val="nil"/>
              <w:left w:val="nil"/>
              <w:bottom w:val="single" w:sz="4" w:space="0" w:color="auto"/>
              <w:right w:val="single" w:sz="4" w:space="0" w:color="auto"/>
            </w:tcBorders>
            <w:shd w:val="clear" w:color="auto" w:fill="auto"/>
            <w:noWrap/>
            <w:vAlign w:val="center"/>
            <w:hideMark/>
          </w:tcPr>
          <w:p w14:paraId="2C16F4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£2,273.93</w:t>
            </w:r>
          </w:p>
        </w:tc>
        <w:tc>
          <w:tcPr>
            <w:tcW w:w="1510" w:type="dxa"/>
            <w:tcBorders>
              <w:top w:val="nil"/>
              <w:left w:val="nil"/>
              <w:bottom w:val="single" w:sz="4" w:space="0" w:color="auto"/>
              <w:right w:val="single" w:sz="4" w:space="0" w:color="auto"/>
            </w:tcBorders>
            <w:shd w:val="clear" w:color="auto" w:fill="auto"/>
            <w:noWrap/>
            <w:vAlign w:val="center"/>
            <w:hideMark/>
          </w:tcPr>
          <w:p w14:paraId="07AC74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DEB4C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£6,821.79</w:t>
            </w:r>
          </w:p>
        </w:tc>
      </w:tr>
      <w:tr w:rsidR="004433D7" w:rsidRPr="004433D7" w14:paraId="4B6CDD4A"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ADB3F5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2818DC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£95,182.00</w:t>
            </w:r>
          </w:p>
        </w:tc>
        <w:tc>
          <w:tcPr>
            <w:tcW w:w="1510" w:type="dxa"/>
            <w:tcBorders>
              <w:top w:val="nil"/>
              <w:left w:val="nil"/>
              <w:bottom w:val="single" w:sz="4" w:space="0" w:color="auto"/>
              <w:right w:val="single" w:sz="4" w:space="0" w:color="auto"/>
            </w:tcBorders>
            <w:shd w:val="clear" w:color="auto" w:fill="auto"/>
            <w:noWrap/>
            <w:vAlign w:val="center"/>
            <w:hideMark/>
          </w:tcPr>
          <w:p w14:paraId="5CDF08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£23,795.50</w:t>
            </w:r>
          </w:p>
        </w:tc>
        <w:tc>
          <w:tcPr>
            <w:tcW w:w="1510" w:type="dxa"/>
            <w:tcBorders>
              <w:top w:val="nil"/>
              <w:left w:val="nil"/>
              <w:bottom w:val="single" w:sz="4" w:space="0" w:color="auto"/>
              <w:right w:val="single" w:sz="4" w:space="0" w:color="auto"/>
            </w:tcBorders>
            <w:shd w:val="clear" w:color="auto" w:fill="auto"/>
            <w:noWrap/>
            <w:vAlign w:val="center"/>
            <w:hideMark/>
          </w:tcPr>
          <w:p w14:paraId="734A39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£23,795.50</w:t>
            </w:r>
          </w:p>
        </w:tc>
        <w:tc>
          <w:tcPr>
            <w:tcW w:w="1516" w:type="dxa"/>
            <w:tcBorders>
              <w:top w:val="nil"/>
              <w:left w:val="nil"/>
              <w:bottom w:val="single" w:sz="4" w:space="0" w:color="auto"/>
              <w:right w:val="single" w:sz="4" w:space="0" w:color="auto"/>
            </w:tcBorders>
            <w:shd w:val="clear" w:color="auto" w:fill="auto"/>
            <w:noWrap/>
            <w:vAlign w:val="center"/>
            <w:hideMark/>
          </w:tcPr>
          <w:p w14:paraId="0180A3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£23,795.50</w:t>
            </w:r>
          </w:p>
        </w:tc>
        <w:tc>
          <w:tcPr>
            <w:tcW w:w="1510" w:type="dxa"/>
            <w:tcBorders>
              <w:top w:val="nil"/>
              <w:left w:val="nil"/>
              <w:bottom w:val="single" w:sz="4" w:space="0" w:color="auto"/>
              <w:right w:val="single" w:sz="4" w:space="0" w:color="auto"/>
            </w:tcBorders>
            <w:shd w:val="clear" w:color="auto" w:fill="auto"/>
            <w:noWrap/>
            <w:vAlign w:val="center"/>
            <w:hideMark/>
          </w:tcPr>
          <w:p w14:paraId="3F18E6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£23,795.50</w:t>
            </w:r>
          </w:p>
        </w:tc>
        <w:tc>
          <w:tcPr>
            <w:tcW w:w="1531" w:type="dxa"/>
            <w:tcBorders>
              <w:top w:val="nil"/>
              <w:left w:val="nil"/>
              <w:bottom w:val="single" w:sz="4" w:space="0" w:color="auto"/>
              <w:right w:val="single" w:sz="4" w:space="0" w:color="auto"/>
            </w:tcBorders>
            <w:shd w:val="clear" w:color="auto" w:fill="auto"/>
            <w:noWrap/>
            <w:vAlign w:val="center"/>
            <w:hideMark/>
          </w:tcPr>
          <w:p w14:paraId="3956A1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£95,182.00</w:t>
            </w:r>
          </w:p>
        </w:tc>
      </w:tr>
      <w:tr w:rsidR="004433D7" w:rsidRPr="004433D7" w14:paraId="1C7795C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A7245D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Greater London Authority</w:t>
            </w:r>
          </w:p>
        </w:tc>
        <w:tc>
          <w:tcPr>
            <w:tcW w:w="1526" w:type="dxa"/>
            <w:tcBorders>
              <w:top w:val="nil"/>
              <w:left w:val="nil"/>
              <w:bottom w:val="single" w:sz="4" w:space="0" w:color="auto"/>
              <w:right w:val="single" w:sz="4" w:space="0" w:color="auto"/>
            </w:tcBorders>
            <w:shd w:val="clear" w:color="auto" w:fill="auto"/>
            <w:noWrap/>
            <w:vAlign w:val="center"/>
            <w:hideMark/>
          </w:tcPr>
          <w:p w14:paraId="7CEEEA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£266.23</w:t>
            </w:r>
          </w:p>
        </w:tc>
        <w:tc>
          <w:tcPr>
            <w:tcW w:w="1510" w:type="dxa"/>
            <w:tcBorders>
              <w:top w:val="nil"/>
              <w:left w:val="nil"/>
              <w:bottom w:val="single" w:sz="4" w:space="0" w:color="auto"/>
              <w:right w:val="single" w:sz="4" w:space="0" w:color="auto"/>
            </w:tcBorders>
            <w:shd w:val="clear" w:color="auto" w:fill="auto"/>
            <w:noWrap/>
            <w:vAlign w:val="center"/>
            <w:hideMark/>
          </w:tcPr>
          <w:p w14:paraId="74B776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£266.23</w:t>
            </w:r>
          </w:p>
        </w:tc>
        <w:tc>
          <w:tcPr>
            <w:tcW w:w="1510" w:type="dxa"/>
            <w:tcBorders>
              <w:top w:val="nil"/>
              <w:left w:val="nil"/>
              <w:bottom w:val="single" w:sz="4" w:space="0" w:color="auto"/>
              <w:right w:val="single" w:sz="4" w:space="0" w:color="auto"/>
            </w:tcBorders>
            <w:shd w:val="clear" w:color="auto" w:fill="auto"/>
            <w:noWrap/>
            <w:vAlign w:val="center"/>
            <w:hideMark/>
          </w:tcPr>
          <w:p w14:paraId="3D46A5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5A3A07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F3CE1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DB24E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£266.23</w:t>
            </w:r>
          </w:p>
        </w:tc>
      </w:tr>
      <w:tr w:rsidR="004433D7" w:rsidRPr="004433D7" w14:paraId="60D7DFF0"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2B98F2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526" w:type="dxa"/>
            <w:tcBorders>
              <w:top w:val="nil"/>
              <w:left w:val="nil"/>
              <w:bottom w:val="single" w:sz="4" w:space="0" w:color="auto"/>
              <w:right w:val="single" w:sz="4" w:space="0" w:color="auto"/>
            </w:tcBorders>
            <w:shd w:val="clear" w:color="auto" w:fill="auto"/>
            <w:noWrap/>
            <w:vAlign w:val="center"/>
            <w:hideMark/>
          </w:tcPr>
          <w:p w14:paraId="13B62D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£20,657.10</w:t>
            </w:r>
          </w:p>
        </w:tc>
        <w:tc>
          <w:tcPr>
            <w:tcW w:w="1510" w:type="dxa"/>
            <w:tcBorders>
              <w:top w:val="nil"/>
              <w:left w:val="nil"/>
              <w:bottom w:val="single" w:sz="4" w:space="0" w:color="auto"/>
              <w:right w:val="single" w:sz="4" w:space="0" w:color="auto"/>
            </w:tcBorders>
            <w:shd w:val="clear" w:color="auto" w:fill="auto"/>
            <w:noWrap/>
            <w:vAlign w:val="center"/>
            <w:hideMark/>
          </w:tcPr>
          <w:p w14:paraId="4F0EA2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£5,164.28</w:t>
            </w:r>
          </w:p>
        </w:tc>
        <w:tc>
          <w:tcPr>
            <w:tcW w:w="1510" w:type="dxa"/>
            <w:tcBorders>
              <w:top w:val="nil"/>
              <w:left w:val="nil"/>
              <w:bottom w:val="single" w:sz="4" w:space="0" w:color="auto"/>
              <w:right w:val="single" w:sz="4" w:space="0" w:color="auto"/>
            </w:tcBorders>
            <w:shd w:val="clear" w:color="auto" w:fill="auto"/>
            <w:noWrap/>
            <w:vAlign w:val="center"/>
            <w:hideMark/>
          </w:tcPr>
          <w:p w14:paraId="7F8FB5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£5,164.28</w:t>
            </w:r>
          </w:p>
        </w:tc>
        <w:tc>
          <w:tcPr>
            <w:tcW w:w="1516" w:type="dxa"/>
            <w:tcBorders>
              <w:top w:val="nil"/>
              <w:left w:val="nil"/>
              <w:bottom w:val="single" w:sz="4" w:space="0" w:color="auto"/>
              <w:right w:val="single" w:sz="4" w:space="0" w:color="auto"/>
            </w:tcBorders>
            <w:shd w:val="clear" w:color="auto" w:fill="auto"/>
            <w:noWrap/>
            <w:vAlign w:val="center"/>
            <w:hideMark/>
          </w:tcPr>
          <w:p w14:paraId="4735B7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£5,164.28</w:t>
            </w:r>
          </w:p>
        </w:tc>
        <w:tc>
          <w:tcPr>
            <w:tcW w:w="1510" w:type="dxa"/>
            <w:tcBorders>
              <w:top w:val="nil"/>
              <w:left w:val="nil"/>
              <w:bottom w:val="single" w:sz="4" w:space="0" w:color="auto"/>
              <w:right w:val="single" w:sz="4" w:space="0" w:color="auto"/>
            </w:tcBorders>
            <w:shd w:val="clear" w:color="auto" w:fill="auto"/>
            <w:noWrap/>
            <w:vAlign w:val="center"/>
            <w:hideMark/>
          </w:tcPr>
          <w:p w14:paraId="72C5B1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£5,164.28</w:t>
            </w:r>
          </w:p>
        </w:tc>
        <w:tc>
          <w:tcPr>
            <w:tcW w:w="1531" w:type="dxa"/>
            <w:tcBorders>
              <w:top w:val="nil"/>
              <w:left w:val="nil"/>
              <w:bottom w:val="single" w:sz="4" w:space="0" w:color="auto"/>
              <w:right w:val="single" w:sz="4" w:space="0" w:color="auto"/>
            </w:tcBorders>
            <w:shd w:val="clear" w:color="auto" w:fill="auto"/>
            <w:noWrap/>
            <w:vAlign w:val="center"/>
            <w:hideMark/>
          </w:tcPr>
          <w:p w14:paraId="2544F0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£20,657.12</w:t>
            </w:r>
          </w:p>
        </w:tc>
      </w:tr>
      <w:tr w:rsidR="004433D7" w:rsidRPr="004433D7" w14:paraId="0E2C4E10"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4B6DBB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0618F4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£55,834.28</w:t>
            </w:r>
          </w:p>
        </w:tc>
        <w:tc>
          <w:tcPr>
            <w:tcW w:w="1510" w:type="dxa"/>
            <w:tcBorders>
              <w:top w:val="nil"/>
              <w:left w:val="nil"/>
              <w:bottom w:val="single" w:sz="4" w:space="0" w:color="auto"/>
              <w:right w:val="single" w:sz="4" w:space="0" w:color="auto"/>
            </w:tcBorders>
            <w:shd w:val="clear" w:color="auto" w:fill="auto"/>
            <w:noWrap/>
            <w:vAlign w:val="center"/>
            <w:hideMark/>
          </w:tcPr>
          <w:p w14:paraId="0677CC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£13,958.57</w:t>
            </w:r>
          </w:p>
        </w:tc>
        <w:tc>
          <w:tcPr>
            <w:tcW w:w="1510" w:type="dxa"/>
            <w:tcBorders>
              <w:top w:val="nil"/>
              <w:left w:val="nil"/>
              <w:bottom w:val="single" w:sz="4" w:space="0" w:color="auto"/>
              <w:right w:val="single" w:sz="4" w:space="0" w:color="auto"/>
            </w:tcBorders>
            <w:shd w:val="clear" w:color="auto" w:fill="auto"/>
            <w:noWrap/>
            <w:vAlign w:val="center"/>
            <w:hideMark/>
          </w:tcPr>
          <w:p w14:paraId="3CDE1C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£13,958.57</w:t>
            </w:r>
          </w:p>
        </w:tc>
        <w:tc>
          <w:tcPr>
            <w:tcW w:w="1516" w:type="dxa"/>
            <w:tcBorders>
              <w:top w:val="nil"/>
              <w:left w:val="nil"/>
              <w:bottom w:val="single" w:sz="4" w:space="0" w:color="auto"/>
              <w:right w:val="single" w:sz="4" w:space="0" w:color="auto"/>
            </w:tcBorders>
            <w:shd w:val="clear" w:color="auto" w:fill="auto"/>
            <w:noWrap/>
            <w:vAlign w:val="center"/>
            <w:hideMark/>
          </w:tcPr>
          <w:p w14:paraId="2FFCE0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£13,958.57</w:t>
            </w:r>
          </w:p>
        </w:tc>
        <w:tc>
          <w:tcPr>
            <w:tcW w:w="1510" w:type="dxa"/>
            <w:tcBorders>
              <w:top w:val="nil"/>
              <w:left w:val="nil"/>
              <w:bottom w:val="single" w:sz="4" w:space="0" w:color="auto"/>
              <w:right w:val="single" w:sz="4" w:space="0" w:color="auto"/>
            </w:tcBorders>
            <w:shd w:val="clear" w:color="auto" w:fill="auto"/>
            <w:noWrap/>
            <w:vAlign w:val="center"/>
            <w:hideMark/>
          </w:tcPr>
          <w:p w14:paraId="133A4E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£13,958.57</w:t>
            </w:r>
          </w:p>
        </w:tc>
        <w:tc>
          <w:tcPr>
            <w:tcW w:w="1531" w:type="dxa"/>
            <w:tcBorders>
              <w:top w:val="nil"/>
              <w:left w:val="nil"/>
              <w:bottom w:val="single" w:sz="4" w:space="0" w:color="auto"/>
              <w:right w:val="single" w:sz="4" w:space="0" w:color="auto"/>
            </w:tcBorders>
            <w:shd w:val="clear" w:color="auto" w:fill="auto"/>
            <w:noWrap/>
            <w:vAlign w:val="center"/>
            <w:hideMark/>
          </w:tcPr>
          <w:p w14:paraId="3EEFBC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£55,834.28</w:t>
            </w:r>
          </w:p>
        </w:tc>
      </w:tr>
      <w:tr w:rsidR="004433D7" w:rsidRPr="004433D7" w14:paraId="6DF69042"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4BB7A0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3744491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£2,780,397.04</w:t>
            </w:r>
          </w:p>
        </w:tc>
        <w:tc>
          <w:tcPr>
            <w:tcW w:w="1510" w:type="dxa"/>
            <w:tcBorders>
              <w:top w:val="nil"/>
              <w:left w:val="nil"/>
              <w:bottom w:val="single" w:sz="4" w:space="0" w:color="auto"/>
              <w:right w:val="single" w:sz="4" w:space="0" w:color="auto"/>
            </w:tcBorders>
            <w:shd w:val="clear" w:color="auto" w:fill="auto"/>
            <w:noWrap/>
            <w:vAlign w:val="center"/>
            <w:hideMark/>
          </w:tcPr>
          <w:p w14:paraId="51B3B6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£695,099.26</w:t>
            </w:r>
          </w:p>
        </w:tc>
        <w:tc>
          <w:tcPr>
            <w:tcW w:w="1510" w:type="dxa"/>
            <w:tcBorders>
              <w:top w:val="nil"/>
              <w:left w:val="nil"/>
              <w:bottom w:val="single" w:sz="4" w:space="0" w:color="auto"/>
              <w:right w:val="single" w:sz="4" w:space="0" w:color="auto"/>
            </w:tcBorders>
            <w:shd w:val="clear" w:color="auto" w:fill="auto"/>
            <w:noWrap/>
            <w:vAlign w:val="center"/>
            <w:hideMark/>
          </w:tcPr>
          <w:p w14:paraId="766705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£695,099.26</w:t>
            </w:r>
          </w:p>
        </w:tc>
        <w:tc>
          <w:tcPr>
            <w:tcW w:w="1516" w:type="dxa"/>
            <w:tcBorders>
              <w:top w:val="nil"/>
              <w:left w:val="nil"/>
              <w:bottom w:val="single" w:sz="4" w:space="0" w:color="auto"/>
              <w:right w:val="single" w:sz="4" w:space="0" w:color="auto"/>
            </w:tcBorders>
            <w:shd w:val="clear" w:color="auto" w:fill="auto"/>
            <w:noWrap/>
            <w:vAlign w:val="center"/>
            <w:hideMark/>
          </w:tcPr>
          <w:p w14:paraId="69393D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£695,099.26</w:t>
            </w:r>
          </w:p>
        </w:tc>
        <w:tc>
          <w:tcPr>
            <w:tcW w:w="1510" w:type="dxa"/>
            <w:tcBorders>
              <w:top w:val="nil"/>
              <w:left w:val="nil"/>
              <w:bottom w:val="single" w:sz="4" w:space="0" w:color="auto"/>
              <w:right w:val="single" w:sz="4" w:space="0" w:color="auto"/>
            </w:tcBorders>
            <w:shd w:val="clear" w:color="auto" w:fill="auto"/>
            <w:noWrap/>
            <w:vAlign w:val="center"/>
            <w:hideMark/>
          </w:tcPr>
          <w:p w14:paraId="5407B4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£695,099.26</w:t>
            </w:r>
          </w:p>
        </w:tc>
        <w:tc>
          <w:tcPr>
            <w:tcW w:w="1531" w:type="dxa"/>
            <w:tcBorders>
              <w:top w:val="nil"/>
              <w:left w:val="nil"/>
              <w:bottom w:val="single" w:sz="4" w:space="0" w:color="auto"/>
              <w:right w:val="single" w:sz="4" w:space="0" w:color="auto"/>
            </w:tcBorders>
            <w:shd w:val="clear" w:color="auto" w:fill="auto"/>
            <w:noWrap/>
            <w:vAlign w:val="center"/>
            <w:hideMark/>
          </w:tcPr>
          <w:p w14:paraId="469C1C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£2,780,397.04</w:t>
            </w:r>
          </w:p>
        </w:tc>
      </w:tr>
      <w:tr w:rsidR="004433D7" w:rsidRPr="004433D7" w14:paraId="643C693A"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7092F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Huddle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266E82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£1,505.71</w:t>
            </w:r>
          </w:p>
        </w:tc>
        <w:tc>
          <w:tcPr>
            <w:tcW w:w="1510" w:type="dxa"/>
            <w:tcBorders>
              <w:top w:val="nil"/>
              <w:left w:val="nil"/>
              <w:bottom w:val="single" w:sz="4" w:space="0" w:color="auto"/>
              <w:right w:val="single" w:sz="4" w:space="0" w:color="auto"/>
            </w:tcBorders>
            <w:shd w:val="clear" w:color="auto" w:fill="auto"/>
            <w:noWrap/>
            <w:vAlign w:val="center"/>
            <w:hideMark/>
          </w:tcPr>
          <w:p w14:paraId="78926B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£376.43</w:t>
            </w:r>
          </w:p>
        </w:tc>
        <w:tc>
          <w:tcPr>
            <w:tcW w:w="1510" w:type="dxa"/>
            <w:tcBorders>
              <w:top w:val="nil"/>
              <w:left w:val="nil"/>
              <w:bottom w:val="single" w:sz="4" w:space="0" w:color="auto"/>
              <w:right w:val="single" w:sz="4" w:space="0" w:color="auto"/>
            </w:tcBorders>
            <w:shd w:val="clear" w:color="auto" w:fill="auto"/>
            <w:noWrap/>
            <w:vAlign w:val="center"/>
            <w:hideMark/>
          </w:tcPr>
          <w:p w14:paraId="244173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£376.43</w:t>
            </w:r>
          </w:p>
        </w:tc>
        <w:tc>
          <w:tcPr>
            <w:tcW w:w="1516" w:type="dxa"/>
            <w:tcBorders>
              <w:top w:val="nil"/>
              <w:left w:val="nil"/>
              <w:bottom w:val="single" w:sz="4" w:space="0" w:color="auto"/>
              <w:right w:val="single" w:sz="4" w:space="0" w:color="auto"/>
            </w:tcBorders>
            <w:shd w:val="clear" w:color="auto" w:fill="auto"/>
            <w:noWrap/>
            <w:vAlign w:val="center"/>
            <w:hideMark/>
          </w:tcPr>
          <w:p w14:paraId="7E016A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£376.43</w:t>
            </w:r>
          </w:p>
        </w:tc>
        <w:tc>
          <w:tcPr>
            <w:tcW w:w="1510" w:type="dxa"/>
            <w:tcBorders>
              <w:top w:val="nil"/>
              <w:left w:val="nil"/>
              <w:bottom w:val="single" w:sz="4" w:space="0" w:color="auto"/>
              <w:right w:val="single" w:sz="4" w:space="0" w:color="auto"/>
            </w:tcBorders>
            <w:shd w:val="clear" w:color="auto" w:fill="auto"/>
            <w:noWrap/>
            <w:vAlign w:val="center"/>
            <w:hideMark/>
          </w:tcPr>
          <w:p w14:paraId="174F74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£376.43</w:t>
            </w:r>
          </w:p>
        </w:tc>
        <w:tc>
          <w:tcPr>
            <w:tcW w:w="1531" w:type="dxa"/>
            <w:tcBorders>
              <w:top w:val="nil"/>
              <w:left w:val="nil"/>
              <w:bottom w:val="single" w:sz="4" w:space="0" w:color="auto"/>
              <w:right w:val="single" w:sz="4" w:space="0" w:color="auto"/>
            </w:tcBorders>
            <w:shd w:val="clear" w:color="auto" w:fill="auto"/>
            <w:noWrap/>
            <w:vAlign w:val="center"/>
            <w:hideMark/>
          </w:tcPr>
          <w:p w14:paraId="5E2FA0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£1,505.72</w:t>
            </w:r>
          </w:p>
        </w:tc>
      </w:tr>
      <w:tr w:rsidR="004433D7" w:rsidRPr="004433D7" w14:paraId="3F4A74F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C9DAF7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Hudson Energy Supply UK Limited</w:t>
            </w:r>
          </w:p>
        </w:tc>
        <w:tc>
          <w:tcPr>
            <w:tcW w:w="1526" w:type="dxa"/>
            <w:tcBorders>
              <w:top w:val="nil"/>
              <w:left w:val="nil"/>
              <w:bottom w:val="single" w:sz="4" w:space="0" w:color="auto"/>
              <w:right w:val="single" w:sz="4" w:space="0" w:color="auto"/>
            </w:tcBorders>
            <w:shd w:val="clear" w:color="auto" w:fill="auto"/>
            <w:noWrap/>
            <w:vAlign w:val="center"/>
            <w:hideMark/>
          </w:tcPr>
          <w:p w14:paraId="486110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£451,602.02</w:t>
            </w:r>
          </w:p>
        </w:tc>
        <w:tc>
          <w:tcPr>
            <w:tcW w:w="1510" w:type="dxa"/>
            <w:tcBorders>
              <w:top w:val="nil"/>
              <w:left w:val="nil"/>
              <w:bottom w:val="single" w:sz="4" w:space="0" w:color="auto"/>
              <w:right w:val="single" w:sz="4" w:space="0" w:color="auto"/>
            </w:tcBorders>
            <w:shd w:val="clear" w:color="auto" w:fill="auto"/>
            <w:noWrap/>
            <w:vAlign w:val="center"/>
            <w:hideMark/>
          </w:tcPr>
          <w:p w14:paraId="4EB334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£112,900.50</w:t>
            </w:r>
          </w:p>
        </w:tc>
        <w:tc>
          <w:tcPr>
            <w:tcW w:w="1510" w:type="dxa"/>
            <w:tcBorders>
              <w:top w:val="nil"/>
              <w:left w:val="nil"/>
              <w:bottom w:val="single" w:sz="4" w:space="0" w:color="auto"/>
              <w:right w:val="single" w:sz="4" w:space="0" w:color="auto"/>
            </w:tcBorders>
            <w:shd w:val="clear" w:color="auto" w:fill="auto"/>
            <w:noWrap/>
            <w:vAlign w:val="center"/>
            <w:hideMark/>
          </w:tcPr>
          <w:p w14:paraId="4BF0D1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£112,900.50</w:t>
            </w:r>
          </w:p>
        </w:tc>
        <w:tc>
          <w:tcPr>
            <w:tcW w:w="1516" w:type="dxa"/>
            <w:tcBorders>
              <w:top w:val="nil"/>
              <w:left w:val="nil"/>
              <w:bottom w:val="single" w:sz="4" w:space="0" w:color="auto"/>
              <w:right w:val="single" w:sz="4" w:space="0" w:color="auto"/>
            </w:tcBorders>
            <w:shd w:val="clear" w:color="auto" w:fill="auto"/>
            <w:noWrap/>
            <w:vAlign w:val="center"/>
            <w:hideMark/>
          </w:tcPr>
          <w:p w14:paraId="70B29E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£112,900.50</w:t>
            </w:r>
          </w:p>
        </w:tc>
        <w:tc>
          <w:tcPr>
            <w:tcW w:w="1510" w:type="dxa"/>
            <w:tcBorders>
              <w:top w:val="nil"/>
              <w:left w:val="nil"/>
              <w:bottom w:val="single" w:sz="4" w:space="0" w:color="auto"/>
              <w:right w:val="single" w:sz="4" w:space="0" w:color="auto"/>
            </w:tcBorders>
            <w:shd w:val="clear" w:color="auto" w:fill="auto"/>
            <w:noWrap/>
            <w:vAlign w:val="center"/>
            <w:hideMark/>
          </w:tcPr>
          <w:p w14:paraId="0F7F5A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£112,900.50</w:t>
            </w:r>
          </w:p>
        </w:tc>
        <w:tc>
          <w:tcPr>
            <w:tcW w:w="1531" w:type="dxa"/>
            <w:tcBorders>
              <w:top w:val="nil"/>
              <w:left w:val="nil"/>
              <w:bottom w:val="single" w:sz="4" w:space="0" w:color="auto"/>
              <w:right w:val="single" w:sz="4" w:space="0" w:color="auto"/>
            </w:tcBorders>
            <w:shd w:val="clear" w:color="auto" w:fill="auto"/>
            <w:noWrap/>
            <w:vAlign w:val="center"/>
            <w:hideMark/>
          </w:tcPr>
          <w:p w14:paraId="23B705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£451,602.00</w:t>
            </w:r>
          </w:p>
        </w:tc>
      </w:tr>
      <w:tr w:rsidR="004433D7" w:rsidRPr="004433D7" w14:paraId="2AA118BF"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6769B2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I Supply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2F2BC6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£121,603.92</w:t>
            </w:r>
          </w:p>
        </w:tc>
        <w:tc>
          <w:tcPr>
            <w:tcW w:w="1510" w:type="dxa"/>
            <w:tcBorders>
              <w:top w:val="nil"/>
              <w:left w:val="nil"/>
              <w:bottom w:val="single" w:sz="4" w:space="0" w:color="auto"/>
              <w:right w:val="single" w:sz="4" w:space="0" w:color="auto"/>
            </w:tcBorders>
            <w:shd w:val="clear" w:color="auto" w:fill="auto"/>
            <w:noWrap/>
            <w:vAlign w:val="center"/>
            <w:hideMark/>
          </w:tcPr>
          <w:p w14:paraId="3D6E86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£30,400.98</w:t>
            </w:r>
          </w:p>
        </w:tc>
        <w:tc>
          <w:tcPr>
            <w:tcW w:w="1510" w:type="dxa"/>
            <w:tcBorders>
              <w:top w:val="nil"/>
              <w:left w:val="nil"/>
              <w:bottom w:val="single" w:sz="4" w:space="0" w:color="auto"/>
              <w:right w:val="single" w:sz="4" w:space="0" w:color="auto"/>
            </w:tcBorders>
            <w:shd w:val="clear" w:color="auto" w:fill="auto"/>
            <w:noWrap/>
            <w:vAlign w:val="center"/>
            <w:hideMark/>
          </w:tcPr>
          <w:p w14:paraId="542593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£30,400.98</w:t>
            </w:r>
          </w:p>
        </w:tc>
        <w:tc>
          <w:tcPr>
            <w:tcW w:w="1516" w:type="dxa"/>
            <w:tcBorders>
              <w:top w:val="nil"/>
              <w:left w:val="nil"/>
              <w:bottom w:val="single" w:sz="4" w:space="0" w:color="auto"/>
              <w:right w:val="single" w:sz="4" w:space="0" w:color="auto"/>
            </w:tcBorders>
            <w:shd w:val="clear" w:color="auto" w:fill="auto"/>
            <w:noWrap/>
            <w:vAlign w:val="center"/>
            <w:hideMark/>
          </w:tcPr>
          <w:p w14:paraId="4089F7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£30,400.98</w:t>
            </w:r>
          </w:p>
        </w:tc>
        <w:tc>
          <w:tcPr>
            <w:tcW w:w="1510" w:type="dxa"/>
            <w:tcBorders>
              <w:top w:val="nil"/>
              <w:left w:val="nil"/>
              <w:bottom w:val="single" w:sz="4" w:space="0" w:color="auto"/>
              <w:right w:val="single" w:sz="4" w:space="0" w:color="auto"/>
            </w:tcBorders>
            <w:shd w:val="clear" w:color="auto" w:fill="auto"/>
            <w:noWrap/>
            <w:vAlign w:val="center"/>
            <w:hideMark/>
          </w:tcPr>
          <w:p w14:paraId="07E267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£30,400.98</w:t>
            </w:r>
          </w:p>
        </w:tc>
        <w:tc>
          <w:tcPr>
            <w:tcW w:w="1531" w:type="dxa"/>
            <w:tcBorders>
              <w:top w:val="nil"/>
              <w:left w:val="nil"/>
              <w:bottom w:val="single" w:sz="4" w:space="0" w:color="auto"/>
              <w:right w:val="single" w:sz="4" w:space="0" w:color="auto"/>
            </w:tcBorders>
            <w:shd w:val="clear" w:color="auto" w:fill="auto"/>
            <w:noWrap/>
            <w:vAlign w:val="center"/>
            <w:hideMark/>
          </w:tcPr>
          <w:p w14:paraId="13A48C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£121,603.92</w:t>
            </w:r>
          </w:p>
        </w:tc>
      </w:tr>
      <w:tr w:rsidR="004433D7" w:rsidRPr="004433D7" w14:paraId="3DA2584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13F1EC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Igloo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6D8D2F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£1,876.38</w:t>
            </w:r>
          </w:p>
        </w:tc>
        <w:tc>
          <w:tcPr>
            <w:tcW w:w="1510" w:type="dxa"/>
            <w:tcBorders>
              <w:top w:val="nil"/>
              <w:left w:val="nil"/>
              <w:bottom w:val="single" w:sz="4" w:space="0" w:color="auto"/>
              <w:right w:val="single" w:sz="4" w:space="0" w:color="auto"/>
            </w:tcBorders>
            <w:shd w:val="clear" w:color="auto" w:fill="auto"/>
            <w:noWrap/>
            <w:vAlign w:val="center"/>
            <w:hideMark/>
          </w:tcPr>
          <w:p w14:paraId="5C6644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£1,876.38</w:t>
            </w:r>
          </w:p>
        </w:tc>
        <w:tc>
          <w:tcPr>
            <w:tcW w:w="1510" w:type="dxa"/>
            <w:tcBorders>
              <w:top w:val="nil"/>
              <w:left w:val="nil"/>
              <w:bottom w:val="single" w:sz="4" w:space="0" w:color="auto"/>
              <w:right w:val="single" w:sz="4" w:space="0" w:color="auto"/>
            </w:tcBorders>
            <w:shd w:val="clear" w:color="auto" w:fill="auto"/>
            <w:noWrap/>
            <w:vAlign w:val="center"/>
            <w:hideMark/>
          </w:tcPr>
          <w:p w14:paraId="5A577B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69286C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ECCF1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763E0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£1,876.38</w:t>
            </w:r>
          </w:p>
        </w:tc>
      </w:tr>
      <w:tr w:rsidR="004433D7" w:rsidRPr="004433D7" w14:paraId="4F85CAC9"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8215A2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528BA8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£70,842.78</w:t>
            </w:r>
          </w:p>
        </w:tc>
        <w:tc>
          <w:tcPr>
            <w:tcW w:w="1510" w:type="dxa"/>
            <w:tcBorders>
              <w:top w:val="nil"/>
              <w:left w:val="nil"/>
              <w:bottom w:val="single" w:sz="4" w:space="0" w:color="auto"/>
              <w:right w:val="single" w:sz="4" w:space="0" w:color="auto"/>
            </w:tcBorders>
            <w:shd w:val="clear" w:color="auto" w:fill="auto"/>
            <w:noWrap/>
            <w:vAlign w:val="center"/>
            <w:hideMark/>
          </w:tcPr>
          <w:p w14:paraId="52DEB5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£17,710.70</w:t>
            </w:r>
          </w:p>
        </w:tc>
        <w:tc>
          <w:tcPr>
            <w:tcW w:w="1510" w:type="dxa"/>
            <w:tcBorders>
              <w:top w:val="nil"/>
              <w:left w:val="nil"/>
              <w:bottom w:val="single" w:sz="4" w:space="0" w:color="auto"/>
              <w:right w:val="single" w:sz="4" w:space="0" w:color="auto"/>
            </w:tcBorders>
            <w:shd w:val="clear" w:color="auto" w:fill="auto"/>
            <w:noWrap/>
            <w:vAlign w:val="center"/>
            <w:hideMark/>
          </w:tcPr>
          <w:p w14:paraId="44DA1D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£17,710.70</w:t>
            </w:r>
          </w:p>
        </w:tc>
        <w:tc>
          <w:tcPr>
            <w:tcW w:w="1516" w:type="dxa"/>
            <w:tcBorders>
              <w:top w:val="nil"/>
              <w:left w:val="nil"/>
              <w:bottom w:val="single" w:sz="4" w:space="0" w:color="auto"/>
              <w:right w:val="single" w:sz="4" w:space="0" w:color="auto"/>
            </w:tcBorders>
            <w:shd w:val="clear" w:color="auto" w:fill="auto"/>
            <w:noWrap/>
            <w:vAlign w:val="center"/>
            <w:hideMark/>
          </w:tcPr>
          <w:p w14:paraId="7EA4C5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£17,710.70</w:t>
            </w:r>
          </w:p>
        </w:tc>
        <w:tc>
          <w:tcPr>
            <w:tcW w:w="1510" w:type="dxa"/>
            <w:tcBorders>
              <w:top w:val="nil"/>
              <w:left w:val="nil"/>
              <w:bottom w:val="single" w:sz="4" w:space="0" w:color="auto"/>
              <w:right w:val="single" w:sz="4" w:space="0" w:color="auto"/>
            </w:tcBorders>
            <w:shd w:val="clear" w:color="auto" w:fill="auto"/>
            <w:noWrap/>
            <w:vAlign w:val="center"/>
            <w:hideMark/>
          </w:tcPr>
          <w:p w14:paraId="123AE9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£17,710.70</w:t>
            </w:r>
          </w:p>
        </w:tc>
        <w:tc>
          <w:tcPr>
            <w:tcW w:w="1531" w:type="dxa"/>
            <w:tcBorders>
              <w:top w:val="nil"/>
              <w:left w:val="nil"/>
              <w:bottom w:val="single" w:sz="4" w:space="0" w:color="auto"/>
              <w:right w:val="single" w:sz="4" w:space="0" w:color="auto"/>
            </w:tcBorders>
            <w:shd w:val="clear" w:color="auto" w:fill="auto"/>
            <w:noWrap/>
            <w:vAlign w:val="center"/>
            <w:hideMark/>
          </w:tcPr>
          <w:p w14:paraId="7915AC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£70,842.80</w:t>
            </w:r>
          </w:p>
        </w:tc>
      </w:tr>
      <w:tr w:rsidR="004433D7" w:rsidRPr="004433D7" w14:paraId="18D6F8D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AC1698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48FAE2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£3,013.99</w:t>
            </w:r>
          </w:p>
        </w:tc>
        <w:tc>
          <w:tcPr>
            <w:tcW w:w="1510" w:type="dxa"/>
            <w:tcBorders>
              <w:top w:val="nil"/>
              <w:left w:val="nil"/>
              <w:bottom w:val="single" w:sz="4" w:space="0" w:color="auto"/>
              <w:right w:val="single" w:sz="4" w:space="0" w:color="auto"/>
            </w:tcBorders>
            <w:shd w:val="clear" w:color="auto" w:fill="auto"/>
            <w:noWrap/>
            <w:vAlign w:val="center"/>
            <w:hideMark/>
          </w:tcPr>
          <w:p w14:paraId="5BC662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£753.50</w:t>
            </w:r>
          </w:p>
        </w:tc>
        <w:tc>
          <w:tcPr>
            <w:tcW w:w="1510" w:type="dxa"/>
            <w:tcBorders>
              <w:top w:val="nil"/>
              <w:left w:val="nil"/>
              <w:bottom w:val="single" w:sz="4" w:space="0" w:color="auto"/>
              <w:right w:val="single" w:sz="4" w:space="0" w:color="auto"/>
            </w:tcBorders>
            <w:shd w:val="clear" w:color="auto" w:fill="auto"/>
            <w:noWrap/>
            <w:vAlign w:val="center"/>
            <w:hideMark/>
          </w:tcPr>
          <w:p w14:paraId="64B149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£753.50</w:t>
            </w:r>
          </w:p>
        </w:tc>
        <w:tc>
          <w:tcPr>
            <w:tcW w:w="1516" w:type="dxa"/>
            <w:tcBorders>
              <w:top w:val="nil"/>
              <w:left w:val="nil"/>
              <w:bottom w:val="single" w:sz="4" w:space="0" w:color="auto"/>
              <w:right w:val="single" w:sz="4" w:space="0" w:color="auto"/>
            </w:tcBorders>
            <w:shd w:val="clear" w:color="auto" w:fill="auto"/>
            <w:noWrap/>
            <w:vAlign w:val="center"/>
            <w:hideMark/>
          </w:tcPr>
          <w:p w14:paraId="0062E4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£753.50</w:t>
            </w:r>
          </w:p>
        </w:tc>
        <w:tc>
          <w:tcPr>
            <w:tcW w:w="1510" w:type="dxa"/>
            <w:tcBorders>
              <w:top w:val="nil"/>
              <w:left w:val="nil"/>
              <w:bottom w:val="single" w:sz="4" w:space="0" w:color="auto"/>
              <w:right w:val="single" w:sz="4" w:space="0" w:color="auto"/>
            </w:tcBorders>
            <w:shd w:val="clear" w:color="auto" w:fill="auto"/>
            <w:noWrap/>
            <w:vAlign w:val="center"/>
            <w:hideMark/>
          </w:tcPr>
          <w:p w14:paraId="6CE9DC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£753.50</w:t>
            </w:r>
          </w:p>
        </w:tc>
        <w:tc>
          <w:tcPr>
            <w:tcW w:w="1531" w:type="dxa"/>
            <w:tcBorders>
              <w:top w:val="nil"/>
              <w:left w:val="nil"/>
              <w:bottom w:val="single" w:sz="4" w:space="0" w:color="auto"/>
              <w:right w:val="single" w:sz="4" w:space="0" w:color="auto"/>
            </w:tcBorders>
            <w:shd w:val="clear" w:color="auto" w:fill="auto"/>
            <w:noWrap/>
            <w:vAlign w:val="center"/>
            <w:hideMark/>
          </w:tcPr>
          <w:p w14:paraId="62B6C6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£3,014.00</w:t>
            </w:r>
          </w:p>
        </w:tc>
      </w:tr>
      <w:tr w:rsidR="004433D7" w:rsidRPr="004433D7" w14:paraId="13127908"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A15403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6C4CB4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£21,810.07</w:t>
            </w:r>
          </w:p>
        </w:tc>
        <w:tc>
          <w:tcPr>
            <w:tcW w:w="1510" w:type="dxa"/>
            <w:tcBorders>
              <w:top w:val="nil"/>
              <w:left w:val="nil"/>
              <w:bottom w:val="single" w:sz="4" w:space="0" w:color="auto"/>
              <w:right w:val="single" w:sz="4" w:space="0" w:color="auto"/>
            </w:tcBorders>
            <w:shd w:val="clear" w:color="auto" w:fill="auto"/>
            <w:noWrap/>
            <w:vAlign w:val="center"/>
            <w:hideMark/>
          </w:tcPr>
          <w:p w14:paraId="55A8FF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£5,452.52</w:t>
            </w:r>
          </w:p>
        </w:tc>
        <w:tc>
          <w:tcPr>
            <w:tcW w:w="1510" w:type="dxa"/>
            <w:tcBorders>
              <w:top w:val="nil"/>
              <w:left w:val="nil"/>
              <w:bottom w:val="single" w:sz="4" w:space="0" w:color="auto"/>
              <w:right w:val="single" w:sz="4" w:space="0" w:color="auto"/>
            </w:tcBorders>
            <w:shd w:val="clear" w:color="auto" w:fill="auto"/>
            <w:noWrap/>
            <w:vAlign w:val="center"/>
            <w:hideMark/>
          </w:tcPr>
          <w:p w14:paraId="4F5B29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£5,452.52</w:t>
            </w:r>
          </w:p>
        </w:tc>
        <w:tc>
          <w:tcPr>
            <w:tcW w:w="1516" w:type="dxa"/>
            <w:tcBorders>
              <w:top w:val="nil"/>
              <w:left w:val="nil"/>
              <w:bottom w:val="single" w:sz="4" w:space="0" w:color="auto"/>
              <w:right w:val="single" w:sz="4" w:space="0" w:color="auto"/>
            </w:tcBorders>
            <w:shd w:val="clear" w:color="auto" w:fill="auto"/>
            <w:noWrap/>
            <w:vAlign w:val="center"/>
            <w:hideMark/>
          </w:tcPr>
          <w:p w14:paraId="775B87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£5,452.52</w:t>
            </w:r>
          </w:p>
        </w:tc>
        <w:tc>
          <w:tcPr>
            <w:tcW w:w="1510" w:type="dxa"/>
            <w:tcBorders>
              <w:top w:val="nil"/>
              <w:left w:val="nil"/>
              <w:bottom w:val="single" w:sz="4" w:space="0" w:color="auto"/>
              <w:right w:val="single" w:sz="4" w:space="0" w:color="auto"/>
            </w:tcBorders>
            <w:shd w:val="clear" w:color="auto" w:fill="auto"/>
            <w:noWrap/>
            <w:vAlign w:val="center"/>
            <w:hideMark/>
          </w:tcPr>
          <w:p w14:paraId="0D6DF5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£5,452.52</w:t>
            </w:r>
          </w:p>
        </w:tc>
        <w:tc>
          <w:tcPr>
            <w:tcW w:w="1531" w:type="dxa"/>
            <w:tcBorders>
              <w:top w:val="nil"/>
              <w:left w:val="nil"/>
              <w:bottom w:val="single" w:sz="4" w:space="0" w:color="auto"/>
              <w:right w:val="single" w:sz="4" w:space="0" w:color="auto"/>
            </w:tcBorders>
            <w:shd w:val="clear" w:color="auto" w:fill="auto"/>
            <w:noWrap/>
            <w:vAlign w:val="center"/>
            <w:hideMark/>
          </w:tcPr>
          <w:p w14:paraId="4E5E4F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£21,810.08</w:t>
            </w:r>
          </w:p>
        </w:tc>
      </w:tr>
      <w:tr w:rsidR="004433D7" w:rsidRPr="004433D7" w14:paraId="25C956A9"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6B9DF4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Marble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63B789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£59,362.80</w:t>
            </w:r>
          </w:p>
        </w:tc>
        <w:tc>
          <w:tcPr>
            <w:tcW w:w="1510" w:type="dxa"/>
            <w:tcBorders>
              <w:top w:val="nil"/>
              <w:left w:val="nil"/>
              <w:bottom w:val="single" w:sz="4" w:space="0" w:color="auto"/>
              <w:right w:val="single" w:sz="4" w:space="0" w:color="auto"/>
            </w:tcBorders>
            <w:shd w:val="clear" w:color="auto" w:fill="auto"/>
            <w:noWrap/>
            <w:vAlign w:val="center"/>
            <w:hideMark/>
          </w:tcPr>
          <w:p w14:paraId="1324A9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£14,840.70</w:t>
            </w:r>
          </w:p>
        </w:tc>
        <w:tc>
          <w:tcPr>
            <w:tcW w:w="1510" w:type="dxa"/>
            <w:tcBorders>
              <w:top w:val="nil"/>
              <w:left w:val="nil"/>
              <w:bottom w:val="single" w:sz="4" w:space="0" w:color="auto"/>
              <w:right w:val="single" w:sz="4" w:space="0" w:color="auto"/>
            </w:tcBorders>
            <w:shd w:val="clear" w:color="auto" w:fill="auto"/>
            <w:noWrap/>
            <w:vAlign w:val="center"/>
            <w:hideMark/>
          </w:tcPr>
          <w:p w14:paraId="00795F1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£14,840.70</w:t>
            </w:r>
          </w:p>
        </w:tc>
        <w:tc>
          <w:tcPr>
            <w:tcW w:w="1516" w:type="dxa"/>
            <w:tcBorders>
              <w:top w:val="nil"/>
              <w:left w:val="nil"/>
              <w:bottom w:val="single" w:sz="4" w:space="0" w:color="auto"/>
              <w:right w:val="single" w:sz="4" w:space="0" w:color="auto"/>
            </w:tcBorders>
            <w:shd w:val="clear" w:color="auto" w:fill="auto"/>
            <w:noWrap/>
            <w:vAlign w:val="center"/>
            <w:hideMark/>
          </w:tcPr>
          <w:p w14:paraId="4B4096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£14,840.70</w:t>
            </w:r>
          </w:p>
        </w:tc>
        <w:tc>
          <w:tcPr>
            <w:tcW w:w="1510" w:type="dxa"/>
            <w:tcBorders>
              <w:top w:val="nil"/>
              <w:left w:val="nil"/>
              <w:bottom w:val="single" w:sz="4" w:space="0" w:color="auto"/>
              <w:right w:val="single" w:sz="4" w:space="0" w:color="auto"/>
            </w:tcBorders>
            <w:shd w:val="clear" w:color="auto" w:fill="auto"/>
            <w:noWrap/>
            <w:vAlign w:val="center"/>
            <w:hideMark/>
          </w:tcPr>
          <w:p w14:paraId="07E99D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£14,840.70</w:t>
            </w:r>
          </w:p>
        </w:tc>
        <w:tc>
          <w:tcPr>
            <w:tcW w:w="1531" w:type="dxa"/>
            <w:tcBorders>
              <w:top w:val="nil"/>
              <w:left w:val="nil"/>
              <w:bottom w:val="single" w:sz="4" w:space="0" w:color="auto"/>
              <w:right w:val="single" w:sz="4" w:space="0" w:color="auto"/>
            </w:tcBorders>
            <w:shd w:val="clear" w:color="auto" w:fill="auto"/>
            <w:noWrap/>
            <w:vAlign w:val="center"/>
            <w:hideMark/>
          </w:tcPr>
          <w:p w14:paraId="285A28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£59,362.80</w:t>
            </w:r>
          </w:p>
        </w:tc>
      </w:tr>
      <w:tr w:rsidR="004433D7" w:rsidRPr="004433D7" w14:paraId="19269E1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80E63D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Marigold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1B181B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£2.56</w:t>
            </w:r>
          </w:p>
        </w:tc>
        <w:tc>
          <w:tcPr>
            <w:tcW w:w="1510" w:type="dxa"/>
            <w:tcBorders>
              <w:top w:val="nil"/>
              <w:left w:val="nil"/>
              <w:bottom w:val="single" w:sz="4" w:space="0" w:color="auto"/>
              <w:right w:val="single" w:sz="4" w:space="0" w:color="auto"/>
            </w:tcBorders>
            <w:shd w:val="clear" w:color="auto" w:fill="auto"/>
            <w:noWrap/>
            <w:vAlign w:val="center"/>
            <w:hideMark/>
          </w:tcPr>
          <w:p w14:paraId="06DB17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£0.64</w:t>
            </w:r>
          </w:p>
        </w:tc>
        <w:tc>
          <w:tcPr>
            <w:tcW w:w="1510" w:type="dxa"/>
            <w:tcBorders>
              <w:top w:val="nil"/>
              <w:left w:val="nil"/>
              <w:bottom w:val="single" w:sz="4" w:space="0" w:color="auto"/>
              <w:right w:val="single" w:sz="4" w:space="0" w:color="auto"/>
            </w:tcBorders>
            <w:shd w:val="clear" w:color="auto" w:fill="auto"/>
            <w:noWrap/>
            <w:vAlign w:val="center"/>
            <w:hideMark/>
          </w:tcPr>
          <w:p w14:paraId="1E2D2F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£2.56</w:t>
            </w:r>
          </w:p>
        </w:tc>
        <w:tc>
          <w:tcPr>
            <w:tcW w:w="1516" w:type="dxa"/>
            <w:tcBorders>
              <w:top w:val="nil"/>
              <w:left w:val="nil"/>
              <w:bottom w:val="single" w:sz="4" w:space="0" w:color="auto"/>
              <w:right w:val="single" w:sz="4" w:space="0" w:color="auto"/>
            </w:tcBorders>
            <w:shd w:val="clear" w:color="auto" w:fill="auto"/>
            <w:noWrap/>
            <w:vAlign w:val="center"/>
            <w:hideMark/>
          </w:tcPr>
          <w:p w14:paraId="468BB5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8B16B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981F1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£3.20</w:t>
            </w:r>
          </w:p>
        </w:tc>
      </w:tr>
      <w:tr w:rsidR="004433D7" w:rsidRPr="004433D7" w14:paraId="5492322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98BB6E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MVV Environment Services  Limited</w:t>
            </w:r>
          </w:p>
        </w:tc>
        <w:tc>
          <w:tcPr>
            <w:tcW w:w="1526" w:type="dxa"/>
            <w:tcBorders>
              <w:top w:val="nil"/>
              <w:left w:val="nil"/>
              <w:bottom w:val="single" w:sz="4" w:space="0" w:color="auto"/>
              <w:right w:val="single" w:sz="4" w:space="0" w:color="auto"/>
            </w:tcBorders>
            <w:shd w:val="clear" w:color="auto" w:fill="auto"/>
            <w:noWrap/>
            <w:vAlign w:val="center"/>
            <w:hideMark/>
          </w:tcPr>
          <w:p w14:paraId="7FF511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£2,723.19</w:t>
            </w:r>
          </w:p>
        </w:tc>
        <w:tc>
          <w:tcPr>
            <w:tcW w:w="1510" w:type="dxa"/>
            <w:tcBorders>
              <w:top w:val="nil"/>
              <w:left w:val="nil"/>
              <w:bottom w:val="single" w:sz="4" w:space="0" w:color="auto"/>
              <w:right w:val="single" w:sz="4" w:space="0" w:color="auto"/>
            </w:tcBorders>
            <w:shd w:val="clear" w:color="auto" w:fill="auto"/>
            <w:noWrap/>
            <w:vAlign w:val="center"/>
            <w:hideMark/>
          </w:tcPr>
          <w:p w14:paraId="77B46F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£2,723.20</w:t>
            </w:r>
          </w:p>
        </w:tc>
        <w:tc>
          <w:tcPr>
            <w:tcW w:w="1510" w:type="dxa"/>
            <w:tcBorders>
              <w:top w:val="nil"/>
              <w:left w:val="nil"/>
              <w:bottom w:val="single" w:sz="4" w:space="0" w:color="auto"/>
              <w:right w:val="single" w:sz="4" w:space="0" w:color="auto"/>
            </w:tcBorders>
            <w:shd w:val="clear" w:color="auto" w:fill="auto"/>
            <w:noWrap/>
            <w:vAlign w:val="center"/>
            <w:hideMark/>
          </w:tcPr>
          <w:p w14:paraId="601F63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2F3131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D48B6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3988EA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£2,723.20</w:t>
            </w:r>
          </w:p>
        </w:tc>
      </w:tr>
      <w:tr w:rsidR="004433D7" w:rsidRPr="004433D7" w14:paraId="66472EEA"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79A6D9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Nabuh</w:t>
            </w:r>
            <w:proofErr w:type="spellEnd"/>
            <w:r w:rsidRPr="004433D7">
              <w:rPr>
                <w:rFonts w:eastAsia="Times New Roman" w:cs="Times New Roman"/>
                <w:color w:val="000000"/>
                <w:sz w:val="16"/>
                <w:szCs w:val="16"/>
              </w:rPr>
              <w:t xml:space="preserve">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4A6A09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£1,280.45</w:t>
            </w:r>
          </w:p>
        </w:tc>
        <w:tc>
          <w:tcPr>
            <w:tcW w:w="1510" w:type="dxa"/>
            <w:tcBorders>
              <w:top w:val="nil"/>
              <w:left w:val="nil"/>
              <w:bottom w:val="single" w:sz="4" w:space="0" w:color="auto"/>
              <w:right w:val="single" w:sz="4" w:space="0" w:color="auto"/>
            </w:tcBorders>
            <w:shd w:val="clear" w:color="auto" w:fill="auto"/>
            <w:noWrap/>
            <w:vAlign w:val="center"/>
            <w:hideMark/>
          </w:tcPr>
          <w:p w14:paraId="60E911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£320.11</w:t>
            </w:r>
          </w:p>
        </w:tc>
        <w:tc>
          <w:tcPr>
            <w:tcW w:w="1510" w:type="dxa"/>
            <w:tcBorders>
              <w:top w:val="nil"/>
              <w:left w:val="nil"/>
              <w:bottom w:val="single" w:sz="4" w:space="0" w:color="auto"/>
              <w:right w:val="single" w:sz="4" w:space="0" w:color="auto"/>
            </w:tcBorders>
            <w:shd w:val="clear" w:color="auto" w:fill="auto"/>
            <w:noWrap/>
            <w:vAlign w:val="center"/>
            <w:hideMark/>
          </w:tcPr>
          <w:p w14:paraId="68554C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£320.11</w:t>
            </w:r>
          </w:p>
        </w:tc>
        <w:tc>
          <w:tcPr>
            <w:tcW w:w="1516" w:type="dxa"/>
            <w:tcBorders>
              <w:top w:val="nil"/>
              <w:left w:val="nil"/>
              <w:bottom w:val="single" w:sz="4" w:space="0" w:color="auto"/>
              <w:right w:val="single" w:sz="4" w:space="0" w:color="auto"/>
            </w:tcBorders>
            <w:shd w:val="clear" w:color="auto" w:fill="auto"/>
            <w:noWrap/>
            <w:vAlign w:val="center"/>
            <w:hideMark/>
          </w:tcPr>
          <w:p w14:paraId="2B6EAC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£320.11</w:t>
            </w:r>
          </w:p>
        </w:tc>
        <w:tc>
          <w:tcPr>
            <w:tcW w:w="1510" w:type="dxa"/>
            <w:tcBorders>
              <w:top w:val="nil"/>
              <w:left w:val="nil"/>
              <w:bottom w:val="single" w:sz="4" w:space="0" w:color="auto"/>
              <w:right w:val="single" w:sz="4" w:space="0" w:color="auto"/>
            </w:tcBorders>
            <w:shd w:val="clear" w:color="auto" w:fill="auto"/>
            <w:noWrap/>
            <w:vAlign w:val="center"/>
            <w:hideMark/>
          </w:tcPr>
          <w:p w14:paraId="4FD9DE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£320.11</w:t>
            </w:r>
          </w:p>
        </w:tc>
        <w:tc>
          <w:tcPr>
            <w:tcW w:w="1531" w:type="dxa"/>
            <w:tcBorders>
              <w:top w:val="nil"/>
              <w:left w:val="nil"/>
              <w:bottom w:val="single" w:sz="4" w:space="0" w:color="auto"/>
              <w:right w:val="single" w:sz="4" w:space="0" w:color="auto"/>
            </w:tcBorders>
            <w:shd w:val="clear" w:color="auto" w:fill="auto"/>
            <w:noWrap/>
            <w:vAlign w:val="center"/>
            <w:hideMark/>
          </w:tcPr>
          <w:p w14:paraId="7443C0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£1,280.44</w:t>
            </w:r>
          </w:p>
        </w:tc>
      </w:tr>
      <w:tr w:rsidR="004433D7" w:rsidRPr="004433D7" w14:paraId="131CE721"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3DFAFD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526" w:type="dxa"/>
            <w:tcBorders>
              <w:top w:val="nil"/>
              <w:left w:val="nil"/>
              <w:bottom w:val="single" w:sz="4" w:space="0" w:color="auto"/>
              <w:right w:val="single" w:sz="4" w:space="0" w:color="auto"/>
            </w:tcBorders>
            <w:shd w:val="clear" w:color="auto" w:fill="auto"/>
            <w:noWrap/>
            <w:vAlign w:val="center"/>
            <w:hideMark/>
          </w:tcPr>
          <w:p w14:paraId="47695C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£278,574.97</w:t>
            </w:r>
          </w:p>
        </w:tc>
        <w:tc>
          <w:tcPr>
            <w:tcW w:w="1510" w:type="dxa"/>
            <w:tcBorders>
              <w:top w:val="nil"/>
              <w:left w:val="nil"/>
              <w:bottom w:val="single" w:sz="4" w:space="0" w:color="auto"/>
              <w:right w:val="single" w:sz="4" w:space="0" w:color="auto"/>
            </w:tcBorders>
            <w:shd w:val="clear" w:color="auto" w:fill="auto"/>
            <w:noWrap/>
            <w:vAlign w:val="center"/>
            <w:hideMark/>
          </w:tcPr>
          <w:p w14:paraId="3013C6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£69,643.74</w:t>
            </w:r>
          </w:p>
        </w:tc>
        <w:tc>
          <w:tcPr>
            <w:tcW w:w="1510" w:type="dxa"/>
            <w:tcBorders>
              <w:top w:val="nil"/>
              <w:left w:val="nil"/>
              <w:bottom w:val="single" w:sz="4" w:space="0" w:color="auto"/>
              <w:right w:val="single" w:sz="4" w:space="0" w:color="auto"/>
            </w:tcBorders>
            <w:shd w:val="clear" w:color="auto" w:fill="auto"/>
            <w:noWrap/>
            <w:vAlign w:val="center"/>
            <w:hideMark/>
          </w:tcPr>
          <w:p w14:paraId="01AE90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£69,643.74</w:t>
            </w:r>
          </w:p>
        </w:tc>
        <w:tc>
          <w:tcPr>
            <w:tcW w:w="1516" w:type="dxa"/>
            <w:tcBorders>
              <w:top w:val="nil"/>
              <w:left w:val="nil"/>
              <w:bottom w:val="single" w:sz="4" w:space="0" w:color="auto"/>
              <w:right w:val="single" w:sz="4" w:space="0" w:color="auto"/>
            </w:tcBorders>
            <w:shd w:val="clear" w:color="auto" w:fill="auto"/>
            <w:noWrap/>
            <w:vAlign w:val="center"/>
            <w:hideMark/>
          </w:tcPr>
          <w:p w14:paraId="20E630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£69,643.74</w:t>
            </w:r>
          </w:p>
        </w:tc>
        <w:tc>
          <w:tcPr>
            <w:tcW w:w="1510" w:type="dxa"/>
            <w:tcBorders>
              <w:top w:val="nil"/>
              <w:left w:val="nil"/>
              <w:bottom w:val="single" w:sz="4" w:space="0" w:color="auto"/>
              <w:right w:val="single" w:sz="4" w:space="0" w:color="auto"/>
            </w:tcBorders>
            <w:shd w:val="clear" w:color="auto" w:fill="auto"/>
            <w:noWrap/>
            <w:vAlign w:val="center"/>
            <w:hideMark/>
          </w:tcPr>
          <w:p w14:paraId="39E57F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£69,643.74</w:t>
            </w:r>
          </w:p>
        </w:tc>
        <w:tc>
          <w:tcPr>
            <w:tcW w:w="1531" w:type="dxa"/>
            <w:tcBorders>
              <w:top w:val="nil"/>
              <w:left w:val="nil"/>
              <w:bottom w:val="single" w:sz="4" w:space="0" w:color="auto"/>
              <w:right w:val="single" w:sz="4" w:space="0" w:color="auto"/>
            </w:tcBorders>
            <w:shd w:val="clear" w:color="auto" w:fill="auto"/>
            <w:noWrap/>
            <w:vAlign w:val="center"/>
            <w:hideMark/>
          </w:tcPr>
          <w:p w14:paraId="344D43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£278,574.96</w:t>
            </w:r>
          </w:p>
        </w:tc>
      </w:tr>
      <w:tr w:rsidR="004433D7" w:rsidRPr="004433D7" w14:paraId="68D886EF"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6DB88E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3F1FA3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£5,733,521.10</w:t>
            </w:r>
          </w:p>
        </w:tc>
        <w:tc>
          <w:tcPr>
            <w:tcW w:w="1510" w:type="dxa"/>
            <w:tcBorders>
              <w:top w:val="nil"/>
              <w:left w:val="nil"/>
              <w:bottom w:val="single" w:sz="4" w:space="0" w:color="auto"/>
              <w:right w:val="single" w:sz="4" w:space="0" w:color="auto"/>
            </w:tcBorders>
            <w:shd w:val="clear" w:color="auto" w:fill="auto"/>
            <w:noWrap/>
            <w:vAlign w:val="center"/>
            <w:hideMark/>
          </w:tcPr>
          <w:p w14:paraId="3BE20E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£1,433,380.28</w:t>
            </w:r>
          </w:p>
        </w:tc>
        <w:tc>
          <w:tcPr>
            <w:tcW w:w="1510" w:type="dxa"/>
            <w:tcBorders>
              <w:top w:val="nil"/>
              <w:left w:val="nil"/>
              <w:bottom w:val="single" w:sz="4" w:space="0" w:color="auto"/>
              <w:right w:val="single" w:sz="4" w:space="0" w:color="auto"/>
            </w:tcBorders>
            <w:shd w:val="clear" w:color="auto" w:fill="auto"/>
            <w:noWrap/>
            <w:vAlign w:val="center"/>
            <w:hideMark/>
          </w:tcPr>
          <w:p w14:paraId="6A4D61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£1,433,380.28</w:t>
            </w:r>
          </w:p>
        </w:tc>
        <w:tc>
          <w:tcPr>
            <w:tcW w:w="1516" w:type="dxa"/>
            <w:tcBorders>
              <w:top w:val="nil"/>
              <w:left w:val="nil"/>
              <w:bottom w:val="single" w:sz="4" w:space="0" w:color="auto"/>
              <w:right w:val="single" w:sz="4" w:space="0" w:color="auto"/>
            </w:tcBorders>
            <w:shd w:val="clear" w:color="auto" w:fill="auto"/>
            <w:noWrap/>
            <w:vAlign w:val="center"/>
            <w:hideMark/>
          </w:tcPr>
          <w:p w14:paraId="35A028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£1,433,380.28</w:t>
            </w:r>
          </w:p>
        </w:tc>
        <w:tc>
          <w:tcPr>
            <w:tcW w:w="1510" w:type="dxa"/>
            <w:tcBorders>
              <w:top w:val="nil"/>
              <w:left w:val="nil"/>
              <w:bottom w:val="single" w:sz="4" w:space="0" w:color="auto"/>
              <w:right w:val="single" w:sz="4" w:space="0" w:color="auto"/>
            </w:tcBorders>
            <w:shd w:val="clear" w:color="auto" w:fill="auto"/>
            <w:noWrap/>
            <w:vAlign w:val="center"/>
            <w:hideMark/>
          </w:tcPr>
          <w:p w14:paraId="5C41B1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£1,433,380.28</w:t>
            </w:r>
          </w:p>
        </w:tc>
        <w:tc>
          <w:tcPr>
            <w:tcW w:w="1531" w:type="dxa"/>
            <w:tcBorders>
              <w:top w:val="nil"/>
              <w:left w:val="nil"/>
              <w:bottom w:val="single" w:sz="4" w:space="0" w:color="auto"/>
              <w:right w:val="single" w:sz="4" w:space="0" w:color="auto"/>
            </w:tcBorders>
            <w:shd w:val="clear" w:color="auto" w:fill="auto"/>
            <w:noWrap/>
            <w:vAlign w:val="center"/>
            <w:hideMark/>
          </w:tcPr>
          <w:p w14:paraId="5F4804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£5,733,521.12</w:t>
            </w:r>
          </w:p>
        </w:tc>
      </w:tr>
      <w:tr w:rsidR="004433D7" w:rsidRPr="004433D7" w14:paraId="04EF2B3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5BD5DA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5CBFDA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£1,355,298.57</w:t>
            </w:r>
          </w:p>
        </w:tc>
        <w:tc>
          <w:tcPr>
            <w:tcW w:w="1510" w:type="dxa"/>
            <w:tcBorders>
              <w:top w:val="nil"/>
              <w:left w:val="nil"/>
              <w:bottom w:val="single" w:sz="4" w:space="0" w:color="auto"/>
              <w:right w:val="single" w:sz="4" w:space="0" w:color="auto"/>
            </w:tcBorders>
            <w:shd w:val="clear" w:color="auto" w:fill="auto"/>
            <w:noWrap/>
            <w:vAlign w:val="center"/>
            <w:hideMark/>
          </w:tcPr>
          <w:p w14:paraId="473863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£338,824.64</w:t>
            </w:r>
          </w:p>
        </w:tc>
        <w:tc>
          <w:tcPr>
            <w:tcW w:w="1510" w:type="dxa"/>
            <w:tcBorders>
              <w:top w:val="nil"/>
              <w:left w:val="nil"/>
              <w:bottom w:val="single" w:sz="4" w:space="0" w:color="auto"/>
              <w:right w:val="single" w:sz="4" w:space="0" w:color="auto"/>
            </w:tcBorders>
            <w:shd w:val="clear" w:color="auto" w:fill="auto"/>
            <w:noWrap/>
            <w:vAlign w:val="center"/>
            <w:hideMark/>
          </w:tcPr>
          <w:p w14:paraId="593BC4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£338,824.64</w:t>
            </w:r>
          </w:p>
        </w:tc>
        <w:tc>
          <w:tcPr>
            <w:tcW w:w="1516" w:type="dxa"/>
            <w:tcBorders>
              <w:top w:val="nil"/>
              <w:left w:val="nil"/>
              <w:bottom w:val="single" w:sz="4" w:space="0" w:color="auto"/>
              <w:right w:val="single" w:sz="4" w:space="0" w:color="auto"/>
            </w:tcBorders>
            <w:shd w:val="clear" w:color="auto" w:fill="auto"/>
            <w:noWrap/>
            <w:vAlign w:val="center"/>
            <w:hideMark/>
          </w:tcPr>
          <w:p w14:paraId="64EE75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£338,824.64</w:t>
            </w:r>
          </w:p>
        </w:tc>
        <w:tc>
          <w:tcPr>
            <w:tcW w:w="1510" w:type="dxa"/>
            <w:tcBorders>
              <w:top w:val="nil"/>
              <w:left w:val="nil"/>
              <w:bottom w:val="single" w:sz="4" w:space="0" w:color="auto"/>
              <w:right w:val="single" w:sz="4" w:space="0" w:color="auto"/>
            </w:tcBorders>
            <w:shd w:val="clear" w:color="auto" w:fill="auto"/>
            <w:noWrap/>
            <w:vAlign w:val="center"/>
            <w:hideMark/>
          </w:tcPr>
          <w:p w14:paraId="2B1365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£338,824.64</w:t>
            </w:r>
          </w:p>
        </w:tc>
        <w:tc>
          <w:tcPr>
            <w:tcW w:w="1531" w:type="dxa"/>
            <w:tcBorders>
              <w:top w:val="nil"/>
              <w:left w:val="nil"/>
              <w:bottom w:val="single" w:sz="4" w:space="0" w:color="auto"/>
              <w:right w:val="single" w:sz="4" w:space="0" w:color="auto"/>
            </w:tcBorders>
            <w:shd w:val="clear" w:color="auto" w:fill="auto"/>
            <w:noWrap/>
            <w:vAlign w:val="center"/>
            <w:hideMark/>
          </w:tcPr>
          <w:p w14:paraId="221B1B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£1,355,298.56</w:t>
            </w:r>
          </w:p>
        </w:tc>
      </w:tr>
      <w:tr w:rsidR="004433D7" w:rsidRPr="004433D7" w14:paraId="540668B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6591BC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038C13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£161,084.75</w:t>
            </w:r>
          </w:p>
        </w:tc>
        <w:tc>
          <w:tcPr>
            <w:tcW w:w="1510" w:type="dxa"/>
            <w:tcBorders>
              <w:top w:val="nil"/>
              <w:left w:val="nil"/>
              <w:bottom w:val="single" w:sz="4" w:space="0" w:color="auto"/>
              <w:right w:val="single" w:sz="4" w:space="0" w:color="auto"/>
            </w:tcBorders>
            <w:shd w:val="clear" w:color="auto" w:fill="auto"/>
            <w:noWrap/>
            <w:vAlign w:val="center"/>
            <w:hideMark/>
          </w:tcPr>
          <w:p w14:paraId="2FD651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£40,271.19</w:t>
            </w:r>
          </w:p>
        </w:tc>
        <w:tc>
          <w:tcPr>
            <w:tcW w:w="1510" w:type="dxa"/>
            <w:tcBorders>
              <w:top w:val="nil"/>
              <w:left w:val="nil"/>
              <w:bottom w:val="single" w:sz="4" w:space="0" w:color="auto"/>
              <w:right w:val="single" w:sz="4" w:space="0" w:color="auto"/>
            </w:tcBorders>
            <w:shd w:val="clear" w:color="auto" w:fill="auto"/>
            <w:noWrap/>
            <w:vAlign w:val="center"/>
            <w:hideMark/>
          </w:tcPr>
          <w:p w14:paraId="4C13AA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£40,271.19</w:t>
            </w:r>
          </w:p>
        </w:tc>
        <w:tc>
          <w:tcPr>
            <w:tcW w:w="1516" w:type="dxa"/>
            <w:tcBorders>
              <w:top w:val="nil"/>
              <w:left w:val="nil"/>
              <w:bottom w:val="single" w:sz="4" w:space="0" w:color="auto"/>
              <w:right w:val="single" w:sz="4" w:space="0" w:color="auto"/>
            </w:tcBorders>
            <w:shd w:val="clear" w:color="auto" w:fill="auto"/>
            <w:noWrap/>
            <w:vAlign w:val="center"/>
            <w:hideMark/>
          </w:tcPr>
          <w:p w14:paraId="29746F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£40,271.19</w:t>
            </w:r>
          </w:p>
        </w:tc>
        <w:tc>
          <w:tcPr>
            <w:tcW w:w="1510" w:type="dxa"/>
            <w:tcBorders>
              <w:top w:val="nil"/>
              <w:left w:val="nil"/>
              <w:bottom w:val="single" w:sz="4" w:space="0" w:color="auto"/>
              <w:right w:val="single" w:sz="4" w:space="0" w:color="auto"/>
            </w:tcBorders>
            <w:shd w:val="clear" w:color="auto" w:fill="auto"/>
            <w:noWrap/>
            <w:vAlign w:val="center"/>
            <w:hideMark/>
          </w:tcPr>
          <w:p w14:paraId="72EDAF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£40,271.19</w:t>
            </w:r>
          </w:p>
        </w:tc>
        <w:tc>
          <w:tcPr>
            <w:tcW w:w="1531" w:type="dxa"/>
            <w:tcBorders>
              <w:top w:val="nil"/>
              <w:left w:val="nil"/>
              <w:bottom w:val="single" w:sz="4" w:space="0" w:color="auto"/>
              <w:right w:val="single" w:sz="4" w:space="0" w:color="auto"/>
            </w:tcBorders>
            <w:shd w:val="clear" w:color="auto" w:fill="auto"/>
            <w:noWrap/>
            <w:vAlign w:val="center"/>
            <w:hideMark/>
          </w:tcPr>
          <w:p w14:paraId="238583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£161,084.76</w:t>
            </w:r>
          </w:p>
        </w:tc>
      </w:tr>
      <w:tr w:rsidR="004433D7" w:rsidRPr="004433D7" w14:paraId="4C20565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4ECB2C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793B5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£93,840.63</w:t>
            </w:r>
          </w:p>
        </w:tc>
        <w:tc>
          <w:tcPr>
            <w:tcW w:w="1510" w:type="dxa"/>
            <w:tcBorders>
              <w:top w:val="nil"/>
              <w:left w:val="nil"/>
              <w:bottom w:val="single" w:sz="4" w:space="0" w:color="auto"/>
              <w:right w:val="single" w:sz="4" w:space="0" w:color="auto"/>
            </w:tcBorders>
            <w:shd w:val="clear" w:color="auto" w:fill="auto"/>
            <w:noWrap/>
            <w:vAlign w:val="center"/>
            <w:hideMark/>
          </w:tcPr>
          <w:p w14:paraId="58AA43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£23,460.16</w:t>
            </w:r>
          </w:p>
        </w:tc>
        <w:tc>
          <w:tcPr>
            <w:tcW w:w="1510" w:type="dxa"/>
            <w:tcBorders>
              <w:top w:val="nil"/>
              <w:left w:val="nil"/>
              <w:bottom w:val="single" w:sz="4" w:space="0" w:color="auto"/>
              <w:right w:val="single" w:sz="4" w:space="0" w:color="auto"/>
            </w:tcBorders>
            <w:shd w:val="clear" w:color="auto" w:fill="auto"/>
            <w:noWrap/>
            <w:vAlign w:val="center"/>
            <w:hideMark/>
          </w:tcPr>
          <w:p w14:paraId="16E340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£23,460.16</w:t>
            </w:r>
          </w:p>
        </w:tc>
        <w:tc>
          <w:tcPr>
            <w:tcW w:w="1516" w:type="dxa"/>
            <w:tcBorders>
              <w:top w:val="nil"/>
              <w:left w:val="nil"/>
              <w:bottom w:val="single" w:sz="4" w:space="0" w:color="auto"/>
              <w:right w:val="single" w:sz="4" w:space="0" w:color="auto"/>
            </w:tcBorders>
            <w:shd w:val="clear" w:color="auto" w:fill="auto"/>
            <w:noWrap/>
            <w:vAlign w:val="center"/>
            <w:hideMark/>
          </w:tcPr>
          <w:p w14:paraId="27259C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£23,460.16</w:t>
            </w:r>
          </w:p>
        </w:tc>
        <w:tc>
          <w:tcPr>
            <w:tcW w:w="1510" w:type="dxa"/>
            <w:tcBorders>
              <w:top w:val="nil"/>
              <w:left w:val="nil"/>
              <w:bottom w:val="single" w:sz="4" w:space="0" w:color="auto"/>
              <w:right w:val="single" w:sz="4" w:space="0" w:color="auto"/>
            </w:tcBorders>
            <w:shd w:val="clear" w:color="auto" w:fill="auto"/>
            <w:noWrap/>
            <w:vAlign w:val="center"/>
            <w:hideMark/>
          </w:tcPr>
          <w:p w14:paraId="68F51A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£23,460.16</w:t>
            </w:r>
          </w:p>
        </w:tc>
        <w:tc>
          <w:tcPr>
            <w:tcW w:w="1531" w:type="dxa"/>
            <w:tcBorders>
              <w:top w:val="nil"/>
              <w:left w:val="nil"/>
              <w:bottom w:val="single" w:sz="4" w:space="0" w:color="auto"/>
              <w:right w:val="single" w:sz="4" w:space="0" w:color="auto"/>
            </w:tcBorders>
            <w:shd w:val="clear" w:color="auto" w:fill="auto"/>
            <w:noWrap/>
            <w:vAlign w:val="center"/>
            <w:hideMark/>
          </w:tcPr>
          <w:p w14:paraId="1E08A1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£93,840.64</w:t>
            </w:r>
          </w:p>
        </w:tc>
      </w:tr>
      <w:tr w:rsidR="004433D7" w:rsidRPr="004433D7" w14:paraId="061FACB9"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F9D4C3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526" w:type="dxa"/>
            <w:tcBorders>
              <w:top w:val="nil"/>
              <w:left w:val="nil"/>
              <w:bottom w:val="single" w:sz="4" w:space="0" w:color="auto"/>
              <w:right w:val="single" w:sz="4" w:space="0" w:color="auto"/>
            </w:tcBorders>
            <w:shd w:val="clear" w:color="auto" w:fill="auto"/>
            <w:noWrap/>
            <w:vAlign w:val="center"/>
            <w:hideMark/>
          </w:tcPr>
          <w:p w14:paraId="20823A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£427,214.68</w:t>
            </w:r>
          </w:p>
        </w:tc>
        <w:tc>
          <w:tcPr>
            <w:tcW w:w="1510" w:type="dxa"/>
            <w:tcBorders>
              <w:top w:val="nil"/>
              <w:left w:val="nil"/>
              <w:bottom w:val="single" w:sz="4" w:space="0" w:color="auto"/>
              <w:right w:val="single" w:sz="4" w:space="0" w:color="auto"/>
            </w:tcBorders>
            <w:shd w:val="clear" w:color="auto" w:fill="auto"/>
            <w:noWrap/>
            <w:vAlign w:val="center"/>
            <w:hideMark/>
          </w:tcPr>
          <w:p w14:paraId="3F0128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£106,803.67</w:t>
            </w:r>
          </w:p>
        </w:tc>
        <w:tc>
          <w:tcPr>
            <w:tcW w:w="1510" w:type="dxa"/>
            <w:tcBorders>
              <w:top w:val="nil"/>
              <w:left w:val="nil"/>
              <w:bottom w:val="single" w:sz="4" w:space="0" w:color="auto"/>
              <w:right w:val="single" w:sz="4" w:space="0" w:color="auto"/>
            </w:tcBorders>
            <w:shd w:val="clear" w:color="auto" w:fill="auto"/>
            <w:noWrap/>
            <w:vAlign w:val="center"/>
            <w:hideMark/>
          </w:tcPr>
          <w:p w14:paraId="2A8CD6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£106,803.67</w:t>
            </w:r>
          </w:p>
        </w:tc>
        <w:tc>
          <w:tcPr>
            <w:tcW w:w="1516" w:type="dxa"/>
            <w:tcBorders>
              <w:top w:val="nil"/>
              <w:left w:val="nil"/>
              <w:bottom w:val="single" w:sz="4" w:space="0" w:color="auto"/>
              <w:right w:val="single" w:sz="4" w:space="0" w:color="auto"/>
            </w:tcBorders>
            <w:shd w:val="clear" w:color="auto" w:fill="auto"/>
            <w:noWrap/>
            <w:vAlign w:val="center"/>
            <w:hideMark/>
          </w:tcPr>
          <w:p w14:paraId="7811DA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£106,803.67</w:t>
            </w:r>
          </w:p>
        </w:tc>
        <w:tc>
          <w:tcPr>
            <w:tcW w:w="1510" w:type="dxa"/>
            <w:tcBorders>
              <w:top w:val="nil"/>
              <w:left w:val="nil"/>
              <w:bottom w:val="single" w:sz="4" w:space="0" w:color="auto"/>
              <w:right w:val="single" w:sz="4" w:space="0" w:color="auto"/>
            </w:tcBorders>
            <w:shd w:val="clear" w:color="auto" w:fill="auto"/>
            <w:noWrap/>
            <w:vAlign w:val="center"/>
            <w:hideMark/>
          </w:tcPr>
          <w:p w14:paraId="5FF6DF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£106,803.67</w:t>
            </w:r>
          </w:p>
        </w:tc>
        <w:tc>
          <w:tcPr>
            <w:tcW w:w="1531" w:type="dxa"/>
            <w:tcBorders>
              <w:top w:val="nil"/>
              <w:left w:val="nil"/>
              <w:bottom w:val="single" w:sz="4" w:space="0" w:color="auto"/>
              <w:right w:val="single" w:sz="4" w:space="0" w:color="auto"/>
            </w:tcBorders>
            <w:shd w:val="clear" w:color="auto" w:fill="auto"/>
            <w:noWrap/>
            <w:vAlign w:val="center"/>
            <w:hideMark/>
          </w:tcPr>
          <w:p w14:paraId="1CDA84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£427,214.68</w:t>
            </w:r>
          </w:p>
        </w:tc>
      </w:tr>
      <w:tr w:rsidR="004433D7" w:rsidRPr="004433D7" w14:paraId="407F4AE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831F59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7FA6BD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£426,858.85</w:t>
            </w:r>
          </w:p>
        </w:tc>
        <w:tc>
          <w:tcPr>
            <w:tcW w:w="1510" w:type="dxa"/>
            <w:tcBorders>
              <w:top w:val="nil"/>
              <w:left w:val="nil"/>
              <w:bottom w:val="single" w:sz="4" w:space="0" w:color="auto"/>
              <w:right w:val="single" w:sz="4" w:space="0" w:color="auto"/>
            </w:tcBorders>
            <w:shd w:val="clear" w:color="auto" w:fill="auto"/>
            <w:noWrap/>
            <w:vAlign w:val="center"/>
            <w:hideMark/>
          </w:tcPr>
          <w:p w14:paraId="3AAD96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£106,714.71</w:t>
            </w:r>
          </w:p>
        </w:tc>
        <w:tc>
          <w:tcPr>
            <w:tcW w:w="1510" w:type="dxa"/>
            <w:tcBorders>
              <w:top w:val="nil"/>
              <w:left w:val="nil"/>
              <w:bottom w:val="single" w:sz="4" w:space="0" w:color="auto"/>
              <w:right w:val="single" w:sz="4" w:space="0" w:color="auto"/>
            </w:tcBorders>
            <w:shd w:val="clear" w:color="auto" w:fill="auto"/>
            <w:noWrap/>
            <w:vAlign w:val="center"/>
            <w:hideMark/>
          </w:tcPr>
          <w:p w14:paraId="307261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£106,714.71</w:t>
            </w:r>
          </w:p>
        </w:tc>
        <w:tc>
          <w:tcPr>
            <w:tcW w:w="1516" w:type="dxa"/>
            <w:tcBorders>
              <w:top w:val="nil"/>
              <w:left w:val="nil"/>
              <w:bottom w:val="single" w:sz="4" w:space="0" w:color="auto"/>
              <w:right w:val="single" w:sz="4" w:space="0" w:color="auto"/>
            </w:tcBorders>
            <w:shd w:val="clear" w:color="auto" w:fill="auto"/>
            <w:noWrap/>
            <w:vAlign w:val="center"/>
            <w:hideMark/>
          </w:tcPr>
          <w:p w14:paraId="2F2541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£106,714.71</w:t>
            </w:r>
          </w:p>
        </w:tc>
        <w:tc>
          <w:tcPr>
            <w:tcW w:w="1510" w:type="dxa"/>
            <w:tcBorders>
              <w:top w:val="nil"/>
              <w:left w:val="nil"/>
              <w:bottom w:val="single" w:sz="4" w:space="0" w:color="auto"/>
              <w:right w:val="single" w:sz="4" w:space="0" w:color="auto"/>
            </w:tcBorders>
            <w:shd w:val="clear" w:color="auto" w:fill="auto"/>
            <w:noWrap/>
            <w:vAlign w:val="center"/>
            <w:hideMark/>
          </w:tcPr>
          <w:p w14:paraId="435E40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£106,714.71</w:t>
            </w:r>
          </w:p>
        </w:tc>
        <w:tc>
          <w:tcPr>
            <w:tcW w:w="1531" w:type="dxa"/>
            <w:tcBorders>
              <w:top w:val="nil"/>
              <w:left w:val="nil"/>
              <w:bottom w:val="single" w:sz="4" w:space="0" w:color="auto"/>
              <w:right w:val="single" w:sz="4" w:space="0" w:color="auto"/>
            </w:tcBorders>
            <w:shd w:val="clear" w:color="auto" w:fill="auto"/>
            <w:noWrap/>
            <w:vAlign w:val="center"/>
            <w:hideMark/>
          </w:tcPr>
          <w:p w14:paraId="11E95C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£426,858.84</w:t>
            </w:r>
          </w:p>
        </w:tc>
      </w:tr>
      <w:tr w:rsidR="004433D7" w:rsidRPr="004433D7" w14:paraId="260D4755"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E696A9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Orbit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D2BFC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£82.43</w:t>
            </w:r>
          </w:p>
        </w:tc>
        <w:tc>
          <w:tcPr>
            <w:tcW w:w="1510" w:type="dxa"/>
            <w:tcBorders>
              <w:top w:val="nil"/>
              <w:left w:val="nil"/>
              <w:bottom w:val="single" w:sz="4" w:space="0" w:color="auto"/>
              <w:right w:val="single" w:sz="4" w:space="0" w:color="auto"/>
            </w:tcBorders>
            <w:shd w:val="clear" w:color="auto" w:fill="auto"/>
            <w:noWrap/>
            <w:vAlign w:val="center"/>
            <w:hideMark/>
          </w:tcPr>
          <w:p w14:paraId="7B7151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£82.44</w:t>
            </w:r>
          </w:p>
        </w:tc>
        <w:tc>
          <w:tcPr>
            <w:tcW w:w="1510" w:type="dxa"/>
            <w:tcBorders>
              <w:top w:val="nil"/>
              <w:left w:val="nil"/>
              <w:bottom w:val="single" w:sz="4" w:space="0" w:color="auto"/>
              <w:right w:val="single" w:sz="4" w:space="0" w:color="auto"/>
            </w:tcBorders>
            <w:shd w:val="clear" w:color="auto" w:fill="auto"/>
            <w:noWrap/>
            <w:vAlign w:val="center"/>
            <w:hideMark/>
          </w:tcPr>
          <w:p w14:paraId="4556E9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325758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BDD63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73EFA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£82.44</w:t>
            </w:r>
          </w:p>
        </w:tc>
      </w:tr>
      <w:tr w:rsidR="004433D7" w:rsidRPr="004433D7" w14:paraId="3A5FC0E1"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6764ED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Our Power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63BB42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£0.51</w:t>
            </w:r>
          </w:p>
        </w:tc>
        <w:tc>
          <w:tcPr>
            <w:tcW w:w="1510" w:type="dxa"/>
            <w:tcBorders>
              <w:top w:val="nil"/>
              <w:left w:val="nil"/>
              <w:bottom w:val="single" w:sz="4" w:space="0" w:color="auto"/>
              <w:right w:val="single" w:sz="4" w:space="0" w:color="auto"/>
            </w:tcBorders>
            <w:shd w:val="clear" w:color="auto" w:fill="auto"/>
            <w:noWrap/>
            <w:vAlign w:val="center"/>
            <w:hideMark/>
          </w:tcPr>
          <w:p w14:paraId="21E3E1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E5DF1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34F71C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71DAF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8F2EC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6AE0F463"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677441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526" w:type="dxa"/>
            <w:tcBorders>
              <w:top w:val="nil"/>
              <w:left w:val="nil"/>
              <w:bottom w:val="single" w:sz="4" w:space="0" w:color="auto"/>
              <w:right w:val="single" w:sz="4" w:space="0" w:color="auto"/>
            </w:tcBorders>
            <w:shd w:val="clear" w:color="auto" w:fill="auto"/>
            <w:noWrap/>
            <w:vAlign w:val="center"/>
            <w:hideMark/>
          </w:tcPr>
          <w:p w14:paraId="287C03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£611,766.76</w:t>
            </w:r>
          </w:p>
        </w:tc>
        <w:tc>
          <w:tcPr>
            <w:tcW w:w="1510" w:type="dxa"/>
            <w:tcBorders>
              <w:top w:val="nil"/>
              <w:left w:val="nil"/>
              <w:bottom w:val="single" w:sz="4" w:space="0" w:color="auto"/>
              <w:right w:val="single" w:sz="4" w:space="0" w:color="auto"/>
            </w:tcBorders>
            <w:shd w:val="clear" w:color="auto" w:fill="auto"/>
            <w:noWrap/>
            <w:vAlign w:val="center"/>
            <w:hideMark/>
          </w:tcPr>
          <w:p w14:paraId="38A769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£152,941.69</w:t>
            </w:r>
          </w:p>
        </w:tc>
        <w:tc>
          <w:tcPr>
            <w:tcW w:w="1510" w:type="dxa"/>
            <w:tcBorders>
              <w:top w:val="nil"/>
              <w:left w:val="nil"/>
              <w:bottom w:val="single" w:sz="4" w:space="0" w:color="auto"/>
              <w:right w:val="single" w:sz="4" w:space="0" w:color="auto"/>
            </w:tcBorders>
            <w:shd w:val="clear" w:color="auto" w:fill="auto"/>
            <w:noWrap/>
            <w:vAlign w:val="center"/>
            <w:hideMark/>
          </w:tcPr>
          <w:p w14:paraId="09910E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£152,941.69</w:t>
            </w:r>
          </w:p>
        </w:tc>
        <w:tc>
          <w:tcPr>
            <w:tcW w:w="1516" w:type="dxa"/>
            <w:tcBorders>
              <w:top w:val="nil"/>
              <w:left w:val="nil"/>
              <w:bottom w:val="single" w:sz="4" w:space="0" w:color="auto"/>
              <w:right w:val="single" w:sz="4" w:space="0" w:color="auto"/>
            </w:tcBorders>
            <w:shd w:val="clear" w:color="auto" w:fill="auto"/>
            <w:noWrap/>
            <w:vAlign w:val="center"/>
            <w:hideMark/>
          </w:tcPr>
          <w:p w14:paraId="1CF906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£152,941.69</w:t>
            </w:r>
          </w:p>
        </w:tc>
        <w:tc>
          <w:tcPr>
            <w:tcW w:w="1510" w:type="dxa"/>
            <w:tcBorders>
              <w:top w:val="nil"/>
              <w:left w:val="nil"/>
              <w:bottom w:val="single" w:sz="4" w:space="0" w:color="auto"/>
              <w:right w:val="single" w:sz="4" w:space="0" w:color="auto"/>
            </w:tcBorders>
            <w:shd w:val="clear" w:color="auto" w:fill="auto"/>
            <w:noWrap/>
            <w:vAlign w:val="center"/>
            <w:hideMark/>
          </w:tcPr>
          <w:p w14:paraId="186C1F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£152,941.69</w:t>
            </w:r>
          </w:p>
        </w:tc>
        <w:tc>
          <w:tcPr>
            <w:tcW w:w="1531" w:type="dxa"/>
            <w:tcBorders>
              <w:top w:val="nil"/>
              <w:left w:val="nil"/>
              <w:bottom w:val="single" w:sz="4" w:space="0" w:color="auto"/>
              <w:right w:val="single" w:sz="4" w:space="0" w:color="auto"/>
            </w:tcBorders>
            <w:shd w:val="clear" w:color="auto" w:fill="auto"/>
            <w:noWrap/>
            <w:vAlign w:val="center"/>
            <w:hideMark/>
          </w:tcPr>
          <w:p w14:paraId="070F23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£611,766.76</w:t>
            </w:r>
          </w:p>
        </w:tc>
      </w:tr>
      <w:tr w:rsidR="004433D7" w:rsidRPr="004433D7" w14:paraId="4040A85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30C5EE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People's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1CA144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£1,200.07</w:t>
            </w:r>
          </w:p>
        </w:tc>
        <w:tc>
          <w:tcPr>
            <w:tcW w:w="1510" w:type="dxa"/>
            <w:tcBorders>
              <w:top w:val="nil"/>
              <w:left w:val="nil"/>
              <w:bottom w:val="single" w:sz="4" w:space="0" w:color="auto"/>
              <w:right w:val="single" w:sz="4" w:space="0" w:color="auto"/>
            </w:tcBorders>
            <w:shd w:val="clear" w:color="auto" w:fill="auto"/>
            <w:noWrap/>
            <w:vAlign w:val="center"/>
            <w:hideMark/>
          </w:tcPr>
          <w:p w14:paraId="71CB87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£300.02</w:t>
            </w:r>
          </w:p>
        </w:tc>
        <w:tc>
          <w:tcPr>
            <w:tcW w:w="1510" w:type="dxa"/>
            <w:tcBorders>
              <w:top w:val="nil"/>
              <w:left w:val="nil"/>
              <w:bottom w:val="single" w:sz="4" w:space="0" w:color="auto"/>
              <w:right w:val="single" w:sz="4" w:space="0" w:color="auto"/>
            </w:tcBorders>
            <w:shd w:val="clear" w:color="auto" w:fill="auto"/>
            <w:noWrap/>
            <w:vAlign w:val="center"/>
            <w:hideMark/>
          </w:tcPr>
          <w:p w14:paraId="281296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£300.02</w:t>
            </w:r>
          </w:p>
        </w:tc>
        <w:tc>
          <w:tcPr>
            <w:tcW w:w="1516" w:type="dxa"/>
            <w:tcBorders>
              <w:top w:val="nil"/>
              <w:left w:val="nil"/>
              <w:bottom w:val="single" w:sz="4" w:space="0" w:color="auto"/>
              <w:right w:val="single" w:sz="4" w:space="0" w:color="auto"/>
            </w:tcBorders>
            <w:shd w:val="clear" w:color="auto" w:fill="auto"/>
            <w:noWrap/>
            <w:vAlign w:val="center"/>
            <w:hideMark/>
          </w:tcPr>
          <w:p w14:paraId="6C256E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£300.02</w:t>
            </w:r>
          </w:p>
        </w:tc>
        <w:tc>
          <w:tcPr>
            <w:tcW w:w="1510" w:type="dxa"/>
            <w:tcBorders>
              <w:top w:val="nil"/>
              <w:left w:val="nil"/>
              <w:bottom w:val="single" w:sz="4" w:space="0" w:color="auto"/>
              <w:right w:val="single" w:sz="4" w:space="0" w:color="auto"/>
            </w:tcBorders>
            <w:shd w:val="clear" w:color="auto" w:fill="auto"/>
            <w:noWrap/>
            <w:vAlign w:val="center"/>
            <w:hideMark/>
          </w:tcPr>
          <w:p w14:paraId="731738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£300.02</w:t>
            </w:r>
          </w:p>
        </w:tc>
        <w:tc>
          <w:tcPr>
            <w:tcW w:w="1531" w:type="dxa"/>
            <w:tcBorders>
              <w:top w:val="nil"/>
              <w:left w:val="nil"/>
              <w:bottom w:val="single" w:sz="4" w:space="0" w:color="auto"/>
              <w:right w:val="single" w:sz="4" w:space="0" w:color="auto"/>
            </w:tcBorders>
            <w:shd w:val="clear" w:color="auto" w:fill="auto"/>
            <w:noWrap/>
            <w:vAlign w:val="center"/>
            <w:hideMark/>
          </w:tcPr>
          <w:p w14:paraId="5CD05B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£1,200.08</w:t>
            </w:r>
          </w:p>
        </w:tc>
      </w:tr>
      <w:tr w:rsidR="004433D7" w:rsidRPr="004433D7" w14:paraId="01490ED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B87873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526" w:type="dxa"/>
            <w:tcBorders>
              <w:top w:val="nil"/>
              <w:left w:val="nil"/>
              <w:bottom w:val="single" w:sz="4" w:space="0" w:color="auto"/>
              <w:right w:val="single" w:sz="4" w:space="0" w:color="auto"/>
            </w:tcBorders>
            <w:shd w:val="clear" w:color="auto" w:fill="auto"/>
            <w:noWrap/>
            <w:vAlign w:val="center"/>
            <w:hideMark/>
          </w:tcPr>
          <w:p w14:paraId="695B59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£67,600.97</w:t>
            </w:r>
          </w:p>
        </w:tc>
        <w:tc>
          <w:tcPr>
            <w:tcW w:w="1510" w:type="dxa"/>
            <w:tcBorders>
              <w:top w:val="nil"/>
              <w:left w:val="nil"/>
              <w:bottom w:val="single" w:sz="4" w:space="0" w:color="auto"/>
              <w:right w:val="single" w:sz="4" w:space="0" w:color="auto"/>
            </w:tcBorders>
            <w:shd w:val="clear" w:color="auto" w:fill="auto"/>
            <w:noWrap/>
            <w:vAlign w:val="center"/>
            <w:hideMark/>
          </w:tcPr>
          <w:p w14:paraId="707A86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£16,900.24</w:t>
            </w:r>
          </w:p>
        </w:tc>
        <w:tc>
          <w:tcPr>
            <w:tcW w:w="1510" w:type="dxa"/>
            <w:tcBorders>
              <w:top w:val="nil"/>
              <w:left w:val="nil"/>
              <w:bottom w:val="single" w:sz="4" w:space="0" w:color="auto"/>
              <w:right w:val="single" w:sz="4" w:space="0" w:color="auto"/>
            </w:tcBorders>
            <w:shd w:val="clear" w:color="auto" w:fill="auto"/>
            <w:noWrap/>
            <w:vAlign w:val="center"/>
            <w:hideMark/>
          </w:tcPr>
          <w:p w14:paraId="27763A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£16,900.24</w:t>
            </w:r>
          </w:p>
        </w:tc>
        <w:tc>
          <w:tcPr>
            <w:tcW w:w="1516" w:type="dxa"/>
            <w:tcBorders>
              <w:top w:val="nil"/>
              <w:left w:val="nil"/>
              <w:bottom w:val="single" w:sz="4" w:space="0" w:color="auto"/>
              <w:right w:val="single" w:sz="4" w:space="0" w:color="auto"/>
            </w:tcBorders>
            <w:shd w:val="clear" w:color="auto" w:fill="auto"/>
            <w:noWrap/>
            <w:vAlign w:val="center"/>
            <w:hideMark/>
          </w:tcPr>
          <w:p w14:paraId="7DAA6C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£16,900.24</w:t>
            </w:r>
          </w:p>
        </w:tc>
        <w:tc>
          <w:tcPr>
            <w:tcW w:w="1510" w:type="dxa"/>
            <w:tcBorders>
              <w:top w:val="nil"/>
              <w:left w:val="nil"/>
              <w:bottom w:val="single" w:sz="4" w:space="0" w:color="auto"/>
              <w:right w:val="single" w:sz="4" w:space="0" w:color="auto"/>
            </w:tcBorders>
            <w:shd w:val="clear" w:color="auto" w:fill="auto"/>
            <w:noWrap/>
            <w:vAlign w:val="center"/>
            <w:hideMark/>
          </w:tcPr>
          <w:p w14:paraId="0E23DF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£16,900.24</w:t>
            </w:r>
          </w:p>
        </w:tc>
        <w:tc>
          <w:tcPr>
            <w:tcW w:w="1531" w:type="dxa"/>
            <w:tcBorders>
              <w:top w:val="nil"/>
              <w:left w:val="nil"/>
              <w:bottom w:val="single" w:sz="4" w:space="0" w:color="auto"/>
              <w:right w:val="single" w:sz="4" w:space="0" w:color="auto"/>
            </w:tcBorders>
            <w:shd w:val="clear" w:color="auto" w:fill="auto"/>
            <w:noWrap/>
            <w:vAlign w:val="center"/>
            <w:hideMark/>
          </w:tcPr>
          <w:p w14:paraId="115191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£67,600.96</w:t>
            </w:r>
          </w:p>
        </w:tc>
      </w:tr>
      <w:tr w:rsidR="004433D7" w:rsidRPr="004433D7" w14:paraId="302D455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ACAE7F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Planet 9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05316F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£1,712.55</w:t>
            </w:r>
          </w:p>
        </w:tc>
        <w:tc>
          <w:tcPr>
            <w:tcW w:w="1510" w:type="dxa"/>
            <w:tcBorders>
              <w:top w:val="nil"/>
              <w:left w:val="nil"/>
              <w:bottom w:val="single" w:sz="4" w:space="0" w:color="auto"/>
              <w:right w:val="single" w:sz="4" w:space="0" w:color="auto"/>
            </w:tcBorders>
            <w:shd w:val="clear" w:color="auto" w:fill="auto"/>
            <w:noWrap/>
            <w:vAlign w:val="center"/>
            <w:hideMark/>
          </w:tcPr>
          <w:p w14:paraId="547D60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8F732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£856.28</w:t>
            </w:r>
          </w:p>
        </w:tc>
        <w:tc>
          <w:tcPr>
            <w:tcW w:w="1516" w:type="dxa"/>
            <w:tcBorders>
              <w:top w:val="nil"/>
              <w:left w:val="nil"/>
              <w:bottom w:val="single" w:sz="4" w:space="0" w:color="auto"/>
              <w:right w:val="single" w:sz="4" w:space="0" w:color="auto"/>
            </w:tcBorders>
            <w:shd w:val="clear" w:color="auto" w:fill="auto"/>
            <w:noWrap/>
            <w:vAlign w:val="center"/>
            <w:hideMark/>
          </w:tcPr>
          <w:p w14:paraId="6E4F87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C06B5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86119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£856.28</w:t>
            </w:r>
          </w:p>
        </w:tc>
      </w:tr>
      <w:tr w:rsidR="004433D7" w:rsidRPr="004433D7" w14:paraId="7B6225A9"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3C9C7B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Power4All Limited</w:t>
            </w:r>
          </w:p>
        </w:tc>
        <w:tc>
          <w:tcPr>
            <w:tcW w:w="1526" w:type="dxa"/>
            <w:tcBorders>
              <w:top w:val="nil"/>
              <w:left w:val="nil"/>
              <w:bottom w:val="single" w:sz="4" w:space="0" w:color="auto"/>
              <w:right w:val="single" w:sz="4" w:space="0" w:color="auto"/>
            </w:tcBorders>
            <w:shd w:val="clear" w:color="auto" w:fill="auto"/>
            <w:noWrap/>
            <w:vAlign w:val="center"/>
            <w:hideMark/>
          </w:tcPr>
          <w:p w14:paraId="7EFF78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£216,249.38</w:t>
            </w:r>
          </w:p>
        </w:tc>
        <w:tc>
          <w:tcPr>
            <w:tcW w:w="1510" w:type="dxa"/>
            <w:tcBorders>
              <w:top w:val="nil"/>
              <w:left w:val="nil"/>
              <w:bottom w:val="single" w:sz="4" w:space="0" w:color="auto"/>
              <w:right w:val="single" w:sz="4" w:space="0" w:color="auto"/>
            </w:tcBorders>
            <w:shd w:val="clear" w:color="auto" w:fill="auto"/>
            <w:noWrap/>
            <w:vAlign w:val="center"/>
            <w:hideMark/>
          </w:tcPr>
          <w:p w14:paraId="29B6B3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£54,062.34</w:t>
            </w:r>
          </w:p>
        </w:tc>
        <w:tc>
          <w:tcPr>
            <w:tcW w:w="1510" w:type="dxa"/>
            <w:tcBorders>
              <w:top w:val="nil"/>
              <w:left w:val="nil"/>
              <w:bottom w:val="single" w:sz="4" w:space="0" w:color="auto"/>
              <w:right w:val="single" w:sz="4" w:space="0" w:color="auto"/>
            </w:tcBorders>
            <w:shd w:val="clear" w:color="auto" w:fill="auto"/>
            <w:noWrap/>
            <w:vAlign w:val="center"/>
            <w:hideMark/>
          </w:tcPr>
          <w:p w14:paraId="611708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£54,062.34</w:t>
            </w:r>
          </w:p>
        </w:tc>
        <w:tc>
          <w:tcPr>
            <w:tcW w:w="1516" w:type="dxa"/>
            <w:tcBorders>
              <w:top w:val="nil"/>
              <w:left w:val="nil"/>
              <w:bottom w:val="single" w:sz="4" w:space="0" w:color="auto"/>
              <w:right w:val="single" w:sz="4" w:space="0" w:color="auto"/>
            </w:tcBorders>
            <w:shd w:val="clear" w:color="auto" w:fill="auto"/>
            <w:noWrap/>
            <w:vAlign w:val="center"/>
            <w:hideMark/>
          </w:tcPr>
          <w:p w14:paraId="4BB87E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£54,062.34</w:t>
            </w:r>
          </w:p>
        </w:tc>
        <w:tc>
          <w:tcPr>
            <w:tcW w:w="1510" w:type="dxa"/>
            <w:tcBorders>
              <w:top w:val="nil"/>
              <w:left w:val="nil"/>
              <w:bottom w:val="single" w:sz="4" w:space="0" w:color="auto"/>
              <w:right w:val="single" w:sz="4" w:space="0" w:color="auto"/>
            </w:tcBorders>
            <w:shd w:val="clear" w:color="auto" w:fill="auto"/>
            <w:noWrap/>
            <w:vAlign w:val="center"/>
            <w:hideMark/>
          </w:tcPr>
          <w:p w14:paraId="7FD8F3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£54,062.34</w:t>
            </w:r>
          </w:p>
        </w:tc>
        <w:tc>
          <w:tcPr>
            <w:tcW w:w="1531" w:type="dxa"/>
            <w:tcBorders>
              <w:top w:val="nil"/>
              <w:left w:val="nil"/>
              <w:bottom w:val="single" w:sz="4" w:space="0" w:color="auto"/>
              <w:right w:val="single" w:sz="4" w:space="0" w:color="auto"/>
            </w:tcBorders>
            <w:shd w:val="clear" w:color="auto" w:fill="auto"/>
            <w:noWrap/>
            <w:vAlign w:val="center"/>
            <w:hideMark/>
          </w:tcPr>
          <w:p w14:paraId="40FE6B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£216,249.36</w:t>
            </w:r>
          </w:p>
        </w:tc>
      </w:tr>
      <w:tr w:rsidR="004433D7" w:rsidRPr="004433D7" w14:paraId="0EF758CB"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F4BCAD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Pozitive</w:t>
            </w:r>
            <w:proofErr w:type="spellEnd"/>
            <w:r w:rsidRPr="004433D7">
              <w:rPr>
                <w:rFonts w:eastAsia="Times New Roman" w:cs="Times New Roman"/>
                <w:color w:val="000000"/>
                <w:sz w:val="16"/>
                <w:szCs w:val="16"/>
              </w:rPr>
              <w:t xml:space="preserve">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19B088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£22,649.19</w:t>
            </w:r>
          </w:p>
        </w:tc>
        <w:tc>
          <w:tcPr>
            <w:tcW w:w="1510" w:type="dxa"/>
            <w:tcBorders>
              <w:top w:val="nil"/>
              <w:left w:val="nil"/>
              <w:bottom w:val="single" w:sz="4" w:space="0" w:color="auto"/>
              <w:right w:val="single" w:sz="4" w:space="0" w:color="auto"/>
            </w:tcBorders>
            <w:shd w:val="clear" w:color="auto" w:fill="auto"/>
            <w:noWrap/>
            <w:vAlign w:val="center"/>
            <w:hideMark/>
          </w:tcPr>
          <w:p w14:paraId="2477F2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£5,662.30</w:t>
            </w:r>
          </w:p>
        </w:tc>
        <w:tc>
          <w:tcPr>
            <w:tcW w:w="1510" w:type="dxa"/>
            <w:tcBorders>
              <w:top w:val="nil"/>
              <w:left w:val="nil"/>
              <w:bottom w:val="single" w:sz="4" w:space="0" w:color="auto"/>
              <w:right w:val="single" w:sz="4" w:space="0" w:color="auto"/>
            </w:tcBorders>
            <w:shd w:val="clear" w:color="auto" w:fill="auto"/>
            <w:noWrap/>
            <w:vAlign w:val="center"/>
            <w:hideMark/>
          </w:tcPr>
          <w:p w14:paraId="28A84F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£5,662.30</w:t>
            </w:r>
          </w:p>
        </w:tc>
        <w:tc>
          <w:tcPr>
            <w:tcW w:w="1516" w:type="dxa"/>
            <w:tcBorders>
              <w:top w:val="nil"/>
              <w:left w:val="nil"/>
              <w:bottom w:val="single" w:sz="4" w:space="0" w:color="auto"/>
              <w:right w:val="single" w:sz="4" w:space="0" w:color="auto"/>
            </w:tcBorders>
            <w:shd w:val="clear" w:color="auto" w:fill="auto"/>
            <w:noWrap/>
            <w:vAlign w:val="center"/>
            <w:hideMark/>
          </w:tcPr>
          <w:p w14:paraId="5BEE3C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£5,662.30</w:t>
            </w:r>
          </w:p>
        </w:tc>
        <w:tc>
          <w:tcPr>
            <w:tcW w:w="1510" w:type="dxa"/>
            <w:tcBorders>
              <w:top w:val="nil"/>
              <w:left w:val="nil"/>
              <w:bottom w:val="single" w:sz="4" w:space="0" w:color="auto"/>
              <w:right w:val="single" w:sz="4" w:space="0" w:color="auto"/>
            </w:tcBorders>
            <w:shd w:val="clear" w:color="auto" w:fill="auto"/>
            <w:noWrap/>
            <w:vAlign w:val="center"/>
            <w:hideMark/>
          </w:tcPr>
          <w:p w14:paraId="5D9502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£5,662.30</w:t>
            </w:r>
          </w:p>
        </w:tc>
        <w:tc>
          <w:tcPr>
            <w:tcW w:w="1531" w:type="dxa"/>
            <w:tcBorders>
              <w:top w:val="nil"/>
              <w:left w:val="nil"/>
              <w:bottom w:val="single" w:sz="4" w:space="0" w:color="auto"/>
              <w:right w:val="single" w:sz="4" w:space="0" w:color="auto"/>
            </w:tcBorders>
            <w:shd w:val="clear" w:color="auto" w:fill="auto"/>
            <w:noWrap/>
            <w:vAlign w:val="center"/>
            <w:hideMark/>
          </w:tcPr>
          <w:p w14:paraId="389A35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£22,649.20</w:t>
            </w:r>
          </w:p>
        </w:tc>
      </w:tr>
      <w:tr w:rsidR="004433D7" w:rsidRPr="004433D7" w14:paraId="707FD713"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2161B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526" w:type="dxa"/>
            <w:tcBorders>
              <w:top w:val="nil"/>
              <w:left w:val="nil"/>
              <w:bottom w:val="single" w:sz="4" w:space="0" w:color="auto"/>
              <w:right w:val="single" w:sz="4" w:space="0" w:color="auto"/>
            </w:tcBorders>
            <w:shd w:val="clear" w:color="auto" w:fill="auto"/>
            <w:noWrap/>
            <w:vAlign w:val="center"/>
            <w:hideMark/>
          </w:tcPr>
          <w:p w14:paraId="6537EF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£5,208.31</w:t>
            </w:r>
          </w:p>
        </w:tc>
        <w:tc>
          <w:tcPr>
            <w:tcW w:w="1510" w:type="dxa"/>
            <w:tcBorders>
              <w:top w:val="nil"/>
              <w:left w:val="nil"/>
              <w:bottom w:val="single" w:sz="4" w:space="0" w:color="auto"/>
              <w:right w:val="single" w:sz="4" w:space="0" w:color="auto"/>
            </w:tcBorders>
            <w:shd w:val="clear" w:color="auto" w:fill="auto"/>
            <w:noWrap/>
            <w:vAlign w:val="center"/>
            <w:hideMark/>
          </w:tcPr>
          <w:p w14:paraId="2DE682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£5,208.31</w:t>
            </w:r>
          </w:p>
        </w:tc>
        <w:tc>
          <w:tcPr>
            <w:tcW w:w="1510" w:type="dxa"/>
            <w:tcBorders>
              <w:top w:val="nil"/>
              <w:left w:val="nil"/>
              <w:bottom w:val="single" w:sz="4" w:space="0" w:color="auto"/>
              <w:right w:val="single" w:sz="4" w:space="0" w:color="auto"/>
            </w:tcBorders>
            <w:shd w:val="clear" w:color="auto" w:fill="auto"/>
            <w:noWrap/>
            <w:vAlign w:val="center"/>
            <w:hideMark/>
          </w:tcPr>
          <w:p w14:paraId="7F36A4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6E495C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F5F85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E8006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£5,208.31</w:t>
            </w:r>
          </w:p>
        </w:tc>
      </w:tr>
      <w:tr w:rsidR="004433D7" w:rsidRPr="004433D7" w14:paraId="3CBBB72D"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36AD8D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Robin Hood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650D30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£61,264.79</w:t>
            </w:r>
          </w:p>
        </w:tc>
        <w:tc>
          <w:tcPr>
            <w:tcW w:w="1510" w:type="dxa"/>
            <w:tcBorders>
              <w:top w:val="nil"/>
              <w:left w:val="nil"/>
              <w:bottom w:val="single" w:sz="4" w:space="0" w:color="auto"/>
              <w:right w:val="single" w:sz="4" w:space="0" w:color="auto"/>
            </w:tcBorders>
            <w:shd w:val="clear" w:color="auto" w:fill="auto"/>
            <w:noWrap/>
            <w:vAlign w:val="center"/>
            <w:hideMark/>
          </w:tcPr>
          <w:p w14:paraId="460F74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£15,316.20</w:t>
            </w:r>
          </w:p>
        </w:tc>
        <w:tc>
          <w:tcPr>
            <w:tcW w:w="1510" w:type="dxa"/>
            <w:tcBorders>
              <w:top w:val="nil"/>
              <w:left w:val="nil"/>
              <w:bottom w:val="single" w:sz="4" w:space="0" w:color="auto"/>
              <w:right w:val="single" w:sz="4" w:space="0" w:color="auto"/>
            </w:tcBorders>
            <w:shd w:val="clear" w:color="auto" w:fill="auto"/>
            <w:noWrap/>
            <w:vAlign w:val="center"/>
            <w:hideMark/>
          </w:tcPr>
          <w:p w14:paraId="5A0158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£15,316.20</w:t>
            </w:r>
          </w:p>
        </w:tc>
        <w:tc>
          <w:tcPr>
            <w:tcW w:w="1516" w:type="dxa"/>
            <w:tcBorders>
              <w:top w:val="nil"/>
              <w:left w:val="nil"/>
              <w:bottom w:val="single" w:sz="4" w:space="0" w:color="auto"/>
              <w:right w:val="single" w:sz="4" w:space="0" w:color="auto"/>
            </w:tcBorders>
            <w:shd w:val="clear" w:color="auto" w:fill="auto"/>
            <w:noWrap/>
            <w:vAlign w:val="center"/>
            <w:hideMark/>
          </w:tcPr>
          <w:p w14:paraId="009CF5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£15,316.20</w:t>
            </w:r>
          </w:p>
        </w:tc>
        <w:tc>
          <w:tcPr>
            <w:tcW w:w="1510" w:type="dxa"/>
            <w:tcBorders>
              <w:top w:val="nil"/>
              <w:left w:val="nil"/>
              <w:bottom w:val="single" w:sz="4" w:space="0" w:color="auto"/>
              <w:right w:val="single" w:sz="4" w:space="0" w:color="auto"/>
            </w:tcBorders>
            <w:shd w:val="clear" w:color="auto" w:fill="auto"/>
            <w:noWrap/>
            <w:vAlign w:val="center"/>
            <w:hideMark/>
          </w:tcPr>
          <w:p w14:paraId="2083CB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£15,316.20</w:t>
            </w:r>
          </w:p>
        </w:tc>
        <w:tc>
          <w:tcPr>
            <w:tcW w:w="1531" w:type="dxa"/>
            <w:tcBorders>
              <w:top w:val="nil"/>
              <w:left w:val="nil"/>
              <w:bottom w:val="single" w:sz="4" w:space="0" w:color="auto"/>
              <w:right w:val="single" w:sz="4" w:space="0" w:color="auto"/>
            </w:tcBorders>
            <w:shd w:val="clear" w:color="auto" w:fill="auto"/>
            <w:noWrap/>
            <w:vAlign w:val="center"/>
            <w:hideMark/>
          </w:tcPr>
          <w:p w14:paraId="7B27B0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£61,264.80</w:t>
            </w:r>
          </w:p>
        </w:tc>
      </w:tr>
      <w:tr w:rsidR="004433D7" w:rsidRPr="004433D7" w14:paraId="613BDDF2"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86EFC4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Rose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24D051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w:t>
            </w:r>
          </w:p>
        </w:tc>
        <w:tc>
          <w:tcPr>
            <w:tcW w:w="1510" w:type="dxa"/>
            <w:tcBorders>
              <w:top w:val="nil"/>
              <w:left w:val="nil"/>
              <w:bottom w:val="single" w:sz="4" w:space="0" w:color="auto"/>
              <w:right w:val="single" w:sz="4" w:space="0" w:color="auto"/>
            </w:tcBorders>
            <w:shd w:val="clear" w:color="auto" w:fill="auto"/>
            <w:noWrap/>
            <w:vAlign w:val="center"/>
            <w:hideMark/>
          </w:tcPr>
          <w:p w14:paraId="66DA7B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w:t>
            </w:r>
          </w:p>
        </w:tc>
        <w:tc>
          <w:tcPr>
            <w:tcW w:w="1510" w:type="dxa"/>
            <w:tcBorders>
              <w:top w:val="nil"/>
              <w:left w:val="nil"/>
              <w:bottom w:val="single" w:sz="4" w:space="0" w:color="auto"/>
              <w:right w:val="single" w:sz="4" w:space="0" w:color="auto"/>
            </w:tcBorders>
            <w:shd w:val="clear" w:color="auto" w:fill="auto"/>
            <w:noWrap/>
            <w:vAlign w:val="center"/>
            <w:hideMark/>
          </w:tcPr>
          <w:p w14:paraId="66AE3D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4579D9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EABFF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76538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w:t>
            </w:r>
          </w:p>
        </w:tc>
      </w:tr>
      <w:tr w:rsidR="004433D7" w:rsidRPr="004433D7" w14:paraId="13D97816"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0BE875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526" w:type="dxa"/>
            <w:tcBorders>
              <w:top w:val="nil"/>
              <w:left w:val="nil"/>
              <w:bottom w:val="single" w:sz="4" w:space="0" w:color="auto"/>
              <w:right w:val="single" w:sz="4" w:space="0" w:color="auto"/>
            </w:tcBorders>
            <w:shd w:val="clear" w:color="auto" w:fill="auto"/>
            <w:noWrap/>
            <w:vAlign w:val="center"/>
            <w:hideMark/>
          </w:tcPr>
          <w:p w14:paraId="385B33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£3,674,144.92</w:t>
            </w:r>
          </w:p>
        </w:tc>
        <w:tc>
          <w:tcPr>
            <w:tcW w:w="1510" w:type="dxa"/>
            <w:tcBorders>
              <w:top w:val="nil"/>
              <w:left w:val="nil"/>
              <w:bottom w:val="single" w:sz="4" w:space="0" w:color="auto"/>
              <w:right w:val="single" w:sz="4" w:space="0" w:color="auto"/>
            </w:tcBorders>
            <w:shd w:val="clear" w:color="auto" w:fill="auto"/>
            <w:noWrap/>
            <w:vAlign w:val="center"/>
            <w:hideMark/>
          </w:tcPr>
          <w:p w14:paraId="1DD4A5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£918,536.23</w:t>
            </w:r>
          </w:p>
        </w:tc>
        <w:tc>
          <w:tcPr>
            <w:tcW w:w="1510" w:type="dxa"/>
            <w:tcBorders>
              <w:top w:val="nil"/>
              <w:left w:val="nil"/>
              <w:bottom w:val="single" w:sz="4" w:space="0" w:color="auto"/>
              <w:right w:val="single" w:sz="4" w:space="0" w:color="auto"/>
            </w:tcBorders>
            <w:shd w:val="clear" w:color="auto" w:fill="auto"/>
            <w:noWrap/>
            <w:vAlign w:val="center"/>
            <w:hideMark/>
          </w:tcPr>
          <w:p w14:paraId="01EB4D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£918,536.23</w:t>
            </w:r>
          </w:p>
        </w:tc>
        <w:tc>
          <w:tcPr>
            <w:tcW w:w="1516" w:type="dxa"/>
            <w:tcBorders>
              <w:top w:val="nil"/>
              <w:left w:val="nil"/>
              <w:bottom w:val="single" w:sz="4" w:space="0" w:color="auto"/>
              <w:right w:val="single" w:sz="4" w:space="0" w:color="auto"/>
            </w:tcBorders>
            <w:shd w:val="clear" w:color="auto" w:fill="auto"/>
            <w:noWrap/>
            <w:vAlign w:val="center"/>
            <w:hideMark/>
          </w:tcPr>
          <w:p w14:paraId="3B0BCE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£918,536.23</w:t>
            </w:r>
          </w:p>
        </w:tc>
        <w:tc>
          <w:tcPr>
            <w:tcW w:w="1510" w:type="dxa"/>
            <w:tcBorders>
              <w:top w:val="nil"/>
              <w:left w:val="nil"/>
              <w:bottom w:val="single" w:sz="4" w:space="0" w:color="auto"/>
              <w:right w:val="single" w:sz="4" w:space="0" w:color="auto"/>
            </w:tcBorders>
            <w:shd w:val="clear" w:color="auto" w:fill="auto"/>
            <w:noWrap/>
            <w:vAlign w:val="center"/>
            <w:hideMark/>
          </w:tcPr>
          <w:p w14:paraId="4F0881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£918,536.23</w:t>
            </w:r>
          </w:p>
        </w:tc>
        <w:tc>
          <w:tcPr>
            <w:tcW w:w="1531" w:type="dxa"/>
            <w:tcBorders>
              <w:top w:val="nil"/>
              <w:left w:val="nil"/>
              <w:bottom w:val="single" w:sz="4" w:space="0" w:color="auto"/>
              <w:right w:val="single" w:sz="4" w:space="0" w:color="auto"/>
            </w:tcBorders>
            <w:shd w:val="clear" w:color="auto" w:fill="auto"/>
            <w:noWrap/>
            <w:vAlign w:val="center"/>
            <w:hideMark/>
          </w:tcPr>
          <w:p w14:paraId="146F7B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£3,674,144.92</w:t>
            </w:r>
          </w:p>
        </w:tc>
      </w:tr>
      <w:tr w:rsidR="004433D7" w:rsidRPr="004433D7" w14:paraId="25AA2C09"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8E0B24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Supply UK Limited</w:t>
            </w:r>
          </w:p>
        </w:tc>
        <w:tc>
          <w:tcPr>
            <w:tcW w:w="1526" w:type="dxa"/>
            <w:tcBorders>
              <w:top w:val="nil"/>
              <w:left w:val="nil"/>
              <w:bottom w:val="single" w:sz="4" w:space="0" w:color="auto"/>
              <w:right w:val="single" w:sz="4" w:space="0" w:color="auto"/>
            </w:tcBorders>
            <w:shd w:val="clear" w:color="auto" w:fill="auto"/>
            <w:noWrap/>
            <w:vAlign w:val="center"/>
            <w:hideMark/>
          </w:tcPr>
          <w:p w14:paraId="7F24B9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£5.12</w:t>
            </w:r>
          </w:p>
        </w:tc>
        <w:tc>
          <w:tcPr>
            <w:tcW w:w="1510" w:type="dxa"/>
            <w:tcBorders>
              <w:top w:val="nil"/>
              <w:left w:val="nil"/>
              <w:bottom w:val="single" w:sz="4" w:space="0" w:color="auto"/>
              <w:right w:val="single" w:sz="4" w:space="0" w:color="auto"/>
            </w:tcBorders>
            <w:shd w:val="clear" w:color="auto" w:fill="auto"/>
            <w:noWrap/>
            <w:vAlign w:val="center"/>
            <w:hideMark/>
          </w:tcPr>
          <w:p w14:paraId="3EFF26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w:t>
            </w:r>
          </w:p>
        </w:tc>
        <w:tc>
          <w:tcPr>
            <w:tcW w:w="1510" w:type="dxa"/>
            <w:tcBorders>
              <w:top w:val="nil"/>
              <w:left w:val="nil"/>
              <w:bottom w:val="single" w:sz="4" w:space="0" w:color="auto"/>
              <w:right w:val="single" w:sz="4" w:space="0" w:color="auto"/>
            </w:tcBorders>
            <w:shd w:val="clear" w:color="auto" w:fill="auto"/>
            <w:noWrap/>
            <w:vAlign w:val="center"/>
            <w:hideMark/>
          </w:tcPr>
          <w:p w14:paraId="5D8619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w:t>
            </w:r>
          </w:p>
        </w:tc>
        <w:tc>
          <w:tcPr>
            <w:tcW w:w="1516" w:type="dxa"/>
            <w:tcBorders>
              <w:top w:val="nil"/>
              <w:left w:val="nil"/>
              <w:bottom w:val="single" w:sz="4" w:space="0" w:color="auto"/>
              <w:right w:val="single" w:sz="4" w:space="0" w:color="auto"/>
            </w:tcBorders>
            <w:shd w:val="clear" w:color="auto" w:fill="auto"/>
            <w:noWrap/>
            <w:vAlign w:val="center"/>
            <w:hideMark/>
          </w:tcPr>
          <w:p w14:paraId="7C914D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w:t>
            </w:r>
          </w:p>
        </w:tc>
        <w:tc>
          <w:tcPr>
            <w:tcW w:w="1510" w:type="dxa"/>
            <w:tcBorders>
              <w:top w:val="nil"/>
              <w:left w:val="nil"/>
              <w:bottom w:val="single" w:sz="4" w:space="0" w:color="auto"/>
              <w:right w:val="single" w:sz="4" w:space="0" w:color="auto"/>
            </w:tcBorders>
            <w:shd w:val="clear" w:color="auto" w:fill="auto"/>
            <w:noWrap/>
            <w:vAlign w:val="center"/>
            <w:hideMark/>
          </w:tcPr>
          <w:p w14:paraId="6D5C49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w:t>
            </w:r>
          </w:p>
        </w:tc>
        <w:tc>
          <w:tcPr>
            <w:tcW w:w="1531" w:type="dxa"/>
            <w:tcBorders>
              <w:top w:val="nil"/>
              <w:left w:val="nil"/>
              <w:bottom w:val="single" w:sz="4" w:space="0" w:color="auto"/>
              <w:right w:val="single" w:sz="4" w:space="0" w:color="auto"/>
            </w:tcBorders>
            <w:shd w:val="clear" w:color="auto" w:fill="auto"/>
            <w:noWrap/>
            <w:vAlign w:val="center"/>
            <w:hideMark/>
          </w:tcPr>
          <w:p w14:paraId="087C5A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£5.12</w:t>
            </w:r>
          </w:p>
        </w:tc>
      </w:tr>
      <w:tr w:rsidR="004433D7" w:rsidRPr="004433D7" w14:paraId="5A155BA0"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C682F3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lastRenderedPageBreak/>
              <w:t>Sinq</w:t>
            </w:r>
            <w:proofErr w:type="spellEnd"/>
            <w:r w:rsidRPr="004433D7">
              <w:rPr>
                <w:rFonts w:eastAsia="Times New Roman" w:cs="Times New Roman"/>
                <w:color w:val="000000"/>
                <w:sz w:val="16"/>
                <w:szCs w:val="16"/>
              </w:rPr>
              <w:t xml:space="preserve">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13E6F6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£11,046.34</w:t>
            </w:r>
          </w:p>
        </w:tc>
        <w:tc>
          <w:tcPr>
            <w:tcW w:w="1510" w:type="dxa"/>
            <w:tcBorders>
              <w:top w:val="nil"/>
              <w:left w:val="nil"/>
              <w:bottom w:val="single" w:sz="4" w:space="0" w:color="auto"/>
              <w:right w:val="single" w:sz="4" w:space="0" w:color="auto"/>
            </w:tcBorders>
            <w:shd w:val="clear" w:color="auto" w:fill="auto"/>
            <w:noWrap/>
            <w:vAlign w:val="center"/>
            <w:hideMark/>
          </w:tcPr>
          <w:p w14:paraId="1E939F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£2,761.58</w:t>
            </w:r>
          </w:p>
        </w:tc>
        <w:tc>
          <w:tcPr>
            <w:tcW w:w="1510" w:type="dxa"/>
            <w:tcBorders>
              <w:top w:val="nil"/>
              <w:left w:val="nil"/>
              <w:bottom w:val="single" w:sz="4" w:space="0" w:color="auto"/>
              <w:right w:val="single" w:sz="4" w:space="0" w:color="auto"/>
            </w:tcBorders>
            <w:shd w:val="clear" w:color="auto" w:fill="auto"/>
            <w:noWrap/>
            <w:vAlign w:val="center"/>
            <w:hideMark/>
          </w:tcPr>
          <w:p w14:paraId="206457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£2,761.58</w:t>
            </w:r>
          </w:p>
        </w:tc>
        <w:tc>
          <w:tcPr>
            <w:tcW w:w="1516" w:type="dxa"/>
            <w:tcBorders>
              <w:top w:val="nil"/>
              <w:left w:val="nil"/>
              <w:bottom w:val="single" w:sz="4" w:space="0" w:color="auto"/>
              <w:right w:val="single" w:sz="4" w:space="0" w:color="auto"/>
            </w:tcBorders>
            <w:shd w:val="clear" w:color="auto" w:fill="auto"/>
            <w:noWrap/>
            <w:vAlign w:val="center"/>
            <w:hideMark/>
          </w:tcPr>
          <w:p w14:paraId="4477DF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£2,761.58</w:t>
            </w:r>
          </w:p>
        </w:tc>
        <w:tc>
          <w:tcPr>
            <w:tcW w:w="1510" w:type="dxa"/>
            <w:tcBorders>
              <w:top w:val="nil"/>
              <w:left w:val="nil"/>
              <w:bottom w:val="single" w:sz="4" w:space="0" w:color="auto"/>
              <w:right w:val="single" w:sz="4" w:space="0" w:color="auto"/>
            </w:tcBorders>
            <w:shd w:val="clear" w:color="auto" w:fill="auto"/>
            <w:noWrap/>
            <w:vAlign w:val="center"/>
            <w:hideMark/>
          </w:tcPr>
          <w:p w14:paraId="45D664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£2,761.58</w:t>
            </w:r>
          </w:p>
        </w:tc>
        <w:tc>
          <w:tcPr>
            <w:tcW w:w="1531" w:type="dxa"/>
            <w:tcBorders>
              <w:top w:val="nil"/>
              <w:left w:val="nil"/>
              <w:bottom w:val="single" w:sz="4" w:space="0" w:color="auto"/>
              <w:right w:val="single" w:sz="4" w:space="0" w:color="auto"/>
            </w:tcBorders>
            <w:shd w:val="clear" w:color="auto" w:fill="auto"/>
            <w:noWrap/>
            <w:vAlign w:val="center"/>
            <w:hideMark/>
          </w:tcPr>
          <w:p w14:paraId="4CE722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£11,046.32</w:t>
            </w:r>
          </w:p>
        </w:tc>
      </w:tr>
      <w:tr w:rsidR="004433D7" w:rsidRPr="004433D7" w14:paraId="1070C8A6"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068EAD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526" w:type="dxa"/>
            <w:tcBorders>
              <w:top w:val="nil"/>
              <w:left w:val="nil"/>
              <w:bottom w:val="single" w:sz="4" w:space="0" w:color="auto"/>
              <w:right w:val="single" w:sz="4" w:space="0" w:color="auto"/>
            </w:tcBorders>
            <w:shd w:val="clear" w:color="auto" w:fill="auto"/>
            <w:noWrap/>
            <w:vAlign w:val="center"/>
            <w:hideMark/>
          </w:tcPr>
          <w:p w14:paraId="5405C1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£1,413,397.31</w:t>
            </w:r>
          </w:p>
        </w:tc>
        <w:tc>
          <w:tcPr>
            <w:tcW w:w="1510" w:type="dxa"/>
            <w:tcBorders>
              <w:top w:val="nil"/>
              <w:left w:val="nil"/>
              <w:bottom w:val="single" w:sz="4" w:space="0" w:color="auto"/>
              <w:right w:val="single" w:sz="4" w:space="0" w:color="auto"/>
            </w:tcBorders>
            <w:shd w:val="clear" w:color="auto" w:fill="auto"/>
            <w:noWrap/>
            <w:vAlign w:val="center"/>
            <w:hideMark/>
          </w:tcPr>
          <w:p w14:paraId="7BE98A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£353,349.33</w:t>
            </w:r>
          </w:p>
        </w:tc>
        <w:tc>
          <w:tcPr>
            <w:tcW w:w="1510" w:type="dxa"/>
            <w:tcBorders>
              <w:top w:val="nil"/>
              <w:left w:val="nil"/>
              <w:bottom w:val="single" w:sz="4" w:space="0" w:color="auto"/>
              <w:right w:val="single" w:sz="4" w:space="0" w:color="auto"/>
            </w:tcBorders>
            <w:shd w:val="clear" w:color="auto" w:fill="auto"/>
            <w:noWrap/>
            <w:vAlign w:val="center"/>
            <w:hideMark/>
          </w:tcPr>
          <w:p w14:paraId="496C96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£353,349.33</w:t>
            </w:r>
          </w:p>
        </w:tc>
        <w:tc>
          <w:tcPr>
            <w:tcW w:w="1516" w:type="dxa"/>
            <w:tcBorders>
              <w:top w:val="nil"/>
              <w:left w:val="nil"/>
              <w:bottom w:val="single" w:sz="4" w:space="0" w:color="auto"/>
              <w:right w:val="single" w:sz="4" w:space="0" w:color="auto"/>
            </w:tcBorders>
            <w:shd w:val="clear" w:color="auto" w:fill="auto"/>
            <w:noWrap/>
            <w:vAlign w:val="center"/>
            <w:hideMark/>
          </w:tcPr>
          <w:p w14:paraId="65C738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£353,349.33</w:t>
            </w:r>
          </w:p>
        </w:tc>
        <w:tc>
          <w:tcPr>
            <w:tcW w:w="1510" w:type="dxa"/>
            <w:tcBorders>
              <w:top w:val="nil"/>
              <w:left w:val="nil"/>
              <w:bottom w:val="single" w:sz="4" w:space="0" w:color="auto"/>
              <w:right w:val="single" w:sz="4" w:space="0" w:color="auto"/>
            </w:tcBorders>
            <w:shd w:val="clear" w:color="auto" w:fill="auto"/>
            <w:noWrap/>
            <w:vAlign w:val="center"/>
            <w:hideMark/>
          </w:tcPr>
          <w:p w14:paraId="26C933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£353,349.33</w:t>
            </w:r>
          </w:p>
        </w:tc>
        <w:tc>
          <w:tcPr>
            <w:tcW w:w="1531" w:type="dxa"/>
            <w:tcBorders>
              <w:top w:val="nil"/>
              <w:left w:val="nil"/>
              <w:bottom w:val="single" w:sz="4" w:space="0" w:color="auto"/>
              <w:right w:val="single" w:sz="4" w:space="0" w:color="auto"/>
            </w:tcBorders>
            <w:shd w:val="clear" w:color="auto" w:fill="auto"/>
            <w:noWrap/>
            <w:vAlign w:val="center"/>
            <w:hideMark/>
          </w:tcPr>
          <w:p w14:paraId="0FD243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£1,413,397.32</w:t>
            </w:r>
          </w:p>
        </w:tc>
      </w:tr>
      <w:tr w:rsidR="004433D7" w:rsidRPr="004433D7" w14:paraId="5341EA5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51CE2FF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 Energy Trading Limited</w:t>
            </w:r>
          </w:p>
        </w:tc>
        <w:tc>
          <w:tcPr>
            <w:tcW w:w="1526" w:type="dxa"/>
            <w:tcBorders>
              <w:top w:val="nil"/>
              <w:left w:val="nil"/>
              <w:bottom w:val="single" w:sz="4" w:space="0" w:color="auto"/>
              <w:right w:val="single" w:sz="4" w:space="0" w:color="auto"/>
            </w:tcBorders>
            <w:shd w:val="clear" w:color="auto" w:fill="auto"/>
            <w:noWrap/>
            <w:vAlign w:val="center"/>
            <w:hideMark/>
          </w:tcPr>
          <w:p w14:paraId="6E120D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£33,094.99</w:t>
            </w:r>
          </w:p>
        </w:tc>
        <w:tc>
          <w:tcPr>
            <w:tcW w:w="1510" w:type="dxa"/>
            <w:tcBorders>
              <w:top w:val="nil"/>
              <w:left w:val="nil"/>
              <w:bottom w:val="single" w:sz="4" w:space="0" w:color="auto"/>
              <w:right w:val="single" w:sz="4" w:space="0" w:color="auto"/>
            </w:tcBorders>
            <w:shd w:val="clear" w:color="auto" w:fill="auto"/>
            <w:noWrap/>
            <w:vAlign w:val="center"/>
            <w:hideMark/>
          </w:tcPr>
          <w:p w14:paraId="45A6CA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£8,273.75</w:t>
            </w:r>
          </w:p>
        </w:tc>
        <w:tc>
          <w:tcPr>
            <w:tcW w:w="1510" w:type="dxa"/>
            <w:tcBorders>
              <w:top w:val="nil"/>
              <w:left w:val="nil"/>
              <w:bottom w:val="single" w:sz="4" w:space="0" w:color="auto"/>
              <w:right w:val="single" w:sz="4" w:space="0" w:color="auto"/>
            </w:tcBorders>
            <w:shd w:val="clear" w:color="auto" w:fill="auto"/>
            <w:noWrap/>
            <w:vAlign w:val="center"/>
            <w:hideMark/>
          </w:tcPr>
          <w:p w14:paraId="2AA726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£8,273.75</w:t>
            </w:r>
          </w:p>
        </w:tc>
        <w:tc>
          <w:tcPr>
            <w:tcW w:w="1516" w:type="dxa"/>
            <w:tcBorders>
              <w:top w:val="nil"/>
              <w:left w:val="nil"/>
              <w:bottom w:val="single" w:sz="4" w:space="0" w:color="auto"/>
              <w:right w:val="single" w:sz="4" w:space="0" w:color="auto"/>
            </w:tcBorders>
            <w:shd w:val="clear" w:color="auto" w:fill="auto"/>
            <w:noWrap/>
            <w:vAlign w:val="center"/>
            <w:hideMark/>
          </w:tcPr>
          <w:p w14:paraId="697E88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£8,273.75</w:t>
            </w:r>
          </w:p>
        </w:tc>
        <w:tc>
          <w:tcPr>
            <w:tcW w:w="1510" w:type="dxa"/>
            <w:tcBorders>
              <w:top w:val="nil"/>
              <w:left w:val="nil"/>
              <w:bottom w:val="single" w:sz="4" w:space="0" w:color="auto"/>
              <w:right w:val="single" w:sz="4" w:space="0" w:color="auto"/>
            </w:tcBorders>
            <w:shd w:val="clear" w:color="auto" w:fill="auto"/>
            <w:noWrap/>
            <w:vAlign w:val="center"/>
            <w:hideMark/>
          </w:tcPr>
          <w:p w14:paraId="36494B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£8,273.75</w:t>
            </w:r>
          </w:p>
        </w:tc>
        <w:tc>
          <w:tcPr>
            <w:tcW w:w="1531" w:type="dxa"/>
            <w:tcBorders>
              <w:top w:val="nil"/>
              <w:left w:val="nil"/>
              <w:bottom w:val="single" w:sz="4" w:space="0" w:color="auto"/>
              <w:right w:val="single" w:sz="4" w:space="0" w:color="auto"/>
            </w:tcBorders>
            <w:shd w:val="clear" w:color="auto" w:fill="auto"/>
            <w:noWrap/>
            <w:vAlign w:val="center"/>
            <w:hideMark/>
          </w:tcPr>
          <w:p w14:paraId="34EF16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£33,095.00</w:t>
            </w:r>
          </w:p>
        </w:tc>
      </w:tr>
      <w:tr w:rsidR="004433D7" w:rsidRPr="004433D7" w14:paraId="13175480"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2C78C0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Solarplicity</w:t>
            </w:r>
            <w:proofErr w:type="spellEnd"/>
            <w:r w:rsidRPr="004433D7">
              <w:rPr>
                <w:rFonts w:eastAsia="Times New Roman" w:cs="Times New Roman"/>
                <w:color w:val="000000"/>
                <w:sz w:val="16"/>
                <w:szCs w:val="16"/>
              </w:rPr>
              <w:t xml:space="preserve">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5C54D2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£20,897.73</w:t>
            </w:r>
          </w:p>
        </w:tc>
        <w:tc>
          <w:tcPr>
            <w:tcW w:w="1510" w:type="dxa"/>
            <w:tcBorders>
              <w:top w:val="nil"/>
              <w:left w:val="nil"/>
              <w:bottom w:val="single" w:sz="4" w:space="0" w:color="auto"/>
              <w:right w:val="single" w:sz="4" w:space="0" w:color="auto"/>
            </w:tcBorders>
            <w:shd w:val="clear" w:color="auto" w:fill="auto"/>
            <w:noWrap/>
            <w:vAlign w:val="center"/>
            <w:hideMark/>
          </w:tcPr>
          <w:p w14:paraId="3D1765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5AA04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268BD7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DD94C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44B98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05CA35CD"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01115C6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12120A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£4,631.31</w:t>
            </w:r>
          </w:p>
        </w:tc>
        <w:tc>
          <w:tcPr>
            <w:tcW w:w="1510" w:type="dxa"/>
            <w:tcBorders>
              <w:top w:val="nil"/>
              <w:left w:val="nil"/>
              <w:bottom w:val="single" w:sz="4" w:space="0" w:color="auto"/>
              <w:right w:val="single" w:sz="4" w:space="0" w:color="auto"/>
            </w:tcBorders>
            <w:shd w:val="clear" w:color="auto" w:fill="auto"/>
            <w:noWrap/>
            <w:vAlign w:val="center"/>
            <w:hideMark/>
          </w:tcPr>
          <w:p w14:paraId="59183E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£1,157.83</w:t>
            </w:r>
          </w:p>
        </w:tc>
        <w:tc>
          <w:tcPr>
            <w:tcW w:w="1510" w:type="dxa"/>
            <w:tcBorders>
              <w:top w:val="nil"/>
              <w:left w:val="nil"/>
              <w:bottom w:val="single" w:sz="4" w:space="0" w:color="auto"/>
              <w:right w:val="single" w:sz="4" w:space="0" w:color="auto"/>
            </w:tcBorders>
            <w:shd w:val="clear" w:color="auto" w:fill="auto"/>
            <w:noWrap/>
            <w:vAlign w:val="center"/>
            <w:hideMark/>
          </w:tcPr>
          <w:p w14:paraId="12157B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£1,157.83</w:t>
            </w:r>
          </w:p>
        </w:tc>
        <w:tc>
          <w:tcPr>
            <w:tcW w:w="1516" w:type="dxa"/>
            <w:tcBorders>
              <w:top w:val="nil"/>
              <w:left w:val="nil"/>
              <w:bottom w:val="single" w:sz="4" w:space="0" w:color="auto"/>
              <w:right w:val="single" w:sz="4" w:space="0" w:color="auto"/>
            </w:tcBorders>
            <w:shd w:val="clear" w:color="auto" w:fill="auto"/>
            <w:noWrap/>
            <w:vAlign w:val="center"/>
            <w:hideMark/>
          </w:tcPr>
          <w:p w14:paraId="5D1DB2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£1,157.83</w:t>
            </w:r>
          </w:p>
        </w:tc>
        <w:tc>
          <w:tcPr>
            <w:tcW w:w="1510" w:type="dxa"/>
            <w:tcBorders>
              <w:top w:val="nil"/>
              <w:left w:val="nil"/>
              <w:bottom w:val="single" w:sz="4" w:space="0" w:color="auto"/>
              <w:right w:val="single" w:sz="4" w:space="0" w:color="auto"/>
            </w:tcBorders>
            <w:shd w:val="clear" w:color="auto" w:fill="auto"/>
            <w:noWrap/>
            <w:vAlign w:val="center"/>
            <w:hideMark/>
          </w:tcPr>
          <w:p w14:paraId="575C8F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£1,170.09</w:t>
            </w:r>
          </w:p>
        </w:tc>
        <w:tc>
          <w:tcPr>
            <w:tcW w:w="1531" w:type="dxa"/>
            <w:tcBorders>
              <w:top w:val="nil"/>
              <w:left w:val="nil"/>
              <w:bottom w:val="single" w:sz="4" w:space="0" w:color="auto"/>
              <w:right w:val="single" w:sz="4" w:space="0" w:color="auto"/>
            </w:tcBorders>
            <w:shd w:val="clear" w:color="auto" w:fill="auto"/>
            <w:noWrap/>
            <w:vAlign w:val="center"/>
            <w:hideMark/>
          </w:tcPr>
          <w:p w14:paraId="1501EC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£4,643.58</w:t>
            </w:r>
          </w:p>
        </w:tc>
      </w:tr>
      <w:tr w:rsidR="004433D7" w:rsidRPr="004433D7" w14:paraId="1160938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97EA2F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4A3F69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£6,285,453.53</w:t>
            </w:r>
          </w:p>
        </w:tc>
        <w:tc>
          <w:tcPr>
            <w:tcW w:w="1510" w:type="dxa"/>
            <w:tcBorders>
              <w:top w:val="nil"/>
              <w:left w:val="nil"/>
              <w:bottom w:val="single" w:sz="4" w:space="0" w:color="auto"/>
              <w:right w:val="single" w:sz="4" w:space="0" w:color="auto"/>
            </w:tcBorders>
            <w:shd w:val="clear" w:color="auto" w:fill="auto"/>
            <w:noWrap/>
            <w:vAlign w:val="center"/>
            <w:hideMark/>
          </w:tcPr>
          <w:p w14:paraId="7DB1BB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£1,571,363.38</w:t>
            </w:r>
          </w:p>
        </w:tc>
        <w:tc>
          <w:tcPr>
            <w:tcW w:w="1510" w:type="dxa"/>
            <w:tcBorders>
              <w:top w:val="nil"/>
              <w:left w:val="nil"/>
              <w:bottom w:val="single" w:sz="4" w:space="0" w:color="auto"/>
              <w:right w:val="single" w:sz="4" w:space="0" w:color="auto"/>
            </w:tcBorders>
            <w:shd w:val="clear" w:color="auto" w:fill="auto"/>
            <w:noWrap/>
            <w:vAlign w:val="center"/>
            <w:hideMark/>
          </w:tcPr>
          <w:p w14:paraId="2667C9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£1,571,363.38</w:t>
            </w:r>
          </w:p>
        </w:tc>
        <w:tc>
          <w:tcPr>
            <w:tcW w:w="1516" w:type="dxa"/>
            <w:tcBorders>
              <w:top w:val="nil"/>
              <w:left w:val="nil"/>
              <w:bottom w:val="single" w:sz="4" w:space="0" w:color="auto"/>
              <w:right w:val="single" w:sz="4" w:space="0" w:color="auto"/>
            </w:tcBorders>
            <w:shd w:val="clear" w:color="auto" w:fill="auto"/>
            <w:noWrap/>
            <w:vAlign w:val="center"/>
            <w:hideMark/>
          </w:tcPr>
          <w:p w14:paraId="76A562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£1,571,363.38</w:t>
            </w:r>
          </w:p>
        </w:tc>
        <w:tc>
          <w:tcPr>
            <w:tcW w:w="1510" w:type="dxa"/>
            <w:tcBorders>
              <w:top w:val="nil"/>
              <w:left w:val="nil"/>
              <w:bottom w:val="single" w:sz="4" w:space="0" w:color="auto"/>
              <w:right w:val="single" w:sz="4" w:space="0" w:color="auto"/>
            </w:tcBorders>
            <w:shd w:val="clear" w:color="auto" w:fill="auto"/>
            <w:noWrap/>
            <w:vAlign w:val="center"/>
            <w:hideMark/>
          </w:tcPr>
          <w:p w14:paraId="41B0A3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£1,571,363.38</w:t>
            </w:r>
          </w:p>
        </w:tc>
        <w:tc>
          <w:tcPr>
            <w:tcW w:w="1531" w:type="dxa"/>
            <w:tcBorders>
              <w:top w:val="nil"/>
              <w:left w:val="nil"/>
              <w:bottom w:val="single" w:sz="4" w:space="0" w:color="auto"/>
              <w:right w:val="single" w:sz="4" w:space="0" w:color="auto"/>
            </w:tcBorders>
            <w:shd w:val="clear" w:color="auto" w:fill="auto"/>
            <w:noWrap/>
            <w:vAlign w:val="center"/>
            <w:hideMark/>
          </w:tcPr>
          <w:p w14:paraId="3074F1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£6,285,453.52</w:t>
            </w:r>
          </w:p>
        </w:tc>
      </w:tr>
      <w:tr w:rsidR="004433D7" w:rsidRPr="004433D7" w14:paraId="1C43B3B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107D94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Statkraft</w:t>
            </w:r>
            <w:proofErr w:type="spellEnd"/>
            <w:r w:rsidRPr="004433D7">
              <w:rPr>
                <w:rFonts w:eastAsia="Times New Roman" w:cs="Times New Roman"/>
                <w:color w:val="000000"/>
                <w:sz w:val="16"/>
                <w:szCs w:val="16"/>
              </w:rPr>
              <w:t xml:space="preserve"> Markets GmbH</w:t>
            </w:r>
          </w:p>
        </w:tc>
        <w:tc>
          <w:tcPr>
            <w:tcW w:w="1526" w:type="dxa"/>
            <w:tcBorders>
              <w:top w:val="nil"/>
              <w:left w:val="nil"/>
              <w:bottom w:val="single" w:sz="4" w:space="0" w:color="auto"/>
              <w:right w:val="single" w:sz="4" w:space="0" w:color="auto"/>
            </w:tcBorders>
            <w:shd w:val="clear" w:color="auto" w:fill="auto"/>
            <w:noWrap/>
            <w:vAlign w:val="center"/>
            <w:hideMark/>
          </w:tcPr>
          <w:p w14:paraId="6527B7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£4.10</w:t>
            </w:r>
          </w:p>
        </w:tc>
        <w:tc>
          <w:tcPr>
            <w:tcW w:w="1510" w:type="dxa"/>
            <w:tcBorders>
              <w:top w:val="nil"/>
              <w:left w:val="nil"/>
              <w:bottom w:val="single" w:sz="4" w:space="0" w:color="auto"/>
              <w:right w:val="single" w:sz="4" w:space="0" w:color="auto"/>
            </w:tcBorders>
            <w:shd w:val="clear" w:color="auto" w:fill="auto"/>
            <w:noWrap/>
            <w:vAlign w:val="center"/>
            <w:hideMark/>
          </w:tcPr>
          <w:p w14:paraId="3FB414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£4.08</w:t>
            </w:r>
          </w:p>
        </w:tc>
        <w:tc>
          <w:tcPr>
            <w:tcW w:w="1510" w:type="dxa"/>
            <w:tcBorders>
              <w:top w:val="nil"/>
              <w:left w:val="nil"/>
              <w:bottom w:val="single" w:sz="4" w:space="0" w:color="auto"/>
              <w:right w:val="single" w:sz="4" w:space="0" w:color="auto"/>
            </w:tcBorders>
            <w:shd w:val="clear" w:color="auto" w:fill="auto"/>
            <w:noWrap/>
            <w:vAlign w:val="center"/>
            <w:hideMark/>
          </w:tcPr>
          <w:p w14:paraId="7A865F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0FF7C9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FF97A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0D6D2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£4.08</w:t>
            </w:r>
          </w:p>
        </w:tc>
      </w:tr>
      <w:tr w:rsidR="004433D7" w:rsidRPr="004433D7" w14:paraId="48A8DF4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6C51C87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Switch Business Gas and Power Ltd</w:t>
            </w:r>
          </w:p>
        </w:tc>
        <w:tc>
          <w:tcPr>
            <w:tcW w:w="1526" w:type="dxa"/>
            <w:tcBorders>
              <w:top w:val="nil"/>
              <w:left w:val="nil"/>
              <w:bottom w:val="single" w:sz="4" w:space="0" w:color="auto"/>
              <w:right w:val="single" w:sz="4" w:space="0" w:color="auto"/>
            </w:tcBorders>
            <w:shd w:val="clear" w:color="auto" w:fill="auto"/>
            <w:noWrap/>
            <w:vAlign w:val="center"/>
            <w:hideMark/>
          </w:tcPr>
          <w:p w14:paraId="188499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£300.02</w:t>
            </w:r>
          </w:p>
        </w:tc>
        <w:tc>
          <w:tcPr>
            <w:tcW w:w="1510" w:type="dxa"/>
            <w:tcBorders>
              <w:top w:val="nil"/>
              <w:left w:val="nil"/>
              <w:bottom w:val="single" w:sz="4" w:space="0" w:color="auto"/>
              <w:right w:val="single" w:sz="4" w:space="0" w:color="auto"/>
            </w:tcBorders>
            <w:shd w:val="clear" w:color="auto" w:fill="auto"/>
            <w:noWrap/>
            <w:vAlign w:val="center"/>
            <w:hideMark/>
          </w:tcPr>
          <w:p w14:paraId="320B6C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£75.00</w:t>
            </w:r>
          </w:p>
        </w:tc>
        <w:tc>
          <w:tcPr>
            <w:tcW w:w="1510" w:type="dxa"/>
            <w:tcBorders>
              <w:top w:val="nil"/>
              <w:left w:val="nil"/>
              <w:bottom w:val="single" w:sz="4" w:space="0" w:color="auto"/>
              <w:right w:val="single" w:sz="4" w:space="0" w:color="auto"/>
            </w:tcBorders>
            <w:shd w:val="clear" w:color="auto" w:fill="auto"/>
            <w:noWrap/>
            <w:vAlign w:val="center"/>
            <w:hideMark/>
          </w:tcPr>
          <w:p w14:paraId="7B4236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£75.00</w:t>
            </w:r>
          </w:p>
        </w:tc>
        <w:tc>
          <w:tcPr>
            <w:tcW w:w="1516" w:type="dxa"/>
            <w:tcBorders>
              <w:top w:val="nil"/>
              <w:left w:val="nil"/>
              <w:bottom w:val="single" w:sz="4" w:space="0" w:color="auto"/>
              <w:right w:val="single" w:sz="4" w:space="0" w:color="auto"/>
            </w:tcBorders>
            <w:shd w:val="clear" w:color="auto" w:fill="auto"/>
            <w:noWrap/>
            <w:vAlign w:val="center"/>
            <w:hideMark/>
          </w:tcPr>
          <w:p w14:paraId="36343D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£75.00</w:t>
            </w:r>
          </w:p>
        </w:tc>
        <w:tc>
          <w:tcPr>
            <w:tcW w:w="1510" w:type="dxa"/>
            <w:tcBorders>
              <w:top w:val="nil"/>
              <w:left w:val="nil"/>
              <w:bottom w:val="single" w:sz="4" w:space="0" w:color="auto"/>
              <w:right w:val="single" w:sz="4" w:space="0" w:color="auto"/>
            </w:tcBorders>
            <w:shd w:val="clear" w:color="auto" w:fill="auto"/>
            <w:noWrap/>
            <w:vAlign w:val="center"/>
            <w:hideMark/>
          </w:tcPr>
          <w:p w14:paraId="0D20B1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£75.00</w:t>
            </w:r>
          </w:p>
        </w:tc>
        <w:tc>
          <w:tcPr>
            <w:tcW w:w="1531" w:type="dxa"/>
            <w:tcBorders>
              <w:top w:val="nil"/>
              <w:left w:val="nil"/>
              <w:bottom w:val="single" w:sz="4" w:space="0" w:color="auto"/>
              <w:right w:val="single" w:sz="4" w:space="0" w:color="auto"/>
            </w:tcBorders>
            <w:shd w:val="clear" w:color="auto" w:fill="auto"/>
            <w:noWrap/>
            <w:vAlign w:val="center"/>
            <w:hideMark/>
          </w:tcPr>
          <w:p w14:paraId="3A361A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£300.00</w:t>
            </w:r>
          </w:p>
        </w:tc>
      </w:tr>
      <w:tr w:rsidR="004433D7" w:rsidRPr="004433D7" w14:paraId="1DEEEA29"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18A1DC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Symbio</w:t>
            </w:r>
            <w:proofErr w:type="spellEnd"/>
            <w:r w:rsidRPr="004433D7">
              <w:rPr>
                <w:rFonts w:eastAsia="Times New Roman" w:cs="Times New Roman"/>
                <w:color w:val="000000"/>
                <w:sz w:val="16"/>
                <w:szCs w:val="16"/>
              </w:rPr>
              <w:t xml:space="preserve"> Energy LLP (TA </w:t>
            </w:r>
            <w:proofErr w:type="spellStart"/>
            <w:r w:rsidRPr="004433D7">
              <w:rPr>
                <w:rFonts w:eastAsia="Times New Roman" w:cs="Times New Roman"/>
                <w:color w:val="000000"/>
                <w:sz w:val="16"/>
                <w:szCs w:val="16"/>
              </w:rPr>
              <w:t>Symbio</w:t>
            </w:r>
            <w:proofErr w:type="spellEnd"/>
            <w:r w:rsidRPr="004433D7">
              <w:rPr>
                <w:rFonts w:eastAsia="Times New Roman" w:cs="Times New Roman"/>
                <w:color w:val="000000"/>
                <w:sz w:val="16"/>
                <w:szCs w:val="16"/>
              </w:rPr>
              <w:t xml:space="preserve"> Energy Ltd)</w:t>
            </w:r>
          </w:p>
        </w:tc>
        <w:tc>
          <w:tcPr>
            <w:tcW w:w="1526" w:type="dxa"/>
            <w:tcBorders>
              <w:top w:val="nil"/>
              <w:left w:val="nil"/>
              <w:bottom w:val="single" w:sz="4" w:space="0" w:color="auto"/>
              <w:right w:val="single" w:sz="4" w:space="0" w:color="auto"/>
            </w:tcBorders>
            <w:shd w:val="clear" w:color="auto" w:fill="auto"/>
            <w:noWrap/>
            <w:vAlign w:val="center"/>
            <w:hideMark/>
          </w:tcPr>
          <w:p w14:paraId="7AA623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£138.23</w:t>
            </w:r>
          </w:p>
        </w:tc>
        <w:tc>
          <w:tcPr>
            <w:tcW w:w="1510" w:type="dxa"/>
            <w:tcBorders>
              <w:top w:val="nil"/>
              <w:left w:val="nil"/>
              <w:bottom w:val="single" w:sz="4" w:space="0" w:color="auto"/>
              <w:right w:val="single" w:sz="4" w:space="0" w:color="auto"/>
            </w:tcBorders>
            <w:shd w:val="clear" w:color="auto" w:fill="auto"/>
            <w:noWrap/>
            <w:vAlign w:val="center"/>
            <w:hideMark/>
          </w:tcPr>
          <w:p w14:paraId="529D90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£34.56</w:t>
            </w:r>
          </w:p>
        </w:tc>
        <w:tc>
          <w:tcPr>
            <w:tcW w:w="1510" w:type="dxa"/>
            <w:tcBorders>
              <w:top w:val="nil"/>
              <w:left w:val="nil"/>
              <w:bottom w:val="single" w:sz="4" w:space="0" w:color="auto"/>
              <w:right w:val="single" w:sz="4" w:space="0" w:color="auto"/>
            </w:tcBorders>
            <w:shd w:val="clear" w:color="auto" w:fill="auto"/>
            <w:noWrap/>
            <w:vAlign w:val="center"/>
            <w:hideMark/>
          </w:tcPr>
          <w:p w14:paraId="01B513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£34.56</w:t>
            </w:r>
          </w:p>
        </w:tc>
        <w:tc>
          <w:tcPr>
            <w:tcW w:w="1516" w:type="dxa"/>
            <w:tcBorders>
              <w:top w:val="nil"/>
              <w:left w:val="nil"/>
              <w:bottom w:val="single" w:sz="4" w:space="0" w:color="auto"/>
              <w:right w:val="single" w:sz="4" w:space="0" w:color="auto"/>
            </w:tcBorders>
            <w:shd w:val="clear" w:color="auto" w:fill="auto"/>
            <w:noWrap/>
            <w:vAlign w:val="center"/>
            <w:hideMark/>
          </w:tcPr>
          <w:p w14:paraId="1AB898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£34.56</w:t>
            </w:r>
          </w:p>
        </w:tc>
        <w:tc>
          <w:tcPr>
            <w:tcW w:w="1510" w:type="dxa"/>
            <w:tcBorders>
              <w:top w:val="nil"/>
              <w:left w:val="nil"/>
              <w:bottom w:val="single" w:sz="4" w:space="0" w:color="auto"/>
              <w:right w:val="single" w:sz="4" w:space="0" w:color="auto"/>
            </w:tcBorders>
            <w:shd w:val="clear" w:color="auto" w:fill="auto"/>
            <w:noWrap/>
            <w:vAlign w:val="center"/>
            <w:hideMark/>
          </w:tcPr>
          <w:p w14:paraId="36D21D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£34.56</w:t>
            </w:r>
          </w:p>
        </w:tc>
        <w:tc>
          <w:tcPr>
            <w:tcW w:w="1531" w:type="dxa"/>
            <w:tcBorders>
              <w:top w:val="nil"/>
              <w:left w:val="nil"/>
              <w:bottom w:val="single" w:sz="4" w:space="0" w:color="auto"/>
              <w:right w:val="single" w:sz="4" w:space="0" w:color="auto"/>
            </w:tcBorders>
            <w:shd w:val="clear" w:color="auto" w:fill="auto"/>
            <w:noWrap/>
            <w:vAlign w:val="center"/>
            <w:hideMark/>
          </w:tcPr>
          <w:p w14:paraId="35B5E3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£138.24</w:t>
            </w:r>
          </w:p>
        </w:tc>
      </w:tr>
      <w:tr w:rsidR="004433D7" w:rsidRPr="004433D7" w14:paraId="30C61347"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199DD3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526" w:type="dxa"/>
            <w:tcBorders>
              <w:top w:val="nil"/>
              <w:left w:val="nil"/>
              <w:bottom w:val="single" w:sz="4" w:space="0" w:color="auto"/>
              <w:right w:val="single" w:sz="4" w:space="0" w:color="auto"/>
            </w:tcBorders>
            <w:shd w:val="clear" w:color="auto" w:fill="auto"/>
            <w:noWrap/>
            <w:vAlign w:val="center"/>
            <w:hideMark/>
          </w:tcPr>
          <w:p w14:paraId="36C87B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£150,263.17</w:t>
            </w:r>
          </w:p>
        </w:tc>
        <w:tc>
          <w:tcPr>
            <w:tcW w:w="1510" w:type="dxa"/>
            <w:tcBorders>
              <w:top w:val="nil"/>
              <w:left w:val="nil"/>
              <w:bottom w:val="single" w:sz="4" w:space="0" w:color="auto"/>
              <w:right w:val="single" w:sz="4" w:space="0" w:color="auto"/>
            </w:tcBorders>
            <w:shd w:val="clear" w:color="auto" w:fill="auto"/>
            <w:noWrap/>
            <w:vAlign w:val="center"/>
            <w:hideMark/>
          </w:tcPr>
          <w:p w14:paraId="442DDC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£37,565.79</w:t>
            </w:r>
          </w:p>
        </w:tc>
        <w:tc>
          <w:tcPr>
            <w:tcW w:w="1510" w:type="dxa"/>
            <w:tcBorders>
              <w:top w:val="nil"/>
              <w:left w:val="nil"/>
              <w:bottom w:val="single" w:sz="4" w:space="0" w:color="auto"/>
              <w:right w:val="single" w:sz="4" w:space="0" w:color="auto"/>
            </w:tcBorders>
            <w:shd w:val="clear" w:color="auto" w:fill="auto"/>
            <w:noWrap/>
            <w:vAlign w:val="center"/>
            <w:hideMark/>
          </w:tcPr>
          <w:p w14:paraId="2E699F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£37,565.79</w:t>
            </w:r>
          </w:p>
        </w:tc>
        <w:tc>
          <w:tcPr>
            <w:tcW w:w="1516" w:type="dxa"/>
            <w:tcBorders>
              <w:top w:val="nil"/>
              <w:left w:val="nil"/>
              <w:bottom w:val="single" w:sz="4" w:space="0" w:color="auto"/>
              <w:right w:val="single" w:sz="4" w:space="0" w:color="auto"/>
            </w:tcBorders>
            <w:shd w:val="clear" w:color="auto" w:fill="auto"/>
            <w:noWrap/>
            <w:vAlign w:val="center"/>
            <w:hideMark/>
          </w:tcPr>
          <w:p w14:paraId="250BC7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£37,565.79</w:t>
            </w:r>
          </w:p>
        </w:tc>
        <w:tc>
          <w:tcPr>
            <w:tcW w:w="1510" w:type="dxa"/>
            <w:tcBorders>
              <w:top w:val="nil"/>
              <w:left w:val="nil"/>
              <w:bottom w:val="single" w:sz="4" w:space="0" w:color="auto"/>
              <w:right w:val="single" w:sz="4" w:space="0" w:color="auto"/>
            </w:tcBorders>
            <w:shd w:val="clear" w:color="auto" w:fill="auto"/>
            <w:noWrap/>
            <w:vAlign w:val="center"/>
            <w:hideMark/>
          </w:tcPr>
          <w:p w14:paraId="4FE8D1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£37,565.79</w:t>
            </w:r>
          </w:p>
        </w:tc>
        <w:tc>
          <w:tcPr>
            <w:tcW w:w="1531" w:type="dxa"/>
            <w:tcBorders>
              <w:top w:val="nil"/>
              <w:left w:val="nil"/>
              <w:bottom w:val="single" w:sz="4" w:space="0" w:color="auto"/>
              <w:right w:val="single" w:sz="4" w:space="0" w:color="auto"/>
            </w:tcBorders>
            <w:shd w:val="clear" w:color="auto" w:fill="auto"/>
            <w:noWrap/>
            <w:vAlign w:val="center"/>
            <w:hideMark/>
          </w:tcPr>
          <w:p w14:paraId="31B611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£150,263.16</w:t>
            </w:r>
          </w:p>
        </w:tc>
      </w:tr>
      <w:tr w:rsidR="004433D7" w:rsidRPr="004433D7" w14:paraId="723708FF"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9DE5E7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Together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22DBB7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£8,513.61</w:t>
            </w:r>
          </w:p>
        </w:tc>
        <w:tc>
          <w:tcPr>
            <w:tcW w:w="1510" w:type="dxa"/>
            <w:tcBorders>
              <w:top w:val="nil"/>
              <w:left w:val="nil"/>
              <w:bottom w:val="single" w:sz="4" w:space="0" w:color="auto"/>
              <w:right w:val="single" w:sz="4" w:space="0" w:color="auto"/>
            </w:tcBorders>
            <w:shd w:val="clear" w:color="auto" w:fill="auto"/>
            <w:noWrap/>
            <w:vAlign w:val="center"/>
            <w:hideMark/>
          </w:tcPr>
          <w:p w14:paraId="620D3F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£2,128.40</w:t>
            </w:r>
          </w:p>
        </w:tc>
        <w:tc>
          <w:tcPr>
            <w:tcW w:w="1510" w:type="dxa"/>
            <w:tcBorders>
              <w:top w:val="nil"/>
              <w:left w:val="nil"/>
              <w:bottom w:val="single" w:sz="4" w:space="0" w:color="auto"/>
              <w:right w:val="single" w:sz="4" w:space="0" w:color="auto"/>
            </w:tcBorders>
            <w:shd w:val="clear" w:color="auto" w:fill="auto"/>
            <w:noWrap/>
            <w:vAlign w:val="center"/>
            <w:hideMark/>
          </w:tcPr>
          <w:p w14:paraId="313812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£2,128.40</w:t>
            </w:r>
          </w:p>
        </w:tc>
        <w:tc>
          <w:tcPr>
            <w:tcW w:w="1516" w:type="dxa"/>
            <w:tcBorders>
              <w:top w:val="nil"/>
              <w:left w:val="nil"/>
              <w:bottom w:val="single" w:sz="4" w:space="0" w:color="auto"/>
              <w:right w:val="single" w:sz="4" w:space="0" w:color="auto"/>
            </w:tcBorders>
            <w:shd w:val="clear" w:color="auto" w:fill="auto"/>
            <w:noWrap/>
            <w:vAlign w:val="center"/>
            <w:hideMark/>
          </w:tcPr>
          <w:p w14:paraId="4F1CA8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£2,128.40</w:t>
            </w:r>
          </w:p>
        </w:tc>
        <w:tc>
          <w:tcPr>
            <w:tcW w:w="1510" w:type="dxa"/>
            <w:tcBorders>
              <w:top w:val="nil"/>
              <w:left w:val="nil"/>
              <w:bottom w:val="single" w:sz="4" w:space="0" w:color="auto"/>
              <w:right w:val="single" w:sz="4" w:space="0" w:color="auto"/>
            </w:tcBorders>
            <w:shd w:val="clear" w:color="auto" w:fill="auto"/>
            <w:noWrap/>
            <w:vAlign w:val="center"/>
            <w:hideMark/>
          </w:tcPr>
          <w:p w14:paraId="1980A8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£2,128.40</w:t>
            </w:r>
          </w:p>
        </w:tc>
        <w:tc>
          <w:tcPr>
            <w:tcW w:w="1531" w:type="dxa"/>
            <w:tcBorders>
              <w:top w:val="nil"/>
              <w:left w:val="nil"/>
              <w:bottom w:val="single" w:sz="4" w:space="0" w:color="auto"/>
              <w:right w:val="single" w:sz="4" w:space="0" w:color="auto"/>
            </w:tcBorders>
            <w:shd w:val="clear" w:color="auto" w:fill="auto"/>
            <w:noWrap/>
            <w:vAlign w:val="center"/>
            <w:hideMark/>
          </w:tcPr>
          <w:p w14:paraId="77D2EF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£8,513.60</w:t>
            </w:r>
          </w:p>
        </w:tc>
      </w:tr>
      <w:tr w:rsidR="004433D7" w:rsidRPr="004433D7" w14:paraId="2F7181C3"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461230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D89E8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£18,443.84</w:t>
            </w:r>
          </w:p>
        </w:tc>
        <w:tc>
          <w:tcPr>
            <w:tcW w:w="1510" w:type="dxa"/>
            <w:tcBorders>
              <w:top w:val="nil"/>
              <w:left w:val="nil"/>
              <w:bottom w:val="single" w:sz="4" w:space="0" w:color="auto"/>
              <w:right w:val="single" w:sz="4" w:space="0" w:color="auto"/>
            </w:tcBorders>
            <w:shd w:val="clear" w:color="auto" w:fill="auto"/>
            <w:noWrap/>
            <w:vAlign w:val="center"/>
            <w:hideMark/>
          </w:tcPr>
          <w:p w14:paraId="0EAD88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£4,610.96</w:t>
            </w:r>
          </w:p>
        </w:tc>
        <w:tc>
          <w:tcPr>
            <w:tcW w:w="1510" w:type="dxa"/>
            <w:tcBorders>
              <w:top w:val="nil"/>
              <w:left w:val="nil"/>
              <w:bottom w:val="single" w:sz="4" w:space="0" w:color="auto"/>
              <w:right w:val="single" w:sz="4" w:space="0" w:color="auto"/>
            </w:tcBorders>
            <w:shd w:val="clear" w:color="auto" w:fill="auto"/>
            <w:noWrap/>
            <w:vAlign w:val="center"/>
            <w:hideMark/>
          </w:tcPr>
          <w:p w14:paraId="3257C3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£4,610.96</w:t>
            </w:r>
          </w:p>
        </w:tc>
        <w:tc>
          <w:tcPr>
            <w:tcW w:w="1516" w:type="dxa"/>
            <w:tcBorders>
              <w:top w:val="nil"/>
              <w:left w:val="nil"/>
              <w:bottom w:val="single" w:sz="4" w:space="0" w:color="auto"/>
              <w:right w:val="single" w:sz="4" w:space="0" w:color="auto"/>
            </w:tcBorders>
            <w:shd w:val="clear" w:color="auto" w:fill="auto"/>
            <w:noWrap/>
            <w:vAlign w:val="center"/>
            <w:hideMark/>
          </w:tcPr>
          <w:p w14:paraId="6BE26A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£4,610.96</w:t>
            </w:r>
          </w:p>
        </w:tc>
        <w:tc>
          <w:tcPr>
            <w:tcW w:w="1510" w:type="dxa"/>
            <w:tcBorders>
              <w:top w:val="nil"/>
              <w:left w:val="nil"/>
              <w:bottom w:val="single" w:sz="4" w:space="0" w:color="auto"/>
              <w:right w:val="single" w:sz="4" w:space="0" w:color="auto"/>
            </w:tcBorders>
            <w:shd w:val="clear" w:color="auto" w:fill="auto"/>
            <w:noWrap/>
            <w:vAlign w:val="center"/>
            <w:hideMark/>
          </w:tcPr>
          <w:p w14:paraId="680CE0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£4,610.96</w:t>
            </w:r>
          </w:p>
        </w:tc>
        <w:tc>
          <w:tcPr>
            <w:tcW w:w="1531" w:type="dxa"/>
            <w:tcBorders>
              <w:top w:val="nil"/>
              <w:left w:val="nil"/>
              <w:bottom w:val="single" w:sz="4" w:space="0" w:color="auto"/>
              <w:right w:val="single" w:sz="4" w:space="0" w:color="auto"/>
            </w:tcBorders>
            <w:shd w:val="clear" w:color="auto" w:fill="auto"/>
            <w:noWrap/>
            <w:vAlign w:val="center"/>
            <w:hideMark/>
          </w:tcPr>
          <w:p w14:paraId="510106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£18,443.84</w:t>
            </w:r>
          </w:p>
        </w:tc>
      </w:tr>
      <w:tr w:rsidR="004433D7" w:rsidRPr="004433D7" w14:paraId="35D0BF8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08BED2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526" w:type="dxa"/>
            <w:tcBorders>
              <w:top w:val="nil"/>
              <w:left w:val="nil"/>
              <w:bottom w:val="single" w:sz="4" w:space="0" w:color="auto"/>
              <w:right w:val="single" w:sz="4" w:space="0" w:color="auto"/>
            </w:tcBorders>
            <w:shd w:val="clear" w:color="auto" w:fill="auto"/>
            <w:noWrap/>
            <w:vAlign w:val="center"/>
            <w:hideMark/>
          </w:tcPr>
          <w:p w14:paraId="0314FC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£1,848,702.19</w:t>
            </w:r>
          </w:p>
        </w:tc>
        <w:tc>
          <w:tcPr>
            <w:tcW w:w="1510" w:type="dxa"/>
            <w:tcBorders>
              <w:top w:val="nil"/>
              <w:left w:val="nil"/>
              <w:bottom w:val="single" w:sz="4" w:space="0" w:color="auto"/>
              <w:right w:val="single" w:sz="4" w:space="0" w:color="auto"/>
            </w:tcBorders>
            <w:shd w:val="clear" w:color="auto" w:fill="auto"/>
            <w:noWrap/>
            <w:vAlign w:val="center"/>
            <w:hideMark/>
          </w:tcPr>
          <w:p w14:paraId="571F22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£462,175.55</w:t>
            </w:r>
          </w:p>
        </w:tc>
        <w:tc>
          <w:tcPr>
            <w:tcW w:w="1510" w:type="dxa"/>
            <w:tcBorders>
              <w:top w:val="nil"/>
              <w:left w:val="nil"/>
              <w:bottom w:val="single" w:sz="4" w:space="0" w:color="auto"/>
              <w:right w:val="single" w:sz="4" w:space="0" w:color="auto"/>
            </w:tcBorders>
            <w:shd w:val="clear" w:color="auto" w:fill="auto"/>
            <w:noWrap/>
            <w:vAlign w:val="center"/>
            <w:hideMark/>
          </w:tcPr>
          <w:p w14:paraId="607033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£462,175.55</w:t>
            </w:r>
          </w:p>
        </w:tc>
        <w:tc>
          <w:tcPr>
            <w:tcW w:w="1516" w:type="dxa"/>
            <w:tcBorders>
              <w:top w:val="nil"/>
              <w:left w:val="nil"/>
              <w:bottom w:val="single" w:sz="4" w:space="0" w:color="auto"/>
              <w:right w:val="single" w:sz="4" w:space="0" w:color="auto"/>
            </w:tcBorders>
            <w:shd w:val="clear" w:color="auto" w:fill="auto"/>
            <w:noWrap/>
            <w:vAlign w:val="center"/>
            <w:hideMark/>
          </w:tcPr>
          <w:p w14:paraId="4B657A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£462,175.55</w:t>
            </w:r>
          </w:p>
        </w:tc>
        <w:tc>
          <w:tcPr>
            <w:tcW w:w="1510" w:type="dxa"/>
            <w:tcBorders>
              <w:top w:val="nil"/>
              <w:left w:val="nil"/>
              <w:bottom w:val="single" w:sz="4" w:space="0" w:color="auto"/>
              <w:right w:val="single" w:sz="4" w:space="0" w:color="auto"/>
            </w:tcBorders>
            <w:shd w:val="clear" w:color="auto" w:fill="auto"/>
            <w:noWrap/>
            <w:vAlign w:val="center"/>
            <w:hideMark/>
          </w:tcPr>
          <w:p w14:paraId="0F0E36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£462,175.55</w:t>
            </w:r>
          </w:p>
        </w:tc>
        <w:tc>
          <w:tcPr>
            <w:tcW w:w="1531" w:type="dxa"/>
            <w:tcBorders>
              <w:top w:val="nil"/>
              <w:left w:val="nil"/>
              <w:bottom w:val="single" w:sz="4" w:space="0" w:color="auto"/>
              <w:right w:val="single" w:sz="4" w:space="0" w:color="auto"/>
            </w:tcBorders>
            <w:shd w:val="clear" w:color="auto" w:fill="auto"/>
            <w:noWrap/>
            <w:vAlign w:val="center"/>
            <w:hideMark/>
          </w:tcPr>
          <w:p w14:paraId="2F5047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£1,848,702.20</w:t>
            </w:r>
          </w:p>
        </w:tc>
      </w:tr>
      <w:tr w:rsidR="004433D7" w:rsidRPr="004433D7" w14:paraId="6D7D37C4"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451120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TOTO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552CC0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£39,437.82</w:t>
            </w:r>
          </w:p>
        </w:tc>
        <w:tc>
          <w:tcPr>
            <w:tcW w:w="1510" w:type="dxa"/>
            <w:tcBorders>
              <w:top w:val="nil"/>
              <w:left w:val="nil"/>
              <w:bottom w:val="single" w:sz="4" w:space="0" w:color="auto"/>
              <w:right w:val="single" w:sz="4" w:space="0" w:color="auto"/>
            </w:tcBorders>
            <w:shd w:val="clear" w:color="auto" w:fill="auto"/>
            <w:noWrap/>
            <w:vAlign w:val="center"/>
            <w:hideMark/>
          </w:tcPr>
          <w:p w14:paraId="30EB60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£9,859.46</w:t>
            </w:r>
          </w:p>
        </w:tc>
        <w:tc>
          <w:tcPr>
            <w:tcW w:w="1510" w:type="dxa"/>
            <w:tcBorders>
              <w:top w:val="nil"/>
              <w:left w:val="nil"/>
              <w:bottom w:val="single" w:sz="4" w:space="0" w:color="auto"/>
              <w:right w:val="single" w:sz="4" w:space="0" w:color="auto"/>
            </w:tcBorders>
            <w:shd w:val="clear" w:color="auto" w:fill="auto"/>
            <w:noWrap/>
            <w:vAlign w:val="center"/>
            <w:hideMark/>
          </w:tcPr>
          <w:p w14:paraId="50DE94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05E4A2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F3083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33C5B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£9,859.46</w:t>
            </w:r>
          </w:p>
        </w:tc>
      </w:tr>
      <w:tr w:rsidR="004433D7" w:rsidRPr="004433D7" w14:paraId="45CBC7EB"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7D14FC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526" w:type="dxa"/>
            <w:tcBorders>
              <w:top w:val="nil"/>
              <w:left w:val="nil"/>
              <w:bottom w:val="single" w:sz="4" w:space="0" w:color="auto"/>
              <w:right w:val="single" w:sz="4" w:space="0" w:color="auto"/>
            </w:tcBorders>
            <w:shd w:val="clear" w:color="auto" w:fill="auto"/>
            <w:noWrap/>
            <w:vAlign w:val="center"/>
            <w:hideMark/>
          </w:tcPr>
          <w:p w14:paraId="33EDEB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£132.09</w:t>
            </w:r>
          </w:p>
        </w:tc>
        <w:tc>
          <w:tcPr>
            <w:tcW w:w="1510" w:type="dxa"/>
            <w:tcBorders>
              <w:top w:val="nil"/>
              <w:left w:val="nil"/>
              <w:bottom w:val="single" w:sz="4" w:space="0" w:color="auto"/>
              <w:right w:val="single" w:sz="4" w:space="0" w:color="auto"/>
            </w:tcBorders>
            <w:shd w:val="clear" w:color="auto" w:fill="auto"/>
            <w:noWrap/>
            <w:vAlign w:val="center"/>
            <w:hideMark/>
          </w:tcPr>
          <w:p w14:paraId="497F74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£33.02</w:t>
            </w:r>
          </w:p>
        </w:tc>
        <w:tc>
          <w:tcPr>
            <w:tcW w:w="1510" w:type="dxa"/>
            <w:tcBorders>
              <w:top w:val="nil"/>
              <w:left w:val="nil"/>
              <w:bottom w:val="single" w:sz="4" w:space="0" w:color="auto"/>
              <w:right w:val="single" w:sz="4" w:space="0" w:color="auto"/>
            </w:tcBorders>
            <w:shd w:val="clear" w:color="auto" w:fill="auto"/>
            <w:noWrap/>
            <w:vAlign w:val="center"/>
            <w:hideMark/>
          </w:tcPr>
          <w:p w14:paraId="39920C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£33.02</w:t>
            </w:r>
          </w:p>
        </w:tc>
        <w:tc>
          <w:tcPr>
            <w:tcW w:w="1516" w:type="dxa"/>
            <w:tcBorders>
              <w:top w:val="nil"/>
              <w:left w:val="nil"/>
              <w:bottom w:val="single" w:sz="4" w:space="0" w:color="auto"/>
              <w:right w:val="single" w:sz="4" w:space="0" w:color="auto"/>
            </w:tcBorders>
            <w:shd w:val="clear" w:color="auto" w:fill="auto"/>
            <w:noWrap/>
            <w:vAlign w:val="center"/>
            <w:hideMark/>
          </w:tcPr>
          <w:p w14:paraId="32FA39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£33.02</w:t>
            </w:r>
          </w:p>
        </w:tc>
        <w:tc>
          <w:tcPr>
            <w:tcW w:w="1510" w:type="dxa"/>
            <w:tcBorders>
              <w:top w:val="nil"/>
              <w:left w:val="nil"/>
              <w:bottom w:val="single" w:sz="4" w:space="0" w:color="auto"/>
              <w:right w:val="single" w:sz="4" w:space="0" w:color="auto"/>
            </w:tcBorders>
            <w:shd w:val="clear" w:color="auto" w:fill="auto"/>
            <w:noWrap/>
            <w:vAlign w:val="center"/>
            <w:hideMark/>
          </w:tcPr>
          <w:p w14:paraId="447512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£33.02</w:t>
            </w:r>
          </w:p>
        </w:tc>
        <w:tc>
          <w:tcPr>
            <w:tcW w:w="1531" w:type="dxa"/>
            <w:tcBorders>
              <w:top w:val="nil"/>
              <w:left w:val="nil"/>
              <w:bottom w:val="single" w:sz="4" w:space="0" w:color="auto"/>
              <w:right w:val="single" w:sz="4" w:space="0" w:color="auto"/>
            </w:tcBorders>
            <w:shd w:val="clear" w:color="auto" w:fill="auto"/>
            <w:noWrap/>
            <w:vAlign w:val="center"/>
            <w:hideMark/>
          </w:tcPr>
          <w:p w14:paraId="5A45E0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£132.08</w:t>
            </w:r>
          </w:p>
        </w:tc>
      </w:tr>
      <w:tr w:rsidR="004433D7" w:rsidRPr="004433D7" w14:paraId="61DDF69A"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5C1559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UK Power Reserve Limited</w:t>
            </w:r>
          </w:p>
        </w:tc>
        <w:tc>
          <w:tcPr>
            <w:tcW w:w="1526" w:type="dxa"/>
            <w:tcBorders>
              <w:top w:val="nil"/>
              <w:left w:val="nil"/>
              <w:bottom w:val="single" w:sz="4" w:space="0" w:color="auto"/>
              <w:right w:val="single" w:sz="4" w:space="0" w:color="auto"/>
            </w:tcBorders>
            <w:shd w:val="clear" w:color="auto" w:fill="auto"/>
            <w:noWrap/>
            <w:vAlign w:val="center"/>
            <w:hideMark/>
          </w:tcPr>
          <w:p w14:paraId="54FE60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£1,426.87</w:t>
            </w:r>
          </w:p>
        </w:tc>
        <w:tc>
          <w:tcPr>
            <w:tcW w:w="1510" w:type="dxa"/>
            <w:tcBorders>
              <w:top w:val="nil"/>
              <w:left w:val="nil"/>
              <w:bottom w:val="single" w:sz="4" w:space="0" w:color="auto"/>
              <w:right w:val="single" w:sz="4" w:space="0" w:color="auto"/>
            </w:tcBorders>
            <w:shd w:val="clear" w:color="auto" w:fill="auto"/>
            <w:noWrap/>
            <w:vAlign w:val="center"/>
            <w:hideMark/>
          </w:tcPr>
          <w:p w14:paraId="3DCF6A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£1,426.88</w:t>
            </w:r>
          </w:p>
        </w:tc>
        <w:tc>
          <w:tcPr>
            <w:tcW w:w="1510" w:type="dxa"/>
            <w:tcBorders>
              <w:top w:val="nil"/>
              <w:left w:val="nil"/>
              <w:bottom w:val="single" w:sz="4" w:space="0" w:color="auto"/>
              <w:right w:val="single" w:sz="4" w:space="0" w:color="auto"/>
            </w:tcBorders>
            <w:shd w:val="clear" w:color="auto" w:fill="auto"/>
            <w:noWrap/>
            <w:vAlign w:val="center"/>
            <w:hideMark/>
          </w:tcPr>
          <w:p w14:paraId="5944A6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39C048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0A2FB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78CDB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£1,426.88</w:t>
            </w:r>
          </w:p>
        </w:tc>
      </w:tr>
      <w:tr w:rsidR="004433D7" w:rsidRPr="004433D7" w14:paraId="70C71347"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1B4A542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Usio</w:t>
            </w:r>
            <w:proofErr w:type="spellEnd"/>
            <w:r w:rsidRPr="004433D7">
              <w:rPr>
                <w:rFonts w:eastAsia="Times New Roman" w:cs="Times New Roman"/>
                <w:color w:val="000000"/>
                <w:sz w:val="16"/>
                <w:szCs w:val="16"/>
              </w:rPr>
              <w:t xml:space="preserve"> Energy Supply Limited</w:t>
            </w:r>
          </w:p>
        </w:tc>
        <w:tc>
          <w:tcPr>
            <w:tcW w:w="1526" w:type="dxa"/>
            <w:tcBorders>
              <w:top w:val="nil"/>
              <w:left w:val="nil"/>
              <w:bottom w:val="single" w:sz="4" w:space="0" w:color="auto"/>
              <w:right w:val="single" w:sz="4" w:space="0" w:color="auto"/>
            </w:tcBorders>
            <w:shd w:val="clear" w:color="auto" w:fill="auto"/>
            <w:noWrap/>
            <w:vAlign w:val="center"/>
            <w:hideMark/>
          </w:tcPr>
          <w:p w14:paraId="0D8C21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£92.67</w:t>
            </w:r>
          </w:p>
        </w:tc>
        <w:tc>
          <w:tcPr>
            <w:tcW w:w="1510" w:type="dxa"/>
            <w:tcBorders>
              <w:top w:val="nil"/>
              <w:left w:val="nil"/>
              <w:bottom w:val="single" w:sz="4" w:space="0" w:color="auto"/>
              <w:right w:val="single" w:sz="4" w:space="0" w:color="auto"/>
            </w:tcBorders>
            <w:shd w:val="clear" w:color="auto" w:fill="auto"/>
            <w:noWrap/>
            <w:vAlign w:val="center"/>
            <w:hideMark/>
          </w:tcPr>
          <w:p w14:paraId="53E2C6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DE3D5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687846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926FF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828D0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1BB9D92D"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03B8F32"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27F123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£411,807.86</w:t>
            </w:r>
          </w:p>
        </w:tc>
        <w:tc>
          <w:tcPr>
            <w:tcW w:w="1510" w:type="dxa"/>
            <w:tcBorders>
              <w:top w:val="nil"/>
              <w:left w:val="nil"/>
              <w:bottom w:val="single" w:sz="4" w:space="0" w:color="auto"/>
              <w:right w:val="single" w:sz="4" w:space="0" w:color="auto"/>
            </w:tcBorders>
            <w:shd w:val="clear" w:color="auto" w:fill="auto"/>
            <w:noWrap/>
            <w:vAlign w:val="center"/>
            <w:hideMark/>
          </w:tcPr>
          <w:p w14:paraId="68DDFB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£102,951.97</w:t>
            </w:r>
          </w:p>
        </w:tc>
        <w:tc>
          <w:tcPr>
            <w:tcW w:w="1510" w:type="dxa"/>
            <w:tcBorders>
              <w:top w:val="nil"/>
              <w:left w:val="nil"/>
              <w:bottom w:val="single" w:sz="4" w:space="0" w:color="auto"/>
              <w:right w:val="single" w:sz="4" w:space="0" w:color="auto"/>
            </w:tcBorders>
            <w:shd w:val="clear" w:color="auto" w:fill="auto"/>
            <w:noWrap/>
            <w:vAlign w:val="center"/>
            <w:hideMark/>
          </w:tcPr>
          <w:p w14:paraId="27131F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£102,951.97</w:t>
            </w:r>
          </w:p>
        </w:tc>
        <w:tc>
          <w:tcPr>
            <w:tcW w:w="1516" w:type="dxa"/>
            <w:tcBorders>
              <w:top w:val="nil"/>
              <w:left w:val="nil"/>
              <w:bottom w:val="single" w:sz="4" w:space="0" w:color="auto"/>
              <w:right w:val="single" w:sz="4" w:space="0" w:color="auto"/>
            </w:tcBorders>
            <w:shd w:val="clear" w:color="auto" w:fill="auto"/>
            <w:noWrap/>
            <w:vAlign w:val="center"/>
            <w:hideMark/>
          </w:tcPr>
          <w:p w14:paraId="23B8CE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£102,951.97</w:t>
            </w:r>
          </w:p>
        </w:tc>
        <w:tc>
          <w:tcPr>
            <w:tcW w:w="1510" w:type="dxa"/>
            <w:tcBorders>
              <w:top w:val="nil"/>
              <w:left w:val="nil"/>
              <w:bottom w:val="single" w:sz="4" w:space="0" w:color="auto"/>
              <w:right w:val="single" w:sz="4" w:space="0" w:color="auto"/>
            </w:tcBorders>
            <w:shd w:val="clear" w:color="auto" w:fill="auto"/>
            <w:noWrap/>
            <w:vAlign w:val="center"/>
            <w:hideMark/>
          </w:tcPr>
          <w:p w14:paraId="03E061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£102,951.97</w:t>
            </w:r>
          </w:p>
        </w:tc>
        <w:tc>
          <w:tcPr>
            <w:tcW w:w="1531" w:type="dxa"/>
            <w:tcBorders>
              <w:top w:val="nil"/>
              <w:left w:val="nil"/>
              <w:bottom w:val="single" w:sz="4" w:space="0" w:color="auto"/>
              <w:right w:val="single" w:sz="4" w:space="0" w:color="auto"/>
            </w:tcBorders>
            <w:shd w:val="clear" w:color="auto" w:fill="auto"/>
            <w:noWrap/>
            <w:vAlign w:val="center"/>
            <w:hideMark/>
          </w:tcPr>
          <w:p w14:paraId="51FE16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£411,807.88</w:t>
            </w:r>
          </w:p>
        </w:tc>
      </w:tr>
      <w:tr w:rsidR="004433D7" w:rsidRPr="004433D7" w14:paraId="1F6B491A"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43CD486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Utility Point Limited</w:t>
            </w:r>
          </w:p>
        </w:tc>
        <w:tc>
          <w:tcPr>
            <w:tcW w:w="1526" w:type="dxa"/>
            <w:tcBorders>
              <w:top w:val="nil"/>
              <w:left w:val="nil"/>
              <w:bottom w:val="single" w:sz="4" w:space="0" w:color="auto"/>
              <w:right w:val="single" w:sz="4" w:space="0" w:color="auto"/>
            </w:tcBorders>
            <w:shd w:val="clear" w:color="auto" w:fill="auto"/>
            <w:noWrap/>
            <w:vAlign w:val="center"/>
            <w:hideMark/>
          </w:tcPr>
          <w:p w14:paraId="355F3B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£365.04</w:t>
            </w:r>
          </w:p>
        </w:tc>
        <w:tc>
          <w:tcPr>
            <w:tcW w:w="1510" w:type="dxa"/>
            <w:tcBorders>
              <w:top w:val="nil"/>
              <w:left w:val="nil"/>
              <w:bottom w:val="single" w:sz="4" w:space="0" w:color="auto"/>
              <w:right w:val="single" w:sz="4" w:space="0" w:color="auto"/>
            </w:tcBorders>
            <w:shd w:val="clear" w:color="auto" w:fill="auto"/>
            <w:noWrap/>
            <w:vAlign w:val="center"/>
            <w:hideMark/>
          </w:tcPr>
          <w:p w14:paraId="217E9F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£365.04</w:t>
            </w:r>
          </w:p>
        </w:tc>
        <w:tc>
          <w:tcPr>
            <w:tcW w:w="1510" w:type="dxa"/>
            <w:tcBorders>
              <w:top w:val="nil"/>
              <w:left w:val="nil"/>
              <w:bottom w:val="single" w:sz="4" w:space="0" w:color="auto"/>
              <w:right w:val="single" w:sz="4" w:space="0" w:color="auto"/>
            </w:tcBorders>
            <w:shd w:val="clear" w:color="auto" w:fill="auto"/>
            <w:noWrap/>
            <w:vAlign w:val="center"/>
            <w:hideMark/>
          </w:tcPr>
          <w:p w14:paraId="11B009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297BB0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936F7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1CBD26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£365.04</w:t>
            </w:r>
          </w:p>
        </w:tc>
      </w:tr>
      <w:tr w:rsidR="004433D7" w:rsidRPr="004433D7" w14:paraId="13729E38" w14:textId="77777777" w:rsidTr="00780608">
        <w:trPr>
          <w:trHeight w:val="4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71E030E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Wilton Energy Limited</w:t>
            </w:r>
          </w:p>
        </w:tc>
        <w:tc>
          <w:tcPr>
            <w:tcW w:w="1526" w:type="dxa"/>
            <w:tcBorders>
              <w:top w:val="nil"/>
              <w:left w:val="nil"/>
              <w:bottom w:val="single" w:sz="4" w:space="0" w:color="auto"/>
              <w:right w:val="single" w:sz="4" w:space="0" w:color="auto"/>
            </w:tcBorders>
            <w:shd w:val="clear" w:color="auto" w:fill="auto"/>
            <w:noWrap/>
            <w:vAlign w:val="center"/>
            <w:hideMark/>
          </w:tcPr>
          <w:p w14:paraId="40BFF7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£31,106.99</w:t>
            </w:r>
          </w:p>
        </w:tc>
        <w:tc>
          <w:tcPr>
            <w:tcW w:w="1510" w:type="dxa"/>
            <w:tcBorders>
              <w:top w:val="nil"/>
              <w:left w:val="nil"/>
              <w:bottom w:val="single" w:sz="4" w:space="0" w:color="auto"/>
              <w:right w:val="single" w:sz="4" w:space="0" w:color="auto"/>
            </w:tcBorders>
            <w:shd w:val="clear" w:color="auto" w:fill="auto"/>
            <w:noWrap/>
            <w:vAlign w:val="center"/>
            <w:hideMark/>
          </w:tcPr>
          <w:p w14:paraId="1F8DED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£31,106.99</w:t>
            </w:r>
          </w:p>
        </w:tc>
        <w:tc>
          <w:tcPr>
            <w:tcW w:w="1510" w:type="dxa"/>
            <w:tcBorders>
              <w:top w:val="nil"/>
              <w:left w:val="nil"/>
              <w:bottom w:val="single" w:sz="4" w:space="0" w:color="auto"/>
              <w:right w:val="single" w:sz="4" w:space="0" w:color="auto"/>
            </w:tcBorders>
            <w:shd w:val="clear" w:color="auto" w:fill="auto"/>
            <w:noWrap/>
            <w:vAlign w:val="center"/>
            <w:hideMark/>
          </w:tcPr>
          <w:p w14:paraId="22E054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1311F2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29568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8C472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£31,106.99</w:t>
            </w:r>
          </w:p>
        </w:tc>
      </w:tr>
      <w:tr w:rsidR="004433D7" w:rsidRPr="004433D7" w14:paraId="77F7E019" w14:textId="77777777" w:rsidTr="00780608">
        <w:trPr>
          <w:trHeight w:val="620"/>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2F2C90D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Zebra Power Limited (previously </w:t>
            </w:r>
            <w:proofErr w:type="spellStart"/>
            <w:r w:rsidRPr="004433D7">
              <w:rPr>
                <w:rFonts w:eastAsia="Times New Roman" w:cs="Times New Roman"/>
                <w:color w:val="000000"/>
                <w:sz w:val="16"/>
                <w:szCs w:val="16"/>
              </w:rPr>
              <w:t>Bor</w:t>
            </w:r>
            <w:proofErr w:type="spellEnd"/>
            <w:r w:rsidRPr="004433D7">
              <w:rPr>
                <w:rFonts w:eastAsia="Times New Roman" w:cs="Times New Roman"/>
                <w:color w:val="000000"/>
                <w:sz w:val="16"/>
                <w:szCs w:val="16"/>
              </w:rPr>
              <w:t xml:space="preserve"> Energy)</w:t>
            </w:r>
          </w:p>
        </w:tc>
        <w:tc>
          <w:tcPr>
            <w:tcW w:w="1526" w:type="dxa"/>
            <w:tcBorders>
              <w:top w:val="nil"/>
              <w:left w:val="nil"/>
              <w:bottom w:val="single" w:sz="4" w:space="0" w:color="auto"/>
              <w:right w:val="single" w:sz="4" w:space="0" w:color="auto"/>
            </w:tcBorders>
            <w:shd w:val="clear" w:color="auto" w:fill="auto"/>
            <w:noWrap/>
            <w:vAlign w:val="center"/>
            <w:hideMark/>
          </w:tcPr>
          <w:p w14:paraId="5BBDD2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£1,994.14</w:t>
            </w:r>
          </w:p>
        </w:tc>
        <w:tc>
          <w:tcPr>
            <w:tcW w:w="1510" w:type="dxa"/>
            <w:tcBorders>
              <w:top w:val="nil"/>
              <w:left w:val="nil"/>
              <w:bottom w:val="single" w:sz="4" w:space="0" w:color="auto"/>
              <w:right w:val="single" w:sz="4" w:space="0" w:color="auto"/>
            </w:tcBorders>
            <w:shd w:val="clear" w:color="auto" w:fill="auto"/>
            <w:noWrap/>
            <w:vAlign w:val="center"/>
            <w:hideMark/>
          </w:tcPr>
          <w:p w14:paraId="1C3270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£1,994.14</w:t>
            </w:r>
          </w:p>
        </w:tc>
        <w:tc>
          <w:tcPr>
            <w:tcW w:w="1510" w:type="dxa"/>
            <w:tcBorders>
              <w:top w:val="nil"/>
              <w:left w:val="nil"/>
              <w:bottom w:val="single" w:sz="4" w:space="0" w:color="auto"/>
              <w:right w:val="single" w:sz="4" w:space="0" w:color="auto"/>
            </w:tcBorders>
            <w:shd w:val="clear" w:color="auto" w:fill="auto"/>
            <w:noWrap/>
            <w:vAlign w:val="center"/>
            <w:hideMark/>
          </w:tcPr>
          <w:p w14:paraId="562554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6" w:type="dxa"/>
            <w:tcBorders>
              <w:top w:val="nil"/>
              <w:left w:val="nil"/>
              <w:bottom w:val="single" w:sz="4" w:space="0" w:color="auto"/>
              <w:right w:val="single" w:sz="4" w:space="0" w:color="auto"/>
            </w:tcBorders>
            <w:shd w:val="clear" w:color="auto" w:fill="auto"/>
            <w:noWrap/>
            <w:vAlign w:val="center"/>
            <w:hideMark/>
          </w:tcPr>
          <w:p w14:paraId="711C34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2250A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21698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£1,994.14</w:t>
            </w:r>
          </w:p>
        </w:tc>
      </w:tr>
      <w:tr w:rsidR="004433D7" w:rsidRPr="004433D7" w14:paraId="08C39F95" w14:textId="77777777" w:rsidTr="00780608">
        <w:trPr>
          <w:trHeight w:val="270"/>
        </w:trPr>
        <w:tc>
          <w:tcPr>
            <w:tcW w:w="1593" w:type="dxa"/>
            <w:tcBorders>
              <w:top w:val="nil"/>
              <w:left w:val="single" w:sz="4" w:space="0" w:color="auto"/>
              <w:bottom w:val="single" w:sz="4" w:space="0" w:color="auto"/>
              <w:right w:val="single" w:sz="4" w:space="0" w:color="auto"/>
            </w:tcBorders>
            <w:shd w:val="clear" w:color="auto" w:fill="2363AF"/>
            <w:vAlign w:val="center"/>
            <w:hideMark/>
          </w:tcPr>
          <w:p w14:paraId="7B5D1624"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526" w:type="dxa"/>
            <w:tcBorders>
              <w:top w:val="nil"/>
              <w:left w:val="nil"/>
              <w:bottom w:val="single" w:sz="4" w:space="0" w:color="auto"/>
              <w:right w:val="single" w:sz="4" w:space="0" w:color="auto"/>
            </w:tcBorders>
            <w:shd w:val="clear" w:color="auto" w:fill="2363AF"/>
            <w:noWrap/>
            <w:vAlign w:val="center"/>
            <w:hideMark/>
          </w:tcPr>
          <w:p w14:paraId="3D27550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£53,411,185.21</w:t>
            </w:r>
          </w:p>
        </w:tc>
        <w:tc>
          <w:tcPr>
            <w:tcW w:w="1510" w:type="dxa"/>
            <w:tcBorders>
              <w:top w:val="nil"/>
              <w:left w:val="nil"/>
              <w:bottom w:val="single" w:sz="4" w:space="0" w:color="auto"/>
              <w:right w:val="single" w:sz="4" w:space="0" w:color="auto"/>
            </w:tcBorders>
            <w:shd w:val="clear" w:color="auto" w:fill="2363AF"/>
            <w:noWrap/>
            <w:vAlign w:val="center"/>
            <w:hideMark/>
          </w:tcPr>
          <w:p w14:paraId="28F66B7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£13,393,123.22</w:t>
            </w:r>
          </w:p>
        </w:tc>
        <w:tc>
          <w:tcPr>
            <w:tcW w:w="1510" w:type="dxa"/>
            <w:tcBorders>
              <w:top w:val="nil"/>
              <w:left w:val="nil"/>
              <w:bottom w:val="single" w:sz="4" w:space="0" w:color="auto"/>
              <w:right w:val="single" w:sz="4" w:space="0" w:color="auto"/>
            </w:tcBorders>
            <w:shd w:val="clear" w:color="auto" w:fill="2363AF"/>
            <w:noWrap/>
            <w:vAlign w:val="center"/>
            <w:hideMark/>
          </w:tcPr>
          <w:p w14:paraId="1085F10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£13,356,993.60</w:t>
            </w:r>
          </w:p>
        </w:tc>
        <w:tc>
          <w:tcPr>
            <w:tcW w:w="1516" w:type="dxa"/>
            <w:tcBorders>
              <w:top w:val="nil"/>
              <w:left w:val="nil"/>
              <w:bottom w:val="single" w:sz="4" w:space="0" w:color="auto"/>
              <w:right w:val="single" w:sz="4" w:space="0" w:color="auto"/>
            </w:tcBorders>
            <w:shd w:val="clear" w:color="auto" w:fill="2363AF"/>
            <w:noWrap/>
            <w:vAlign w:val="center"/>
            <w:hideMark/>
          </w:tcPr>
          <w:p w14:paraId="7D7D4F5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£13,280,241.50</w:t>
            </w:r>
          </w:p>
        </w:tc>
        <w:tc>
          <w:tcPr>
            <w:tcW w:w="1510" w:type="dxa"/>
            <w:tcBorders>
              <w:top w:val="nil"/>
              <w:left w:val="nil"/>
              <w:bottom w:val="single" w:sz="4" w:space="0" w:color="auto"/>
              <w:right w:val="single" w:sz="4" w:space="0" w:color="auto"/>
            </w:tcBorders>
            <w:shd w:val="clear" w:color="auto" w:fill="2363AF"/>
            <w:noWrap/>
            <w:vAlign w:val="center"/>
            <w:hideMark/>
          </w:tcPr>
          <w:p w14:paraId="4B5ACC9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£13,314,555.07</w:t>
            </w:r>
          </w:p>
        </w:tc>
        <w:tc>
          <w:tcPr>
            <w:tcW w:w="1531" w:type="dxa"/>
            <w:tcBorders>
              <w:top w:val="nil"/>
              <w:left w:val="nil"/>
              <w:bottom w:val="single" w:sz="4" w:space="0" w:color="auto"/>
              <w:right w:val="single" w:sz="4" w:space="0" w:color="auto"/>
            </w:tcBorders>
            <w:shd w:val="clear" w:color="auto" w:fill="2363AF"/>
            <w:noWrap/>
            <w:vAlign w:val="center"/>
            <w:hideMark/>
          </w:tcPr>
          <w:p w14:paraId="7566EDF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£53,344,913.39</w:t>
            </w:r>
          </w:p>
        </w:tc>
      </w:tr>
    </w:tbl>
    <w:p w14:paraId="0EB5C4E3" w14:textId="77777777" w:rsidR="00805F00" w:rsidRPr="006B3AC6" w:rsidRDefault="00805F00" w:rsidP="00C85B64">
      <w:pPr>
        <w:spacing w:line="288" w:lineRule="auto"/>
        <w:rPr>
          <w:rFonts w:eastAsiaTheme="minorEastAsia"/>
          <w:b/>
          <w:color w:val="000000" w:themeColor="text1"/>
        </w:rPr>
      </w:pPr>
    </w:p>
    <w:p w14:paraId="69ABC62F" w14:textId="77777777" w:rsidR="00EE4D96" w:rsidRDefault="00EE4D96">
      <w:pPr>
        <w:spacing w:line="276" w:lineRule="auto"/>
        <w:rPr>
          <w:rFonts w:cstheme="minorHAnsi"/>
        </w:rPr>
      </w:pPr>
      <w:r>
        <w:rPr>
          <w:rFonts w:cstheme="minorHAnsi"/>
        </w:rPr>
        <w:br w:type="page"/>
      </w:r>
    </w:p>
    <w:p w14:paraId="6A6A945D" w14:textId="4885E4DD" w:rsidR="00EE4D96" w:rsidRDefault="00EE4D96" w:rsidP="00EE4D96">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2</w:t>
      </w:r>
      <w:r w:rsidRPr="006B3AC6">
        <w:rPr>
          <w:rFonts w:eastAsiaTheme="minorEastAsia"/>
          <w:b/>
          <w:color w:val="000000" w:themeColor="text1"/>
        </w:rPr>
        <w:t xml:space="preserve">: </w:t>
      </w:r>
      <w:r>
        <w:rPr>
          <w:rFonts w:eastAsiaTheme="minorEastAsia"/>
          <w:b/>
          <w:color w:val="000000" w:themeColor="text1"/>
        </w:rPr>
        <w:t>ROS mutualisation payments received</w:t>
      </w:r>
      <w:r w:rsidR="00F741F5">
        <w:rPr>
          <w:rStyle w:val="FootnoteReference"/>
          <w:rFonts w:eastAsiaTheme="minorEastAsia"/>
          <w:b/>
          <w:color w:val="000000" w:themeColor="text1"/>
        </w:rPr>
        <w:footnoteReference w:id="105"/>
      </w:r>
      <w:r>
        <w:rPr>
          <w:rFonts w:eastAsiaTheme="minorEastAsia"/>
          <w:b/>
          <w:color w:val="000000" w:themeColor="text1"/>
        </w:rPr>
        <w:t xml:space="preserve"> 2017-18</w:t>
      </w:r>
    </w:p>
    <w:tbl>
      <w:tblPr>
        <w:tblW w:w="10632" w:type="dxa"/>
        <w:tblInd w:w="-289" w:type="dxa"/>
        <w:tblLook w:val="04A0" w:firstRow="1" w:lastRow="0" w:firstColumn="1" w:lastColumn="0" w:noHBand="0" w:noVBand="1"/>
      </w:tblPr>
      <w:tblGrid>
        <w:gridCol w:w="1560"/>
        <w:gridCol w:w="1559"/>
        <w:gridCol w:w="1560"/>
        <w:gridCol w:w="1417"/>
        <w:gridCol w:w="1418"/>
        <w:gridCol w:w="1559"/>
        <w:gridCol w:w="1559"/>
      </w:tblGrid>
      <w:tr w:rsidR="004433D7" w:rsidRPr="004433D7" w14:paraId="03BCDE29" w14:textId="77777777" w:rsidTr="00780608">
        <w:trPr>
          <w:trHeight w:val="420"/>
          <w:tblHeader/>
        </w:trPr>
        <w:tc>
          <w:tcPr>
            <w:tcW w:w="1560"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0EB7BA0D"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559" w:type="dxa"/>
            <w:tcBorders>
              <w:top w:val="single" w:sz="4" w:space="0" w:color="auto"/>
              <w:left w:val="nil"/>
              <w:bottom w:val="single" w:sz="4" w:space="0" w:color="auto"/>
              <w:right w:val="single" w:sz="4" w:space="0" w:color="auto"/>
            </w:tcBorders>
            <w:shd w:val="clear" w:color="auto" w:fill="2363AF"/>
            <w:vAlign w:val="center"/>
            <w:hideMark/>
          </w:tcPr>
          <w:p w14:paraId="39694C0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Amount due</w:t>
            </w:r>
          </w:p>
        </w:tc>
        <w:tc>
          <w:tcPr>
            <w:tcW w:w="1560" w:type="dxa"/>
            <w:tcBorders>
              <w:top w:val="single" w:sz="4" w:space="0" w:color="auto"/>
              <w:left w:val="nil"/>
              <w:bottom w:val="single" w:sz="4" w:space="0" w:color="auto"/>
              <w:right w:val="single" w:sz="4" w:space="0" w:color="auto"/>
            </w:tcBorders>
            <w:shd w:val="clear" w:color="auto" w:fill="2363AF"/>
            <w:vAlign w:val="center"/>
            <w:hideMark/>
          </w:tcPr>
          <w:p w14:paraId="17978BE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Q1</w:t>
            </w:r>
            <w:r w:rsidRPr="004433D7">
              <w:rPr>
                <w:rFonts w:eastAsia="Times New Roman" w:cs="Times New Roman"/>
                <w:color w:val="FFFFFF"/>
                <w:sz w:val="16"/>
                <w:szCs w:val="16"/>
              </w:rPr>
              <w:br/>
              <w:t>Payments received</w:t>
            </w:r>
          </w:p>
        </w:tc>
        <w:tc>
          <w:tcPr>
            <w:tcW w:w="1417" w:type="dxa"/>
            <w:tcBorders>
              <w:top w:val="single" w:sz="4" w:space="0" w:color="auto"/>
              <w:left w:val="nil"/>
              <w:bottom w:val="single" w:sz="4" w:space="0" w:color="auto"/>
              <w:right w:val="single" w:sz="4" w:space="0" w:color="auto"/>
            </w:tcBorders>
            <w:shd w:val="clear" w:color="auto" w:fill="2363AF"/>
            <w:vAlign w:val="center"/>
            <w:hideMark/>
          </w:tcPr>
          <w:p w14:paraId="2BDFF0F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Q2</w:t>
            </w:r>
            <w:r w:rsidRPr="004433D7">
              <w:rPr>
                <w:rFonts w:eastAsia="Times New Roman" w:cs="Times New Roman"/>
                <w:color w:val="FFFFFF"/>
                <w:sz w:val="16"/>
                <w:szCs w:val="16"/>
              </w:rPr>
              <w:br/>
              <w:t>Payments received</w:t>
            </w:r>
          </w:p>
        </w:tc>
        <w:tc>
          <w:tcPr>
            <w:tcW w:w="1418" w:type="dxa"/>
            <w:tcBorders>
              <w:top w:val="single" w:sz="4" w:space="0" w:color="auto"/>
              <w:left w:val="nil"/>
              <w:bottom w:val="single" w:sz="4" w:space="0" w:color="auto"/>
              <w:right w:val="single" w:sz="4" w:space="0" w:color="auto"/>
            </w:tcBorders>
            <w:shd w:val="clear" w:color="auto" w:fill="2363AF"/>
            <w:vAlign w:val="center"/>
            <w:hideMark/>
          </w:tcPr>
          <w:p w14:paraId="492B325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Q3</w:t>
            </w:r>
            <w:r w:rsidRPr="004433D7">
              <w:rPr>
                <w:rFonts w:eastAsia="Times New Roman" w:cs="Times New Roman"/>
                <w:color w:val="FFFFFF"/>
                <w:sz w:val="16"/>
                <w:szCs w:val="16"/>
              </w:rPr>
              <w:br/>
              <w:t>Payments received</w:t>
            </w:r>
          </w:p>
        </w:tc>
        <w:tc>
          <w:tcPr>
            <w:tcW w:w="1559" w:type="dxa"/>
            <w:tcBorders>
              <w:top w:val="single" w:sz="4" w:space="0" w:color="auto"/>
              <w:left w:val="nil"/>
              <w:bottom w:val="single" w:sz="4" w:space="0" w:color="auto"/>
              <w:right w:val="single" w:sz="4" w:space="0" w:color="auto"/>
            </w:tcBorders>
            <w:shd w:val="clear" w:color="auto" w:fill="2363AF"/>
            <w:vAlign w:val="center"/>
            <w:hideMark/>
          </w:tcPr>
          <w:p w14:paraId="1936A61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Q4</w:t>
            </w:r>
            <w:r w:rsidRPr="004433D7">
              <w:rPr>
                <w:rFonts w:eastAsia="Times New Roman" w:cs="Times New Roman"/>
                <w:color w:val="FFFFFF"/>
                <w:sz w:val="16"/>
                <w:szCs w:val="16"/>
              </w:rPr>
              <w:br/>
              <w:t>Payments received</w:t>
            </w:r>
          </w:p>
        </w:tc>
        <w:tc>
          <w:tcPr>
            <w:tcW w:w="1559" w:type="dxa"/>
            <w:tcBorders>
              <w:top w:val="single" w:sz="4" w:space="0" w:color="auto"/>
              <w:left w:val="nil"/>
              <w:bottom w:val="single" w:sz="4" w:space="0" w:color="auto"/>
              <w:right w:val="single" w:sz="4" w:space="0" w:color="auto"/>
            </w:tcBorders>
            <w:shd w:val="clear" w:color="auto" w:fill="2363AF"/>
            <w:vAlign w:val="center"/>
            <w:hideMark/>
          </w:tcPr>
          <w:p w14:paraId="608FB26D"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w:t>
            </w:r>
            <w:r w:rsidRPr="004433D7">
              <w:rPr>
                <w:rFonts w:eastAsia="Times New Roman" w:cs="Times New Roman"/>
                <w:color w:val="FFFFFF"/>
                <w:sz w:val="16"/>
                <w:szCs w:val="16"/>
              </w:rPr>
              <w:br/>
              <w:t>Total received</w:t>
            </w:r>
          </w:p>
        </w:tc>
      </w:tr>
      <w:tr w:rsidR="004433D7" w:rsidRPr="004433D7" w14:paraId="46129133"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FA3873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Affect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3F8704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£33.37</w:t>
            </w:r>
          </w:p>
        </w:tc>
        <w:tc>
          <w:tcPr>
            <w:tcW w:w="1560" w:type="dxa"/>
            <w:tcBorders>
              <w:top w:val="nil"/>
              <w:left w:val="nil"/>
              <w:bottom w:val="single" w:sz="4" w:space="0" w:color="auto"/>
              <w:right w:val="single" w:sz="4" w:space="0" w:color="auto"/>
            </w:tcBorders>
            <w:shd w:val="clear" w:color="auto" w:fill="auto"/>
            <w:noWrap/>
            <w:vAlign w:val="center"/>
            <w:hideMark/>
          </w:tcPr>
          <w:p w14:paraId="39D4B7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£8.34</w:t>
            </w:r>
          </w:p>
        </w:tc>
        <w:tc>
          <w:tcPr>
            <w:tcW w:w="1417" w:type="dxa"/>
            <w:tcBorders>
              <w:top w:val="nil"/>
              <w:left w:val="nil"/>
              <w:bottom w:val="single" w:sz="4" w:space="0" w:color="auto"/>
              <w:right w:val="single" w:sz="4" w:space="0" w:color="auto"/>
            </w:tcBorders>
            <w:shd w:val="clear" w:color="auto" w:fill="auto"/>
            <w:noWrap/>
            <w:vAlign w:val="center"/>
            <w:hideMark/>
          </w:tcPr>
          <w:p w14:paraId="3092E3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£8.34</w:t>
            </w:r>
          </w:p>
        </w:tc>
        <w:tc>
          <w:tcPr>
            <w:tcW w:w="1418" w:type="dxa"/>
            <w:tcBorders>
              <w:top w:val="nil"/>
              <w:left w:val="nil"/>
              <w:bottom w:val="single" w:sz="4" w:space="0" w:color="auto"/>
              <w:right w:val="single" w:sz="4" w:space="0" w:color="auto"/>
            </w:tcBorders>
            <w:shd w:val="clear" w:color="auto" w:fill="auto"/>
            <w:noWrap/>
            <w:vAlign w:val="center"/>
            <w:hideMark/>
          </w:tcPr>
          <w:p w14:paraId="0E29F8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£8.34</w:t>
            </w:r>
          </w:p>
        </w:tc>
        <w:tc>
          <w:tcPr>
            <w:tcW w:w="1559" w:type="dxa"/>
            <w:tcBorders>
              <w:top w:val="nil"/>
              <w:left w:val="nil"/>
              <w:bottom w:val="single" w:sz="4" w:space="0" w:color="auto"/>
              <w:right w:val="single" w:sz="4" w:space="0" w:color="auto"/>
            </w:tcBorders>
            <w:shd w:val="clear" w:color="auto" w:fill="auto"/>
            <w:noWrap/>
            <w:vAlign w:val="center"/>
            <w:hideMark/>
          </w:tcPr>
          <w:p w14:paraId="7B3A8D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£8.34</w:t>
            </w:r>
          </w:p>
        </w:tc>
        <w:tc>
          <w:tcPr>
            <w:tcW w:w="1559" w:type="dxa"/>
            <w:tcBorders>
              <w:top w:val="nil"/>
              <w:left w:val="nil"/>
              <w:bottom w:val="single" w:sz="4" w:space="0" w:color="auto"/>
              <w:right w:val="single" w:sz="4" w:space="0" w:color="auto"/>
            </w:tcBorders>
            <w:shd w:val="clear" w:color="auto" w:fill="auto"/>
            <w:noWrap/>
            <w:vAlign w:val="center"/>
            <w:hideMark/>
          </w:tcPr>
          <w:p w14:paraId="106321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£33.36</w:t>
            </w:r>
          </w:p>
        </w:tc>
      </w:tr>
      <w:tr w:rsidR="004433D7" w:rsidRPr="004433D7" w14:paraId="7981865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59322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Avro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65E71B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£3,040.55</w:t>
            </w:r>
          </w:p>
        </w:tc>
        <w:tc>
          <w:tcPr>
            <w:tcW w:w="1560" w:type="dxa"/>
            <w:tcBorders>
              <w:top w:val="nil"/>
              <w:left w:val="nil"/>
              <w:bottom w:val="single" w:sz="4" w:space="0" w:color="auto"/>
              <w:right w:val="single" w:sz="4" w:space="0" w:color="auto"/>
            </w:tcBorders>
            <w:shd w:val="clear" w:color="auto" w:fill="auto"/>
            <w:noWrap/>
            <w:vAlign w:val="center"/>
            <w:hideMark/>
          </w:tcPr>
          <w:p w14:paraId="6E05A3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£760.14</w:t>
            </w:r>
          </w:p>
        </w:tc>
        <w:tc>
          <w:tcPr>
            <w:tcW w:w="1417" w:type="dxa"/>
            <w:tcBorders>
              <w:top w:val="nil"/>
              <w:left w:val="nil"/>
              <w:bottom w:val="single" w:sz="4" w:space="0" w:color="auto"/>
              <w:right w:val="single" w:sz="4" w:space="0" w:color="auto"/>
            </w:tcBorders>
            <w:shd w:val="clear" w:color="auto" w:fill="auto"/>
            <w:noWrap/>
            <w:vAlign w:val="center"/>
            <w:hideMark/>
          </w:tcPr>
          <w:p w14:paraId="696706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£760.14</w:t>
            </w:r>
          </w:p>
        </w:tc>
        <w:tc>
          <w:tcPr>
            <w:tcW w:w="1418" w:type="dxa"/>
            <w:tcBorders>
              <w:top w:val="nil"/>
              <w:left w:val="nil"/>
              <w:bottom w:val="single" w:sz="4" w:space="0" w:color="auto"/>
              <w:right w:val="single" w:sz="4" w:space="0" w:color="auto"/>
            </w:tcBorders>
            <w:shd w:val="clear" w:color="auto" w:fill="auto"/>
            <w:noWrap/>
            <w:vAlign w:val="center"/>
            <w:hideMark/>
          </w:tcPr>
          <w:p w14:paraId="308017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£760.14</w:t>
            </w:r>
          </w:p>
        </w:tc>
        <w:tc>
          <w:tcPr>
            <w:tcW w:w="1559" w:type="dxa"/>
            <w:tcBorders>
              <w:top w:val="nil"/>
              <w:left w:val="nil"/>
              <w:bottom w:val="single" w:sz="4" w:space="0" w:color="auto"/>
              <w:right w:val="single" w:sz="4" w:space="0" w:color="auto"/>
            </w:tcBorders>
            <w:shd w:val="clear" w:color="auto" w:fill="auto"/>
            <w:noWrap/>
            <w:vAlign w:val="center"/>
            <w:hideMark/>
          </w:tcPr>
          <w:p w14:paraId="3D02CB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£760.14</w:t>
            </w:r>
          </w:p>
        </w:tc>
        <w:tc>
          <w:tcPr>
            <w:tcW w:w="1559" w:type="dxa"/>
            <w:tcBorders>
              <w:top w:val="nil"/>
              <w:left w:val="nil"/>
              <w:bottom w:val="single" w:sz="4" w:space="0" w:color="auto"/>
              <w:right w:val="single" w:sz="4" w:space="0" w:color="auto"/>
            </w:tcBorders>
            <w:shd w:val="clear" w:color="auto" w:fill="auto"/>
            <w:noWrap/>
            <w:vAlign w:val="center"/>
            <w:hideMark/>
          </w:tcPr>
          <w:p w14:paraId="2F415C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£3,040.56</w:t>
            </w:r>
          </w:p>
        </w:tc>
      </w:tr>
      <w:tr w:rsidR="004433D7" w:rsidRPr="004433D7" w14:paraId="247A456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0AE18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Axis Telecom Limited</w:t>
            </w:r>
          </w:p>
        </w:tc>
        <w:tc>
          <w:tcPr>
            <w:tcW w:w="1559" w:type="dxa"/>
            <w:tcBorders>
              <w:top w:val="nil"/>
              <w:left w:val="nil"/>
              <w:bottom w:val="single" w:sz="4" w:space="0" w:color="auto"/>
              <w:right w:val="single" w:sz="4" w:space="0" w:color="auto"/>
            </w:tcBorders>
            <w:shd w:val="clear" w:color="auto" w:fill="auto"/>
            <w:noWrap/>
            <w:vAlign w:val="center"/>
            <w:hideMark/>
          </w:tcPr>
          <w:p w14:paraId="317A43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£334.50</w:t>
            </w:r>
          </w:p>
        </w:tc>
        <w:tc>
          <w:tcPr>
            <w:tcW w:w="1560" w:type="dxa"/>
            <w:tcBorders>
              <w:top w:val="nil"/>
              <w:left w:val="nil"/>
              <w:bottom w:val="single" w:sz="4" w:space="0" w:color="auto"/>
              <w:right w:val="single" w:sz="4" w:space="0" w:color="auto"/>
            </w:tcBorders>
            <w:shd w:val="clear" w:color="auto" w:fill="auto"/>
            <w:noWrap/>
            <w:vAlign w:val="center"/>
            <w:hideMark/>
          </w:tcPr>
          <w:p w14:paraId="3A8892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£334.50</w:t>
            </w:r>
          </w:p>
        </w:tc>
        <w:tc>
          <w:tcPr>
            <w:tcW w:w="1417" w:type="dxa"/>
            <w:tcBorders>
              <w:top w:val="nil"/>
              <w:left w:val="nil"/>
              <w:bottom w:val="single" w:sz="4" w:space="0" w:color="auto"/>
              <w:right w:val="single" w:sz="4" w:space="0" w:color="auto"/>
            </w:tcBorders>
            <w:shd w:val="clear" w:color="auto" w:fill="auto"/>
            <w:noWrap/>
            <w:vAlign w:val="center"/>
            <w:hideMark/>
          </w:tcPr>
          <w:p w14:paraId="2457D0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7E64E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95CD2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90F8B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£334.50</w:t>
            </w:r>
          </w:p>
        </w:tc>
      </w:tr>
      <w:tr w:rsidR="004433D7" w:rsidRPr="004433D7" w14:paraId="4399504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1C42CE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559" w:type="dxa"/>
            <w:tcBorders>
              <w:top w:val="nil"/>
              <w:left w:val="nil"/>
              <w:bottom w:val="single" w:sz="4" w:space="0" w:color="auto"/>
              <w:right w:val="single" w:sz="4" w:space="0" w:color="auto"/>
            </w:tcBorders>
            <w:shd w:val="clear" w:color="auto" w:fill="auto"/>
            <w:noWrap/>
            <w:vAlign w:val="center"/>
            <w:hideMark/>
          </w:tcPr>
          <w:p w14:paraId="5DFB2F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£11,203.62</w:t>
            </w:r>
          </w:p>
        </w:tc>
        <w:tc>
          <w:tcPr>
            <w:tcW w:w="1560" w:type="dxa"/>
            <w:tcBorders>
              <w:top w:val="nil"/>
              <w:left w:val="nil"/>
              <w:bottom w:val="single" w:sz="4" w:space="0" w:color="auto"/>
              <w:right w:val="single" w:sz="4" w:space="0" w:color="auto"/>
            </w:tcBorders>
            <w:shd w:val="clear" w:color="auto" w:fill="auto"/>
            <w:noWrap/>
            <w:vAlign w:val="center"/>
            <w:hideMark/>
          </w:tcPr>
          <w:p w14:paraId="086580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£2,800.90</w:t>
            </w:r>
          </w:p>
        </w:tc>
        <w:tc>
          <w:tcPr>
            <w:tcW w:w="1417" w:type="dxa"/>
            <w:tcBorders>
              <w:top w:val="nil"/>
              <w:left w:val="nil"/>
              <w:bottom w:val="single" w:sz="4" w:space="0" w:color="auto"/>
              <w:right w:val="single" w:sz="4" w:space="0" w:color="auto"/>
            </w:tcBorders>
            <w:shd w:val="clear" w:color="auto" w:fill="auto"/>
            <w:noWrap/>
            <w:vAlign w:val="center"/>
            <w:hideMark/>
          </w:tcPr>
          <w:p w14:paraId="38FD96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£2,800.90</w:t>
            </w:r>
          </w:p>
        </w:tc>
        <w:tc>
          <w:tcPr>
            <w:tcW w:w="1418" w:type="dxa"/>
            <w:tcBorders>
              <w:top w:val="nil"/>
              <w:left w:val="nil"/>
              <w:bottom w:val="single" w:sz="4" w:space="0" w:color="auto"/>
              <w:right w:val="single" w:sz="4" w:space="0" w:color="auto"/>
            </w:tcBorders>
            <w:shd w:val="clear" w:color="auto" w:fill="auto"/>
            <w:noWrap/>
            <w:vAlign w:val="center"/>
            <w:hideMark/>
          </w:tcPr>
          <w:p w14:paraId="737E5E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£2,800.90</w:t>
            </w:r>
          </w:p>
        </w:tc>
        <w:tc>
          <w:tcPr>
            <w:tcW w:w="1559" w:type="dxa"/>
            <w:tcBorders>
              <w:top w:val="nil"/>
              <w:left w:val="nil"/>
              <w:bottom w:val="single" w:sz="4" w:space="0" w:color="auto"/>
              <w:right w:val="single" w:sz="4" w:space="0" w:color="auto"/>
            </w:tcBorders>
            <w:shd w:val="clear" w:color="auto" w:fill="auto"/>
            <w:noWrap/>
            <w:vAlign w:val="center"/>
            <w:hideMark/>
          </w:tcPr>
          <w:p w14:paraId="5206CE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£2,800.90</w:t>
            </w:r>
          </w:p>
        </w:tc>
        <w:tc>
          <w:tcPr>
            <w:tcW w:w="1559" w:type="dxa"/>
            <w:tcBorders>
              <w:top w:val="nil"/>
              <w:left w:val="nil"/>
              <w:bottom w:val="single" w:sz="4" w:space="0" w:color="auto"/>
              <w:right w:val="single" w:sz="4" w:space="0" w:color="auto"/>
            </w:tcBorders>
            <w:shd w:val="clear" w:color="auto" w:fill="auto"/>
            <w:noWrap/>
            <w:vAlign w:val="center"/>
            <w:hideMark/>
          </w:tcPr>
          <w:p w14:paraId="6A39B9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£11,203.60</w:t>
            </w:r>
          </w:p>
        </w:tc>
      </w:tr>
      <w:tr w:rsidR="004433D7" w:rsidRPr="004433D7" w14:paraId="741E40F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BA8873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559" w:type="dxa"/>
            <w:tcBorders>
              <w:top w:val="nil"/>
              <w:left w:val="nil"/>
              <w:bottom w:val="single" w:sz="4" w:space="0" w:color="auto"/>
              <w:right w:val="single" w:sz="4" w:space="0" w:color="auto"/>
            </w:tcBorders>
            <w:shd w:val="clear" w:color="auto" w:fill="auto"/>
            <w:noWrap/>
            <w:vAlign w:val="center"/>
            <w:hideMark/>
          </w:tcPr>
          <w:p w14:paraId="3B58D6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£7,652.67</w:t>
            </w:r>
          </w:p>
        </w:tc>
        <w:tc>
          <w:tcPr>
            <w:tcW w:w="1560" w:type="dxa"/>
            <w:tcBorders>
              <w:top w:val="nil"/>
              <w:left w:val="nil"/>
              <w:bottom w:val="single" w:sz="4" w:space="0" w:color="auto"/>
              <w:right w:val="single" w:sz="4" w:space="0" w:color="auto"/>
            </w:tcBorders>
            <w:shd w:val="clear" w:color="auto" w:fill="auto"/>
            <w:noWrap/>
            <w:vAlign w:val="center"/>
            <w:hideMark/>
          </w:tcPr>
          <w:p w14:paraId="5A26CD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£1,913.17</w:t>
            </w:r>
          </w:p>
        </w:tc>
        <w:tc>
          <w:tcPr>
            <w:tcW w:w="1417" w:type="dxa"/>
            <w:tcBorders>
              <w:top w:val="nil"/>
              <w:left w:val="nil"/>
              <w:bottom w:val="single" w:sz="4" w:space="0" w:color="auto"/>
              <w:right w:val="single" w:sz="4" w:space="0" w:color="auto"/>
            </w:tcBorders>
            <w:shd w:val="clear" w:color="auto" w:fill="auto"/>
            <w:noWrap/>
            <w:vAlign w:val="center"/>
            <w:hideMark/>
          </w:tcPr>
          <w:p w14:paraId="1DB869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£1,913.17</w:t>
            </w:r>
          </w:p>
        </w:tc>
        <w:tc>
          <w:tcPr>
            <w:tcW w:w="1418" w:type="dxa"/>
            <w:tcBorders>
              <w:top w:val="nil"/>
              <w:left w:val="nil"/>
              <w:bottom w:val="single" w:sz="4" w:space="0" w:color="auto"/>
              <w:right w:val="single" w:sz="4" w:space="0" w:color="auto"/>
            </w:tcBorders>
            <w:shd w:val="clear" w:color="auto" w:fill="auto"/>
            <w:noWrap/>
            <w:vAlign w:val="center"/>
            <w:hideMark/>
          </w:tcPr>
          <w:p w14:paraId="46BAEF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£1,913.17</w:t>
            </w:r>
          </w:p>
        </w:tc>
        <w:tc>
          <w:tcPr>
            <w:tcW w:w="1559" w:type="dxa"/>
            <w:tcBorders>
              <w:top w:val="nil"/>
              <w:left w:val="nil"/>
              <w:bottom w:val="single" w:sz="4" w:space="0" w:color="auto"/>
              <w:right w:val="single" w:sz="4" w:space="0" w:color="auto"/>
            </w:tcBorders>
            <w:shd w:val="clear" w:color="auto" w:fill="auto"/>
            <w:noWrap/>
            <w:vAlign w:val="center"/>
            <w:hideMark/>
          </w:tcPr>
          <w:p w14:paraId="0C8BC9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£1,913.17</w:t>
            </w:r>
          </w:p>
        </w:tc>
        <w:tc>
          <w:tcPr>
            <w:tcW w:w="1559" w:type="dxa"/>
            <w:tcBorders>
              <w:top w:val="nil"/>
              <w:left w:val="nil"/>
              <w:bottom w:val="single" w:sz="4" w:space="0" w:color="auto"/>
              <w:right w:val="single" w:sz="4" w:space="0" w:color="auto"/>
            </w:tcBorders>
            <w:shd w:val="clear" w:color="auto" w:fill="auto"/>
            <w:noWrap/>
            <w:vAlign w:val="center"/>
            <w:hideMark/>
          </w:tcPr>
          <w:p w14:paraId="69C2E0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£7,652.68</w:t>
            </w:r>
          </w:p>
        </w:tc>
      </w:tr>
      <w:tr w:rsidR="004433D7" w:rsidRPr="004433D7" w14:paraId="7B735B1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7AFF75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Breeze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44AF83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£51.49</w:t>
            </w:r>
          </w:p>
        </w:tc>
        <w:tc>
          <w:tcPr>
            <w:tcW w:w="1560" w:type="dxa"/>
            <w:tcBorders>
              <w:top w:val="nil"/>
              <w:left w:val="nil"/>
              <w:bottom w:val="single" w:sz="4" w:space="0" w:color="auto"/>
              <w:right w:val="single" w:sz="4" w:space="0" w:color="auto"/>
            </w:tcBorders>
            <w:shd w:val="clear" w:color="auto" w:fill="auto"/>
            <w:noWrap/>
            <w:vAlign w:val="center"/>
            <w:hideMark/>
          </w:tcPr>
          <w:p w14:paraId="1C6674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£12.87</w:t>
            </w:r>
          </w:p>
        </w:tc>
        <w:tc>
          <w:tcPr>
            <w:tcW w:w="1417" w:type="dxa"/>
            <w:tcBorders>
              <w:top w:val="nil"/>
              <w:left w:val="nil"/>
              <w:bottom w:val="single" w:sz="4" w:space="0" w:color="auto"/>
              <w:right w:val="single" w:sz="4" w:space="0" w:color="auto"/>
            </w:tcBorders>
            <w:shd w:val="clear" w:color="auto" w:fill="auto"/>
            <w:noWrap/>
            <w:vAlign w:val="center"/>
            <w:hideMark/>
          </w:tcPr>
          <w:p w14:paraId="2195B6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£12.87</w:t>
            </w:r>
          </w:p>
        </w:tc>
        <w:tc>
          <w:tcPr>
            <w:tcW w:w="1418" w:type="dxa"/>
            <w:tcBorders>
              <w:top w:val="nil"/>
              <w:left w:val="nil"/>
              <w:bottom w:val="single" w:sz="4" w:space="0" w:color="auto"/>
              <w:right w:val="single" w:sz="4" w:space="0" w:color="auto"/>
            </w:tcBorders>
            <w:shd w:val="clear" w:color="auto" w:fill="auto"/>
            <w:noWrap/>
            <w:vAlign w:val="center"/>
            <w:hideMark/>
          </w:tcPr>
          <w:p w14:paraId="078A47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EE1E2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AC10F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£25.74</w:t>
            </w:r>
          </w:p>
        </w:tc>
      </w:tr>
      <w:tr w:rsidR="004433D7" w:rsidRPr="004433D7" w14:paraId="2D29964D"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379CAA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426078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£1,655.19</w:t>
            </w:r>
          </w:p>
        </w:tc>
        <w:tc>
          <w:tcPr>
            <w:tcW w:w="1560" w:type="dxa"/>
            <w:tcBorders>
              <w:top w:val="nil"/>
              <w:left w:val="nil"/>
              <w:bottom w:val="single" w:sz="4" w:space="0" w:color="auto"/>
              <w:right w:val="single" w:sz="4" w:space="0" w:color="auto"/>
            </w:tcBorders>
            <w:shd w:val="clear" w:color="auto" w:fill="auto"/>
            <w:noWrap/>
            <w:vAlign w:val="center"/>
            <w:hideMark/>
          </w:tcPr>
          <w:p w14:paraId="09F9E9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£413.80</w:t>
            </w:r>
          </w:p>
        </w:tc>
        <w:tc>
          <w:tcPr>
            <w:tcW w:w="1417" w:type="dxa"/>
            <w:tcBorders>
              <w:top w:val="nil"/>
              <w:left w:val="nil"/>
              <w:bottom w:val="single" w:sz="4" w:space="0" w:color="auto"/>
              <w:right w:val="single" w:sz="4" w:space="0" w:color="auto"/>
            </w:tcBorders>
            <w:shd w:val="clear" w:color="auto" w:fill="auto"/>
            <w:noWrap/>
            <w:vAlign w:val="center"/>
            <w:hideMark/>
          </w:tcPr>
          <w:p w14:paraId="538A90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£413.80</w:t>
            </w:r>
          </w:p>
        </w:tc>
        <w:tc>
          <w:tcPr>
            <w:tcW w:w="1418" w:type="dxa"/>
            <w:tcBorders>
              <w:top w:val="nil"/>
              <w:left w:val="nil"/>
              <w:bottom w:val="single" w:sz="4" w:space="0" w:color="auto"/>
              <w:right w:val="single" w:sz="4" w:space="0" w:color="auto"/>
            </w:tcBorders>
            <w:shd w:val="clear" w:color="auto" w:fill="auto"/>
            <w:noWrap/>
            <w:vAlign w:val="center"/>
            <w:hideMark/>
          </w:tcPr>
          <w:p w14:paraId="05CBAA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£413.80</w:t>
            </w:r>
          </w:p>
        </w:tc>
        <w:tc>
          <w:tcPr>
            <w:tcW w:w="1559" w:type="dxa"/>
            <w:tcBorders>
              <w:top w:val="nil"/>
              <w:left w:val="nil"/>
              <w:bottom w:val="single" w:sz="4" w:space="0" w:color="auto"/>
              <w:right w:val="single" w:sz="4" w:space="0" w:color="auto"/>
            </w:tcBorders>
            <w:shd w:val="clear" w:color="auto" w:fill="auto"/>
            <w:noWrap/>
            <w:vAlign w:val="center"/>
            <w:hideMark/>
          </w:tcPr>
          <w:p w14:paraId="714AA2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£413.80</w:t>
            </w:r>
          </w:p>
        </w:tc>
        <w:tc>
          <w:tcPr>
            <w:tcW w:w="1559" w:type="dxa"/>
            <w:tcBorders>
              <w:top w:val="nil"/>
              <w:left w:val="nil"/>
              <w:bottom w:val="single" w:sz="4" w:space="0" w:color="auto"/>
              <w:right w:val="single" w:sz="4" w:space="0" w:color="auto"/>
            </w:tcBorders>
            <w:shd w:val="clear" w:color="auto" w:fill="auto"/>
            <w:noWrap/>
            <w:vAlign w:val="center"/>
            <w:hideMark/>
          </w:tcPr>
          <w:p w14:paraId="57492B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£1,655.20</w:t>
            </w:r>
          </w:p>
        </w:tc>
      </w:tr>
      <w:tr w:rsidR="004433D7" w:rsidRPr="004433D7" w14:paraId="4ECD8B1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77D87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559" w:type="dxa"/>
            <w:tcBorders>
              <w:top w:val="nil"/>
              <w:left w:val="nil"/>
              <w:bottom w:val="single" w:sz="4" w:space="0" w:color="auto"/>
              <w:right w:val="single" w:sz="4" w:space="0" w:color="auto"/>
            </w:tcBorders>
            <w:shd w:val="clear" w:color="auto" w:fill="auto"/>
            <w:noWrap/>
            <w:vAlign w:val="center"/>
            <w:hideMark/>
          </w:tcPr>
          <w:p w14:paraId="23B76A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£429,938.78</w:t>
            </w:r>
          </w:p>
        </w:tc>
        <w:tc>
          <w:tcPr>
            <w:tcW w:w="1560" w:type="dxa"/>
            <w:tcBorders>
              <w:top w:val="nil"/>
              <w:left w:val="nil"/>
              <w:bottom w:val="single" w:sz="4" w:space="0" w:color="auto"/>
              <w:right w:val="single" w:sz="4" w:space="0" w:color="auto"/>
            </w:tcBorders>
            <w:shd w:val="clear" w:color="auto" w:fill="auto"/>
            <w:noWrap/>
            <w:vAlign w:val="center"/>
            <w:hideMark/>
          </w:tcPr>
          <w:p w14:paraId="4E79B4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£107,484.69</w:t>
            </w:r>
          </w:p>
        </w:tc>
        <w:tc>
          <w:tcPr>
            <w:tcW w:w="1417" w:type="dxa"/>
            <w:tcBorders>
              <w:top w:val="nil"/>
              <w:left w:val="nil"/>
              <w:bottom w:val="single" w:sz="4" w:space="0" w:color="auto"/>
              <w:right w:val="single" w:sz="4" w:space="0" w:color="auto"/>
            </w:tcBorders>
            <w:shd w:val="clear" w:color="auto" w:fill="auto"/>
            <w:noWrap/>
            <w:vAlign w:val="center"/>
            <w:hideMark/>
          </w:tcPr>
          <w:p w14:paraId="2E1BFB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£107,484.69</w:t>
            </w:r>
          </w:p>
        </w:tc>
        <w:tc>
          <w:tcPr>
            <w:tcW w:w="1418" w:type="dxa"/>
            <w:tcBorders>
              <w:top w:val="nil"/>
              <w:left w:val="nil"/>
              <w:bottom w:val="single" w:sz="4" w:space="0" w:color="auto"/>
              <w:right w:val="single" w:sz="4" w:space="0" w:color="auto"/>
            </w:tcBorders>
            <w:shd w:val="clear" w:color="auto" w:fill="auto"/>
            <w:noWrap/>
            <w:vAlign w:val="center"/>
            <w:hideMark/>
          </w:tcPr>
          <w:p w14:paraId="028530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£107,484.69</w:t>
            </w:r>
          </w:p>
        </w:tc>
        <w:tc>
          <w:tcPr>
            <w:tcW w:w="1559" w:type="dxa"/>
            <w:tcBorders>
              <w:top w:val="nil"/>
              <w:left w:val="nil"/>
              <w:bottom w:val="single" w:sz="4" w:space="0" w:color="auto"/>
              <w:right w:val="single" w:sz="4" w:space="0" w:color="auto"/>
            </w:tcBorders>
            <w:shd w:val="clear" w:color="auto" w:fill="auto"/>
            <w:noWrap/>
            <w:vAlign w:val="center"/>
            <w:hideMark/>
          </w:tcPr>
          <w:p w14:paraId="4A9E17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£107,484.69</w:t>
            </w:r>
          </w:p>
        </w:tc>
        <w:tc>
          <w:tcPr>
            <w:tcW w:w="1559" w:type="dxa"/>
            <w:tcBorders>
              <w:top w:val="nil"/>
              <w:left w:val="nil"/>
              <w:bottom w:val="single" w:sz="4" w:space="0" w:color="auto"/>
              <w:right w:val="single" w:sz="4" w:space="0" w:color="auto"/>
            </w:tcBorders>
            <w:shd w:val="clear" w:color="auto" w:fill="auto"/>
            <w:noWrap/>
            <w:vAlign w:val="center"/>
            <w:hideMark/>
          </w:tcPr>
          <w:p w14:paraId="2DEF42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£429,938.76</w:t>
            </w:r>
          </w:p>
        </w:tc>
      </w:tr>
      <w:tr w:rsidR="004433D7" w:rsidRPr="004433D7" w14:paraId="7688D18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E5D8BC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559" w:type="dxa"/>
            <w:tcBorders>
              <w:top w:val="nil"/>
              <w:left w:val="nil"/>
              <w:bottom w:val="single" w:sz="4" w:space="0" w:color="auto"/>
              <w:right w:val="single" w:sz="4" w:space="0" w:color="auto"/>
            </w:tcBorders>
            <w:shd w:val="clear" w:color="auto" w:fill="auto"/>
            <w:noWrap/>
            <w:vAlign w:val="center"/>
            <w:hideMark/>
          </w:tcPr>
          <w:p w14:paraId="25C93C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£1,497.82</w:t>
            </w:r>
          </w:p>
        </w:tc>
        <w:tc>
          <w:tcPr>
            <w:tcW w:w="1560" w:type="dxa"/>
            <w:tcBorders>
              <w:top w:val="nil"/>
              <w:left w:val="nil"/>
              <w:bottom w:val="single" w:sz="4" w:space="0" w:color="auto"/>
              <w:right w:val="single" w:sz="4" w:space="0" w:color="auto"/>
            </w:tcBorders>
            <w:shd w:val="clear" w:color="auto" w:fill="auto"/>
            <w:noWrap/>
            <w:vAlign w:val="center"/>
            <w:hideMark/>
          </w:tcPr>
          <w:p w14:paraId="341911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£374.46</w:t>
            </w:r>
          </w:p>
        </w:tc>
        <w:tc>
          <w:tcPr>
            <w:tcW w:w="1417" w:type="dxa"/>
            <w:tcBorders>
              <w:top w:val="nil"/>
              <w:left w:val="nil"/>
              <w:bottom w:val="single" w:sz="4" w:space="0" w:color="auto"/>
              <w:right w:val="single" w:sz="4" w:space="0" w:color="auto"/>
            </w:tcBorders>
            <w:shd w:val="clear" w:color="auto" w:fill="auto"/>
            <w:noWrap/>
            <w:vAlign w:val="center"/>
            <w:hideMark/>
          </w:tcPr>
          <w:p w14:paraId="40C638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£374.46</w:t>
            </w:r>
          </w:p>
        </w:tc>
        <w:tc>
          <w:tcPr>
            <w:tcW w:w="1418" w:type="dxa"/>
            <w:tcBorders>
              <w:top w:val="nil"/>
              <w:left w:val="nil"/>
              <w:bottom w:val="single" w:sz="4" w:space="0" w:color="auto"/>
              <w:right w:val="single" w:sz="4" w:space="0" w:color="auto"/>
            </w:tcBorders>
            <w:shd w:val="clear" w:color="auto" w:fill="auto"/>
            <w:noWrap/>
            <w:vAlign w:val="center"/>
            <w:hideMark/>
          </w:tcPr>
          <w:p w14:paraId="0F6096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£374.46</w:t>
            </w:r>
          </w:p>
        </w:tc>
        <w:tc>
          <w:tcPr>
            <w:tcW w:w="1559" w:type="dxa"/>
            <w:tcBorders>
              <w:top w:val="nil"/>
              <w:left w:val="nil"/>
              <w:bottom w:val="single" w:sz="4" w:space="0" w:color="auto"/>
              <w:right w:val="single" w:sz="4" w:space="0" w:color="auto"/>
            </w:tcBorders>
            <w:shd w:val="clear" w:color="auto" w:fill="auto"/>
            <w:noWrap/>
            <w:vAlign w:val="center"/>
            <w:hideMark/>
          </w:tcPr>
          <w:p w14:paraId="0774AF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£374.46</w:t>
            </w:r>
          </w:p>
        </w:tc>
        <w:tc>
          <w:tcPr>
            <w:tcW w:w="1559" w:type="dxa"/>
            <w:tcBorders>
              <w:top w:val="nil"/>
              <w:left w:val="nil"/>
              <w:bottom w:val="single" w:sz="4" w:space="0" w:color="auto"/>
              <w:right w:val="single" w:sz="4" w:space="0" w:color="auto"/>
            </w:tcBorders>
            <w:shd w:val="clear" w:color="auto" w:fill="auto"/>
            <w:noWrap/>
            <w:vAlign w:val="center"/>
            <w:hideMark/>
          </w:tcPr>
          <w:p w14:paraId="227B7D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£1,497.84</w:t>
            </w:r>
          </w:p>
        </w:tc>
      </w:tr>
      <w:tr w:rsidR="004433D7" w:rsidRPr="004433D7" w14:paraId="68D66B0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DC55E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Bruntwood</w:t>
            </w:r>
            <w:proofErr w:type="spellEnd"/>
            <w:r w:rsidRPr="004433D7">
              <w:rPr>
                <w:rFonts w:eastAsia="Times New Roman" w:cs="Times New Roman"/>
                <w:color w:val="000000"/>
                <w:sz w:val="16"/>
                <w:szCs w:val="16"/>
              </w:rPr>
              <w:t xml:space="preserve"> Energy Services Limited</w:t>
            </w:r>
          </w:p>
        </w:tc>
        <w:tc>
          <w:tcPr>
            <w:tcW w:w="1559" w:type="dxa"/>
            <w:tcBorders>
              <w:top w:val="nil"/>
              <w:left w:val="nil"/>
              <w:bottom w:val="single" w:sz="4" w:space="0" w:color="auto"/>
              <w:right w:val="single" w:sz="4" w:space="0" w:color="auto"/>
            </w:tcBorders>
            <w:shd w:val="clear" w:color="auto" w:fill="auto"/>
            <w:noWrap/>
            <w:vAlign w:val="center"/>
            <w:hideMark/>
          </w:tcPr>
          <w:p w14:paraId="14D881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£12.77</w:t>
            </w:r>
          </w:p>
        </w:tc>
        <w:tc>
          <w:tcPr>
            <w:tcW w:w="1560" w:type="dxa"/>
            <w:tcBorders>
              <w:top w:val="nil"/>
              <w:left w:val="nil"/>
              <w:bottom w:val="single" w:sz="4" w:space="0" w:color="auto"/>
              <w:right w:val="single" w:sz="4" w:space="0" w:color="auto"/>
            </w:tcBorders>
            <w:shd w:val="clear" w:color="auto" w:fill="auto"/>
            <w:noWrap/>
            <w:vAlign w:val="center"/>
            <w:hideMark/>
          </w:tcPr>
          <w:p w14:paraId="50FED5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£12.76</w:t>
            </w:r>
          </w:p>
        </w:tc>
        <w:tc>
          <w:tcPr>
            <w:tcW w:w="1417" w:type="dxa"/>
            <w:tcBorders>
              <w:top w:val="nil"/>
              <w:left w:val="nil"/>
              <w:bottom w:val="single" w:sz="4" w:space="0" w:color="auto"/>
              <w:right w:val="single" w:sz="4" w:space="0" w:color="auto"/>
            </w:tcBorders>
            <w:shd w:val="clear" w:color="auto" w:fill="auto"/>
            <w:noWrap/>
            <w:vAlign w:val="center"/>
            <w:hideMark/>
          </w:tcPr>
          <w:p w14:paraId="5B41D6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07DF40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AC5D8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3052E8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£12.76</w:t>
            </w:r>
          </w:p>
        </w:tc>
      </w:tr>
      <w:tr w:rsidR="004433D7" w:rsidRPr="004433D7" w14:paraId="4A336D6F"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4D5972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 (prev. Bullion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1115A8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£7,729.70</w:t>
            </w:r>
          </w:p>
        </w:tc>
        <w:tc>
          <w:tcPr>
            <w:tcW w:w="1560" w:type="dxa"/>
            <w:tcBorders>
              <w:top w:val="nil"/>
              <w:left w:val="nil"/>
              <w:bottom w:val="single" w:sz="4" w:space="0" w:color="auto"/>
              <w:right w:val="single" w:sz="4" w:space="0" w:color="auto"/>
            </w:tcBorders>
            <w:shd w:val="clear" w:color="auto" w:fill="auto"/>
            <w:noWrap/>
            <w:vAlign w:val="center"/>
            <w:hideMark/>
          </w:tcPr>
          <w:p w14:paraId="06E10E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£1,932.42</w:t>
            </w:r>
          </w:p>
        </w:tc>
        <w:tc>
          <w:tcPr>
            <w:tcW w:w="1417" w:type="dxa"/>
            <w:tcBorders>
              <w:top w:val="nil"/>
              <w:left w:val="nil"/>
              <w:bottom w:val="single" w:sz="4" w:space="0" w:color="auto"/>
              <w:right w:val="single" w:sz="4" w:space="0" w:color="auto"/>
            </w:tcBorders>
            <w:shd w:val="clear" w:color="auto" w:fill="auto"/>
            <w:noWrap/>
            <w:vAlign w:val="center"/>
            <w:hideMark/>
          </w:tcPr>
          <w:p w14:paraId="02FCDE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£1,932.42</w:t>
            </w:r>
          </w:p>
        </w:tc>
        <w:tc>
          <w:tcPr>
            <w:tcW w:w="1418" w:type="dxa"/>
            <w:tcBorders>
              <w:top w:val="nil"/>
              <w:left w:val="nil"/>
              <w:bottom w:val="single" w:sz="4" w:space="0" w:color="auto"/>
              <w:right w:val="single" w:sz="4" w:space="0" w:color="auto"/>
            </w:tcBorders>
            <w:shd w:val="clear" w:color="auto" w:fill="auto"/>
            <w:noWrap/>
            <w:vAlign w:val="center"/>
            <w:hideMark/>
          </w:tcPr>
          <w:p w14:paraId="39E77A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£1,932.42</w:t>
            </w:r>
          </w:p>
        </w:tc>
        <w:tc>
          <w:tcPr>
            <w:tcW w:w="1559" w:type="dxa"/>
            <w:tcBorders>
              <w:top w:val="nil"/>
              <w:left w:val="nil"/>
              <w:bottom w:val="single" w:sz="4" w:space="0" w:color="auto"/>
              <w:right w:val="single" w:sz="4" w:space="0" w:color="auto"/>
            </w:tcBorders>
            <w:shd w:val="clear" w:color="auto" w:fill="auto"/>
            <w:noWrap/>
            <w:vAlign w:val="center"/>
            <w:hideMark/>
          </w:tcPr>
          <w:p w14:paraId="006272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£1,932.42</w:t>
            </w:r>
          </w:p>
        </w:tc>
        <w:tc>
          <w:tcPr>
            <w:tcW w:w="1559" w:type="dxa"/>
            <w:tcBorders>
              <w:top w:val="nil"/>
              <w:left w:val="nil"/>
              <w:bottom w:val="single" w:sz="4" w:space="0" w:color="auto"/>
              <w:right w:val="single" w:sz="4" w:space="0" w:color="auto"/>
            </w:tcBorders>
            <w:shd w:val="clear" w:color="auto" w:fill="auto"/>
            <w:noWrap/>
            <w:vAlign w:val="center"/>
            <w:hideMark/>
          </w:tcPr>
          <w:p w14:paraId="5BD9B6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£7,729.68</w:t>
            </w:r>
          </w:p>
        </w:tc>
      </w:tr>
      <w:tr w:rsidR="004433D7" w:rsidRPr="004433D7" w14:paraId="39EA0A8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FA0BC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559" w:type="dxa"/>
            <w:tcBorders>
              <w:top w:val="nil"/>
              <w:left w:val="nil"/>
              <w:bottom w:val="single" w:sz="4" w:space="0" w:color="auto"/>
              <w:right w:val="single" w:sz="4" w:space="0" w:color="auto"/>
            </w:tcBorders>
            <w:shd w:val="clear" w:color="auto" w:fill="auto"/>
            <w:noWrap/>
            <w:vAlign w:val="center"/>
            <w:hideMark/>
          </w:tcPr>
          <w:p w14:paraId="60A36E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£15,233.24</w:t>
            </w:r>
          </w:p>
        </w:tc>
        <w:tc>
          <w:tcPr>
            <w:tcW w:w="1560" w:type="dxa"/>
            <w:tcBorders>
              <w:top w:val="nil"/>
              <w:left w:val="nil"/>
              <w:bottom w:val="single" w:sz="4" w:space="0" w:color="auto"/>
              <w:right w:val="single" w:sz="4" w:space="0" w:color="auto"/>
            </w:tcBorders>
            <w:shd w:val="clear" w:color="auto" w:fill="auto"/>
            <w:noWrap/>
            <w:vAlign w:val="center"/>
            <w:hideMark/>
          </w:tcPr>
          <w:p w14:paraId="78C378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£3,808.31</w:t>
            </w:r>
          </w:p>
        </w:tc>
        <w:tc>
          <w:tcPr>
            <w:tcW w:w="1417" w:type="dxa"/>
            <w:tcBorders>
              <w:top w:val="nil"/>
              <w:left w:val="nil"/>
              <w:bottom w:val="single" w:sz="4" w:space="0" w:color="auto"/>
              <w:right w:val="single" w:sz="4" w:space="0" w:color="auto"/>
            </w:tcBorders>
            <w:shd w:val="clear" w:color="auto" w:fill="auto"/>
            <w:noWrap/>
            <w:vAlign w:val="center"/>
            <w:hideMark/>
          </w:tcPr>
          <w:p w14:paraId="7DF34C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£3,808.31</w:t>
            </w:r>
          </w:p>
        </w:tc>
        <w:tc>
          <w:tcPr>
            <w:tcW w:w="1418" w:type="dxa"/>
            <w:tcBorders>
              <w:top w:val="nil"/>
              <w:left w:val="nil"/>
              <w:bottom w:val="single" w:sz="4" w:space="0" w:color="auto"/>
              <w:right w:val="single" w:sz="4" w:space="0" w:color="auto"/>
            </w:tcBorders>
            <w:shd w:val="clear" w:color="auto" w:fill="auto"/>
            <w:noWrap/>
            <w:vAlign w:val="center"/>
            <w:hideMark/>
          </w:tcPr>
          <w:p w14:paraId="79BA52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£3,808.31</w:t>
            </w:r>
          </w:p>
        </w:tc>
        <w:tc>
          <w:tcPr>
            <w:tcW w:w="1559" w:type="dxa"/>
            <w:tcBorders>
              <w:top w:val="nil"/>
              <w:left w:val="nil"/>
              <w:bottom w:val="single" w:sz="4" w:space="0" w:color="auto"/>
              <w:right w:val="single" w:sz="4" w:space="0" w:color="auto"/>
            </w:tcBorders>
            <w:shd w:val="clear" w:color="auto" w:fill="auto"/>
            <w:noWrap/>
            <w:vAlign w:val="center"/>
            <w:hideMark/>
          </w:tcPr>
          <w:p w14:paraId="7C0C99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£3,808.31</w:t>
            </w:r>
          </w:p>
        </w:tc>
        <w:tc>
          <w:tcPr>
            <w:tcW w:w="1559" w:type="dxa"/>
            <w:tcBorders>
              <w:top w:val="nil"/>
              <w:left w:val="nil"/>
              <w:bottom w:val="single" w:sz="4" w:space="0" w:color="auto"/>
              <w:right w:val="single" w:sz="4" w:space="0" w:color="auto"/>
            </w:tcBorders>
            <w:shd w:val="clear" w:color="auto" w:fill="auto"/>
            <w:noWrap/>
            <w:vAlign w:val="center"/>
            <w:hideMark/>
          </w:tcPr>
          <w:p w14:paraId="0A6AAF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£15,233.24</w:t>
            </w:r>
          </w:p>
        </w:tc>
      </w:tr>
      <w:tr w:rsidR="004433D7" w:rsidRPr="004433D7" w14:paraId="71A653C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A1C07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Business Power and Gas Limited</w:t>
            </w:r>
          </w:p>
        </w:tc>
        <w:tc>
          <w:tcPr>
            <w:tcW w:w="1559" w:type="dxa"/>
            <w:tcBorders>
              <w:top w:val="nil"/>
              <w:left w:val="nil"/>
              <w:bottom w:val="single" w:sz="4" w:space="0" w:color="auto"/>
              <w:right w:val="single" w:sz="4" w:space="0" w:color="auto"/>
            </w:tcBorders>
            <w:shd w:val="clear" w:color="auto" w:fill="auto"/>
            <w:noWrap/>
            <w:vAlign w:val="center"/>
            <w:hideMark/>
          </w:tcPr>
          <w:p w14:paraId="726097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£649.22</w:t>
            </w:r>
          </w:p>
        </w:tc>
        <w:tc>
          <w:tcPr>
            <w:tcW w:w="1560" w:type="dxa"/>
            <w:tcBorders>
              <w:top w:val="nil"/>
              <w:left w:val="nil"/>
              <w:bottom w:val="single" w:sz="4" w:space="0" w:color="auto"/>
              <w:right w:val="single" w:sz="4" w:space="0" w:color="auto"/>
            </w:tcBorders>
            <w:shd w:val="clear" w:color="auto" w:fill="auto"/>
            <w:noWrap/>
            <w:vAlign w:val="center"/>
            <w:hideMark/>
          </w:tcPr>
          <w:p w14:paraId="7E928B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£162.31</w:t>
            </w:r>
          </w:p>
        </w:tc>
        <w:tc>
          <w:tcPr>
            <w:tcW w:w="1417" w:type="dxa"/>
            <w:tcBorders>
              <w:top w:val="nil"/>
              <w:left w:val="nil"/>
              <w:bottom w:val="single" w:sz="4" w:space="0" w:color="auto"/>
              <w:right w:val="single" w:sz="4" w:space="0" w:color="auto"/>
            </w:tcBorders>
            <w:shd w:val="clear" w:color="auto" w:fill="auto"/>
            <w:noWrap/>
            <w:vAlign w:val="center"/>
            <w:hideMark/>
          </w:tcPr>
          <w:p w14:paraId="570EF3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£162.31</w:t>
            </w:r>
          </w:p>
        </w:tc>
        <w:tc>
          <w:tcPr>
            <w:tcW w:w="1418" w:type="dxa"/>
            <w:tcBorders>
              <w:top w:val="nil"/>
              <w:left w:val="nil"/>
              <w:bottom w:val="single" w:sz="4" w:space="0" w:color="auto"/>
              <w:right w:val="single" w:sz="4" w:space="0" w:color="auto"/>
            </w:tcBorders>
            <w:shd w:val="clear" w:color="auto" w:fill="auto"/>
            <w:noWrap/>
            <w:vAlign w:val="center"/>
            <w:hideMark/>
          </w:tcPr>
          <w:p w14:paraId="73918E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£162.31</w:t>
            </w:r>
          </w:p>
        </w:tc>
        <w:tc>
          <w:tcPr>
            <w:tcW w:w="1559" w:type="dxa"/>
            <w:tcBorders>
              <w:top w:val="nil"/>
              <w:left w:val="nil"/>
              <w:bottom w:val="single" w:sz="4" w:space="0" w:color="auto"/>
              <w:right w:val="single" w:sz="4" w:space="0" w:color="auto"/>
            </w:tcBorders>
            <w:shd w:val="clear" w:color="auto" w:fill="auto"/>
            <w:noWrap/>
            <w:vAlign w:val="center"/>
            <w:hideMark/>
          </w:tcPr>
          <w:p w14:paraId="321A84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£162.31</w:t>
            </w:r>
          </w:p>
        </w:tc>
        <w:tc>
          <w:tcPr>
            <w:tcW w:w="1559" w:type="dxa"/>
            <w:tcBorders>
              <w:top w:val="nil"/>
              <w:left w:val="nil"/>
              <w:bottom w:val="single" w:sz="4" w:space="0" w:color="auto"/>
              <w:right w:val="single" w:sz="4" w:space="0" w:color="auto"/>
            </w:tcBorders>
            <w:shd w:val="clear" w:color="auto" w:fill="auto"/>
            <w:noWrap/>
            <w:vAlign w:val="center"/>
            <w:hideMark/>
          </w:tcPr>
          <w:p w14:paraId="3E6632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£649.24</w:t>
            </w:r>
          </w:p>
        </w:tc>
      </w:tr>
      <w:tr w:rsidR="004433D7" w:rsidRPr="004433D7" w14:paraId="55470D6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4E9C6A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6776AC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£14,890.51</w:t>
            </w:r>
          </w:p>
        </w:tc>
        <w:tc>
          <w:tcPr>
            <w:tcW w:w="1560" w:type="dxa"/>
            <w:tcBorders>
              <w:top w:val="nil"/>
              <w:left w:val="nil"/>
              <w:bottom w:val="single" w:sz="4" w:space="0" w:color="auto"/>
              <w:right w:val="single" w:sz="4" w:space="0" w:color="auto"/>
            </w:tcBorders>
            <w:shd w:val="clear" w:color="auto" w:fill="auto"/>
            <w:noWrap/>
            <w:vAlign w:val="center"/>
            <w:hideMark/>
          </w:tcPr>
          <w:p w14:paraId="4ECF9D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£3,722.63</w:t>
            </w:r>
          </w:p>
        </w:tc>
        <w:tc>
          <w:tcPr>
            <w:tcW w:w="1417" w:type="dxa"/>
            <w:tcBorders>
              <w:top w:val="nil"/>
              <w:left w:val="nil"/>
              <w:bottom w:val="single" w:sz="4" w:space="0" w:color="auto"/>
              <w:right w:val="single" w:sz="4" w:space="0" w:color="auto"/>
            </w:tcBorders>
            <w:shd w:val="clear" w:color="auto" w:fill="auto"/>
            <w:noWrap/>
            <w:vAlign w:val="center"/>
            <w:hideMark/>
          </w:tcPr>
          <w:p w14:paraId="0DCA88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£3,722.63</w:t>
            </w:r>
          </w:p>
        </w:tc>
        <w:tc>
          <w:tcPr>
            <w:tcW w:w="1418" w:type="dxa"/>
            <w:tcBorders>
              <w:top w:val="nil"/>
              <w:left w:val="nil"/>
              <w:bottom w:val="single" w:sz="4" w:space="0" w:color="auto"/>
              <w:right w:val="single" w:sz="4" w:space="0" w:color="auto"/>
            </w:tcBorders>
            <w:shd w:val="clear" w:color="auto" w:fill="auto"/>
            <w:noWrap/>
            <w:vAlign w:val="center"/>
            <w:hideMark/>
          </w:tcPr>
          <w:p w14:paraId="2DD5D8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£3,722.63</w:t>
            </w:r>
          </w:p>
        </w:tc>
        <w:tc>
          <w:tcPr>
            <w:tcW w:w="1559" w:type="dxa"/>
            <w:tcBorders>
              <w:top w:val="nil"/>
              <w:left w:val="nil"/>
              <w:bottom w:val="single" w:sz="4" w:space="0" w:color="auto"/>
              <w:right w:val="single" w:sz="4" w:space="0" w:color="auto"/>
            </w:tcBorders>
            <w:shd w:val="clear" w:color="auto" w:fill="auto"/>
            <w:noWrap/>
            <w:vAlign w:val="center"/>
            <w:hideMark/>
          </w:tcPr>
          <w:p w14:paraId="7FEEA0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£3,722.63</w:t>
            </w:r>
          </w:p>
        </w:tc>
        <w:tc>
          <w:tcPr>
            <w:tcW w:w="1559" w:type="dxa"/>
            <w:tcBorders>
              <w:top w:val="nil"/>
              <w:left w:val="nil"/>
              <w:bottom w:val="single" w:sz="4" w:space="0" w:color="auto"/>
              <w:right w:val="single" w:sz="4" w:space="0" w:color="auto"/>
            </w:tcBorders>
            <w:shd w:val="clear" w:color="auto" w:fill="auto"/>
            <w:noWrap/>
            <w:vAlign w:val="center"/>
            <w:hideMark/>
          </w:tcPr>
          <w:p w14:paraId="009AFF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£14,890.52</w:t>
            </w:r>
          </w:p>
        </w:tc>
      </w:tr>
      <w:tr w:rsidR="004433D7" w:rsidRPr="004433D7" w14:paraId="5D0AE1E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DB44A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5 Limited</w:t>
            </w:r>
          </w:p>
        </w:tc>
        <w:tc>
          <w:tcPr>
            <w:tcW w:w="1559" w:type="dxa"/>
            <w:tcBorders>
              <w:top w:val="nil"/>
              <w:left w:val="nil"/>
              <w:bottom w:val="single" w:sz="4" w:space="0" w:color="auto"/>
              <w:right w:val="single" w:sz="4" w:space="0" w:color="auto"/>
            </w:tcBorders>
            <w:shd w:val="clear" w:color="auto" w:fill="auto"/>
            <w:noWrap/>
            <w:vAlign w:val="center"/>
            <w:hideMark/>
          </w:tcPr>
          <w:p w14:paraId="73E66E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£3,739.21</w:t>
            </w:r>
          </w:p>
        </w:tc>
        <w:tc>
          <w:tcPr>
            <w:tcW w:w="1560" w:type="dxa"/>
            <w:tcBorders>
              <w:top w:val="nil"/>
              <w:left w:val="nil"/>
              <w:bottom w:val="single" w:sz="4" w:space="0" w:color="auto"/>
              <w:right w:val="single" w:sz="4" w:space="0" w:color="auto"/>
            </w:tcBorders>
            <w:shd w:val="clear" w:color="auto" w:fill="auto"/>
            <w:noWrap/>
            <w:vAlign w:val="center"/>
            <w:hideMark/>
          </w:tcPr>
          <w:p w14:paraId="6A2EB8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£934.80</w:t>
            </w:r>
          </w:p>
        </w:tc>
        <w:tc>
          <w:tcPr>
            <w:tcW w:w="1417" w:type="dxa"/>
            <w:tcBorders>
              <w:top w:val="nil"/>
              <w:left w:val="nil"/>
              <w:bottom w:val="single" w:sz="4" w:space="0" w:color="auto"/>
              <w:right w:val="single" w:sz="4" w:space="0" w:color="auto"/>
            </w:tcBorders>
            <w:shd w:val="clear" w:color="auto" w:fill="auto"/>
            <w:noWrap/>
            <w:vAlign w:val="center"/>
            <w:hideMark/>
          </w:tcPr>
          <w:p w14:paraId="1D6638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£934.80</w:t>
            </w:r>
          </w:p>
        </w:tc>
        <w:tc>
          <w:tcPr>
            <w:tcW w:w="1418" w:type="dxa"/>
            <w:tcBorders>
              <w:top w:val="nil"/>
              <w:left w:val="nil"/>
              <w:bottom w:val="single" w:sz="4" w:space="0" w:color="auto"/>
              <w:right w:val="single" w:sz="4" w:space="0" w:color="auto"/>
            </w:tcBorders>
            <w:shd w:val="clear" w:color="auto" w:fill="auto"/>
            <w:noWrap/>
            <w:vAlign w:val="center"/>
            <w:hideMark/>
          </w:tcPr>
          <w:p w14:paraId="759B90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£934.80</w:t>
            </w:r>
          </w:p>
        </w:tc>
        <w:tc>
          <w:tcPr>
            <w:tcW w:w="1559" w:type="dxa"/>
            <w:tcBorders>
              <w:top w:val="nil"/>
              <w:left w:val="nil"/>
              <w:bottom w:val="single" w:sz="4" w:space="0" w:color="auto"/>
              <w:right w:val="single" w:sz="4" w:space="0" w:color="auto"/>
            </w:tcBorders>
            <w:shd w:val="clear" w:color="auto" w:fill="auto"/>
            <w:noWrap/>
            <w:vAlign w:val="center"/>
            <w:hideMark/>
          </w:tcPr>
          <w:p w14:paraId="6BFA3F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£934.80</w:t>
            </w:r>
          </w:p>
        </w:tc>
        <w:tc>
          <w:tcPr>
            <w:tcW w:w="1559" w:type="dxa"/>
            <w:tcBorders>
              <w:top w:val="nil"/>
              <w:left w:val="nil"/>
              <w:bottom w:val="single" w:sz="4" w:space="0" w:color="auto"/>
              <w:right w:val="single" w:sz="4" w:space="0" w:color="auto"/>
            </w:tcBorders>
            <w:shd w:val="clear" w:color="auto" w:fill="auto"/>
            <w:noWrap/>
            <w:vAlign w:val="center"/>
            <w:hideMark/>
          </w:tcPr>
          <w:p w14:paraId="7A7106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£3,739.20</w:t>
            </w:r>
          </w:p>
        </w:tc>
      </w:tr>
      <w:tr w:rsidR="004433D7" w:rsidRPr="004433D7" w14:paraId="6DACF7D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58859F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Dong Energy Power Sales UK Limited</w:t>
            </w:r>
          </w:p>
        </w:tc>
        <w:tc>
          <w:tcPr>
            <w:tcW w:w="1559" w:type="dxa"/>
            <w:tcBorders>
              <w:top w:val="nil"/>
              <w:left w:val="nil"/>
              <w:bottom w:val="single" w:sz="4" w:space="0" w:color="auto"/>
              <w:right w:val="single" w:sz="4" w:space="0" w:color="auto"/>
            </w:tcBorders>
            <w:shd w:val="clear" w:color="auto" w:fill="auto"/>
            <w:noWrap/>
            <w:vAlign w:val="center"/>
            <w:hideMark/>
          </w:tcPr>
          <w:p w14:paraId="5AF041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£34,887.87</w:t>
            </w:r>
          </w:p>
        </w:tc>
        <w:tc>
          <w:tcPr>
            <w:tcW w:w="1560" w:type="dxa"/>
            <w:tcBorders>
              <w:top w:val="nil"/>
              <w:left w:val="nil"/>
              <w:bottom w:val="single" w:sz="4" w:space="0" w:color="auto"/>
              <w:right w:val="single" w:sz="4" w:space="0" w:color="auto"/>
            </w:tcBorders>
            <w:shd w:val="clear" w:color="auto" w:fill="auto"/>
            <w:noWrap/>
            <w:vAlign w:val="center"/>
            <w:hideMark/>
          </w:tcPr>
          <w:p w14:paraId="4E1862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£8,721.97</w:t>
            </w:r>
          </w:p>
        </w:tc>
        <w:tc>
          <w:tcPr>
            <w:tcW w:w="1417" w:type="dxa"/>
            <w:tcBorders>
              <w:top w:val="nil"/>
              <w:left w:val="nil"/>
              <w:bottom w:val="single" w:sz="4" w:space="0" w:color="auto"/>
              <w:right w:val="single" w:sz="4" w:space="0" w:color="auto"/>
            </w:tcBorders>
            <w:shd w:val="clear" w:color="auto" w:fill="auto"/>
            <w:noWrap/>
            <w:vAlign w:val="center"/>
            <w:hideMark/>
          </w:tcPr>
          <w:p w14:paraId="188603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£8,721.97</w:t>
            </w:r>
          </w:p>
        </w:tc>
        <w:tc>
          <w:tcPr>
            <w:tcW w:w="1418" w:type="dxa"/>
            <w:tcBorders>
              <w:top w:val="nil"/>
              <w:left w:val="nil"/>
              <w:bottom w:val="single" w:sz="4" w:space="0" w:color="auto"/>
              <w:right w:val="single" w:sz="4" w:space="0" w:color="auto"/>
            </w:tcBorders>
            <w:shd w:val="clear" w:color="auto" w:fill="auto"/>
            <w:noWrap/>
            <w:vAlign w:val="center"/>
            <w:hideMark/>
          </w:tcPr>
          <w:p w14:paraId="6839E1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£8,721.97</w:t>
            </w:r>
          </w:p>
        </w:tc>
        <w:tc>
          <w:tcPr>
            <w:tcW w:w="1559" w:type="dxa"/>
            <w:tcBorders>
              <w:top w:val="nil"/>
              <w:left w:val="nil"/>
              <w:bottom w:val="single" w:sz="4" w:space="0" w:color="auto"/>
              <w:right w:val="single" w:sz="4" w:space="0" w:color="auto"/>
            </w:tcBorders>
            <w:shd w:val="clear" w:color="auto" w:fill="auto"/>
            <w:noWrap/>
            <w:vAlign w:val="center"/>
            <w:hideMark/>
          </w:tcPr>
          <w:p w14:paraId="0F911D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£8,721.97</w:t>
            </w:r>
          </w:p>
        </w:tc>
        <w:tc>
          <w:tcPr>
            <w:tcW w:w="1559" w:type="dxa"/>
            <w:tcBorders>
              <w:top w:val="nil"/>
              <w:left w:val="nil"/>
              <w:bottom w:val="single" w:sz="4" w:space="0" w:color="auto"/>
              <w:right w:val="single" w:sz="4" w:space="0" w:color="auto"/>
            </w:tcBorders>
            <w:shd w:val="clear" w:color="auto" w:fill="auto"/>
            <w:noWrap/>
            <w:vAlign w:val="center"/>
            <w:hideMark/>
          </w:tcPr>
          <w:p w14:paraId="4D310C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£34,887.88</w:t>
            </w:r>
          </w:p>
        </w:tc>
      </w:tr>
      <w:tr w:rsidR="004433D7" w:rsidRPr="004433D7" w14:paraId="2F6872B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FAD80C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559" w:type="dxa"/>
            <w:tcBorders>
              <w:top w:val="nil"/>
              <w:left w:val="nil"/>
              <w:bottom w:val="single" w:sz="4" w:space="0" w:color="auto"/>
              <w:right w:val="single" w:sz="4" w:space="0" w:color="auto"/>
            </w:tcBorders>
            <w:shd w:val="clear" w:color="auto" w:fill="auto"/>
            <w:noWrap/>
            <w:vAlign w:val="center"/>
            <w:hideMark/>
          </w:tcPr>
          <w:p w14:paraId="5E31FB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£14,849.72</w:t>
            </w:r>
          </w:p>
        </w:tc>
        <w:tc>
          <w:tcPr>
            <w:tcW w:w="1560" w:type="dxa"/>
            <w:tcBorders>
              <w:top w:val="nil"/>
              <w:left w:val="nil"/>
              <w:bottom w:val="single" w:sz="4" w:space="0" w:color="auto"/>
              <w:right w:val="single" w:sz="4" w:space="0" w:color="auto"/>
            </w:tcBorders>
            <w:shd w:val="clear" w:color="auto" w:fill="auto"/>
            <w:noWrap/>
            <w:vAlign w:val="center"/>
            <w:hideMark/>
          </w:tcPr>
          <w:p w14:paraId="3E81BA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£3,712.43</w:t>
            </w:r>
          </w:p>
        </w:tc>
        <w:tc>
          <w:tcPr>
            <w:tcW w:w="1417" w:type="dxa"/>
            <w:tcBorders>
              <w:top w:val="nil"/>
              <w:left w:val="nil"/>
              <w:bottom w:val="single" w:sz="4" w:space="0" w:color="auto"/>
              <w:right w:val="single" w:sz="4" w:space="0" w:color="auto"/>
            </w:tcBorders>
            <w:shd w:val="clear" w:color="auto" w:fill="auto"/>
            <w:noWrap/>
            <w:vAlign w:val="center"/>
            <w:hideMark/>
          </w:tcPr>
          <w:p w14:paraId="11D69C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£7,424.86</w:t>
            </w:r>
          </w:p>
        </w:tc>
        <w:tc>
          <w:tcPr>
            <w:tcW w:w="1418" w:type="dxa"/>
            <w:tcBorders>
              <w:top w:val="nil"/>
              <w:left w:val="nil"/>
              <w:bottom w:val="single" w:sz="4" w:space="0" w:color="auto"/>
              <w:right w:val="single" w:sz="4" w:space="0" w:color="auto"/>
            </w:tcBorders>
            <w:shd w:val="clear" w:color="auto" w:fill="auto"/>
            <w:noWrap/>
            <w:vAlign w:val="center"/>
            <w:hideMark/>
          </w:tcPr>
          <w:p w14:paraId="714C64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AA77F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£3,712.43</w:t>
            </w:r>
          </w:p>
        </w:tc>
        <w:tc>
          <w:tcPr>
            <w:tcW w:w="1559" w:type="dxa"/>
            <w:tcBorders>
              <w:top w:val="nil"/>
              <w:left w:val="nil"/>
              <w:bottom w:val="single" w:sz="4" w:space="0" w:color="auto"/>
              <w:right w:val="single" w:sz="4" w:space="0" w:color="auto"/>
            </w:tcBorders>
            <w:shd w:val="clear" w:color="auto" w:fill="auto"/>
            <w:noWrap/>
            <w:vAlign w:val="center"/>
            <w:hideMark/>
          </w:tcPr>
          <w:p w14:paraId="26E161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£14,849.72</w:t>
            </w:r>
          </w:p>
        </w:tc>
      </w:tr>
      <w:tr w:rsidR="004433D7" w:rsidRPr="004433D7" w14:paraId="2637398F"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5064A3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 (Gas and Electricity) Limited</w:t>
            </w:r>
          </w:p>
        </w:tc>
        <w:tc>
          <w:tcPr>
            <w:tcW w:w="1559" w:type="dxa"/>
            <w:tcBorders>
              <w:top w:val="nil"/>
              <w:left w:val="nil"/>
              <w:bottom w:val="single" w:sz="4" w:space="0" w:color="auto"/>
              <w:right w:val="single" w:sz="4" w:space="0" w:color="auto"/>
            </w:tcBorders>
            <w:shd w:val="clear" w:color="auto" w:fill="auto"/>
            <w:noWrap/>
            <w:vAlign w:val="center"/>
            <w:hideMark/>
          </w:tcPr>
          <w:p w14:paraId="6D5A41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£4,853.92</w:t>
            </w:r>
          </w:p>
        </w:tc>
        <w:tc>
          <w:tcPr>
            <w:tcW w:w="1560" w:type="dxa"/>
            <w:tcBorders>
              <w:top w:val="nil"/>
              <w:left w:val="nil"/>
              <w:bottom w:val="single" w:sz="4" w:space="0" w:color="auto"/>
              <w:right w:val="single" w:sz="4" w:space="0" w:color="auto"/>
            </w:tcBorders>
            <w:shd w:val="clear" w:color="auto" w:fill="auto"/>
            <w:noWrap/>
            <w:vAlign w:val="center"/>
            <w:hideMark/>
          </w:tcPr>
          <w:p w14:paraId="3A9C22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£1,213.48</w:t>
            </w:r>
          </w:p>
        </w:tc>
        <w:tc>
          <w:tcPr>
            <w:tcW w:w="1417" w:type="dxa"/>
            <w:tcBorders>
              <w:top w:val="nil"/>
              <w:left w:val="nil"/>
              <w:bottom w:val="single" w:sz="4" w:space="0" w:color="auto"/>
              <w:right w:val="single" w:sz="4" w:space="0" w:color="auto"/>
            </w:tcBorders>
            <w:shd w:val="clear" w:color="auto" w:fill="auto"/>
            <w:noWrap/>
            <w:vAlign w:val="center"/>
            <w:hideMark/>
          </w:tcPr>
          <w:p w14:paraId="12EB3D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£1,213.48</w:t>
            </w:r>
          </w:p>
        </w:tc>
        <w:tc>
          <w:tcPr>
            <w:tcW w:w="1418" w:type="dxa"/>
            <w:tcBorders>
              <w:top w:val="nil"/>
              <w:left w:val="nil"/>
              <w:bottom w:val="single" w:sz="4" w:space="0" w:color="auto"/>
              <w:right w:val="single" w:sz="4" w:space="0" w:color="auto"/>
            </w:tcBorders>
            <w:shd w:val="clear" w:color="auto" w:fill="auto"/>
            <w:noWrap/>
            <w:vAlign w:val="center"/>
            <w:hideMark/>
          </w:tcPr>
          <w:p w14:paraId="65AD1F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£1,213.48</w:t>
            </w:r>
          </w:p>
        </w:tc>
        <w:tc>
          <w:tcPr>
            <w:tcW w:w="1559" w:type="dxa"/>
            <w:tcBorders>
              <w:top w:val="nil"/>
              <w:left w:val="nil"/>
              <w:bottom w:val="single" w:sz="4" w:space="0" w:color="auto"/>
              <w:right w:val="single" w:sz="4" w:space="0" w:color="auto"/>
            </w:tcBorders>
            <w:shd w:val="clear" w:color="auto" w:fill="auto"/>
            <w:noWrap/>
            <w:vAlign w:val="center"/>
            <w:hideMark/>
          </w:tcPr>
          <w:p w14:paraId="3D9BA4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£1,213.48</w:t>
            </w:r>
          </w:p>
        </w:tc>
        <w:tc>
          <w:tcPr>
            <w:tcW w:w="1559" w:type="dxa"/>
            <w:tcBorders>
              <w:top w:val="nil"/>
              <w:left w:val="nil"/>
              <w:bottom w:val="single" w:sz="4" w:space="0" w:color="auto"/>
              <w:right w:val="single" w:sz="4" w:space="0" w:color="auto"/>
            </w:tcBorders>
            <w:shd w:val="clear" w:color="auto" w:fill="auto"/>
            <w:noWrap/>
            <w:vAlign w:val="center"/>
            <w:hideMark/>
          </w:tcPr>
          <w:p w14:paraId="1707ED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£4,853.92</w:t>
            </w:r>
          </w:p>
        </w:tc>
      </w:tr>
      <w:tr w:rsidR="004433D7" w:rsidRPr="004433D7" w14:paraId="49EB5CD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A7DFA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559" w:type="dxa"/>
            <w:tcBorders>
              <w:top w:val="nil"/>
              <w:left w:val="nil"/>
              <w:bottom w:val="single" w:sz="4" w:space="0" w:color="auto"/>
              <w:right w:val="single" w:sz="4" w:space="0" w:color="auto"/>
            </w:tcBorders>
            <w:shd w:val="clear" w:color="auto" w:fill="auto"/>
            <w:noWrap/>
            <w:vAlign w:val="center"/>
            <w:hideMark/>
          </w:tcPr>
          <w:p w14:paraId="563B75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£169,996.95</w:t>
            </w:r>
          </w:p>
        </w:tc>
        <w:tc>
          <w:tcPr>
            <w:tcW w:w="1560" w:type="dxa"/>
            <w:tcBorders>
              <w:top w:val="nil"/>
              <w:left w:val="nil"/>
              <w:bottom w:val="single" w:sz="4" w:space="0" w:color="auto"/>
              <w:right w:val="single" w:sz="4" w:space="0" w:color="auto"/>
            </w:tcBorders>
            <w:shd w:val="clear" w:color="auto" w:fill="auto"/>
            <w:noWrap/>
            <w:vAlign w:val="center"/>
            <w:hideMark/>
          </w:tcPr>
          <w:p w14:paraId="421242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£42,499.24</w:t>
            </w:r>
          </w:p>
        </w:tc>
        <w:tc>
          <w:tcPr>
            <w:tcW w:w="1417" w:type="dxa"/>
            <w:tcBorders>
              <w:top w:val="nil"/>
              <w:left w:val="nil"/>
              <w:bottom w:val="single" w:sz="4" w:space="0" w:color="auto"/>
              <w:right w:val="single" w:sz="4" w:space="0" w:color="auto"/>
            </w:tcBorders>
            <w:shd w:val="clear" w:color="auto" w:fill="auto"/>
            <w:noWrap/>
            <w:vAlign w:val="center"/>
            <w:hideMark/>
          </w:tcPr>
          <w:p w14:paraId="517B1C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£42,499.24</w:t>
            </w:r>
          </w:p>
        </w:tc>
        <w:tc>
          <w:tcPr>
            <w:tcW w:w="1418" w:type="dxa"/>
            <w:tcBorders>
              <w:top w:val="nil"/>
              <w:left w:val="nil"/>
              <w:bottom w:val="single" w:sz="4" w:space="0" w:color="auto"/>
              <w:right w:val="single" w:sz="4" w:space="0" w:color="auto"/>
            </w:tcBorders>
            <w:shd w:val="clear" w:color="auto" w:fill="auto"/>
            <w:noWrap/>
            <w:vAlign w:val="center"/>
            <w:hideMark/>
          </w:tcPr>
          <w:p w14:paraId="7B07B3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£42,499.24</w:t>
            </w:r>
          </w:p>
        </w:tc>
        <w:tc>
          <w:tcPr>
            <w:tcW w:w="1559" w:type="dxa"/>
            <w:tcBorders>
              <w:top w:val="nil"/>
              <w:left w:val="nil"/>
              <w:bottom w:val="single" w:sz="4" w:space="0" w:color="auto"/>
              <w:right w:val="single" w:sz="4" w:space="0" w:color="auto"/>
            </w:tcBorders>
            <w:shd w:val="clear" w:color="auto" w:fill="auto"/>
            <w:noWrap/>
            <w:vAlign w:val="center"/>
            <w:hideMark/>
          </w:tcPr>
          <w:p w14:paraId="716DA9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£42,499.24</w:t>
            </w:r>
          </w:p>
        </w:tc>
        <w:tc>
          <w:tcPr>
            <w:tcW w:w="1559" w:type="dxa"/>
            <w:tcBorders>
              <w:top w:val="nil"/>
              <w:left w:val="nil"/>
              <w:bottom w:val="single" w:sz="4" w:space="0" w:color="auto"/>
              <w:right w:val="single" w:sz="4" w:space="0" w:color="auto"/>
            </w:tcBorders>
            <w:shd w:val="clear" w:color="auto" w:fill="auto"/>
            <w:noWrap/>
            <w:vAlign w:val="center"/>
            <w:hideMark/>
          </w:tcPr>
          <w:p w14:paraId="1708DB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£169,996.96</w:t>
            </w:r>
          </w:p>
        </w:tc>
      </w:tr>
      <w:tr w:rsidR="004433D7" w:rsidRPr="004433D7" w14:paraId="7F42BAD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55549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559" w:type="dxa"/>
            <w:tcBorders>
              <w:top w:val="nil"/>
              <w:left w:val="nil"/>
              <w:bottom w:val="single" w:sz="4" w:space="0" w:color="auto"/>
              <w:right w:val="single" w:sz="4" w:space="0" w:color="auto"/>
            </w:tcBorders>
            <w:shd w:val="clear" w:color="auto" w:fill="auto"/>
            <w:noWrap/>
            <w:vAlign w:val="center"/>
            <w:hideMark/>
          </w:tcPr>
          <w:p w14:paraId="13FFB8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£121,163.98</w:t>
            </w:r>
          </w:p>
        </w:tc>
        <w:tc>
          <w:tcPr>
            <w:tcW w:w="1560" w:type="dxa"/>
            <w:tcBorders>
              <w:top w:val="nil"/>
              <w:left w:val="nil"/>
              <w:bottom w:val="single" w:sz="4" w:space="0" w:color="auto"/>
              <w:right w:val="single" w:sz="4" w:space="0" w:color="auto"/>
            </w:tcBorders>
            <w:shd w:val="clear" w:color="auto" w:fill="auto"/>
            <w:noWrap/>
            <w:vAlign w:val="center"/>
            <w:hideMark/>
          </w:tcPr>
          <w:p w14:paraId="54549F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£30,291.00</w:t>
            </w:r>
          </w:p>
        </w:tc>
        <w:tc>
          <w:tcPr>
            <w:tcW w:w="1417" w:type="dxa"/>
            <w:tcBorders>
              <w:top w:val="nil"/>
              <w:left w:val="nil"/>
              <w:bottom w:val="single" w:sz="4" w:space="0" w:color="auto"/>
              <w:right w:val="single" w:sz="4" w:space="0" w:color="auto"/>
            </w:tcBorders>
            <w:shd w:val="clear" w:color="auto" w:fill="auto"/>
            <w:noWrap/>
            <w:vAlign w:val="center"/>
            <w:hideMark/>
          </w:tcPr>
          <w:p w14:paraId="4D8604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£30,291.00</w:t>
            </w:r>
          </w:p>
        </w:tc>
        <w:tc>
          <w:tcPr>
            <w:tcW w:w="1418" w:type="dxa"/>
            <w:tcBorders>
              <w:top w:val="nil"/>
              <w:left w:val="nil"/>
              <w:bottom w:val="single" w:sz="4" w:space="0" w:color="auto"/>
              <w:right w:val="single" w:sz="4" w:space="0" w:color="auto"/>
            </w:tcBorders>
            <w:shd w:val="clear" w:color="auto" w:fill="auto"/>
            <w:noWrap/>
            <w:vAlign w:val="center"/>
            <w:hideMark/>
          </w:tcPr>
          <w:p w14:paraId="2963CD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£30,291.00</w:t>
            </w:r>
          </w:p>
        </w:tc>
        <w:tc>
          <w:tcPr>
            <w:tcW w:w="1559" w:type="dxa"/>
            <w:tcBorders>
              <w:top w:val="nil"/>
              <w:left w:val="nil"/>
              <w:bottom w:val="single" w:sz="4" w:space="0" w:color="auto"/>
              <w:right w:val="single" w:sz="4" w:space="0" w:color="auto"/>
            </w:tcBorders>
            <w:shd w:val="clear" w:color="auto" w:fill="auto"/>
            <w:noWrap/>
            <w:vAlign w:val="center"/>
            <w:hideMark/>
          </w:tcPr>
          <w:p w14:paraId="74DBA2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£30,291.00</w:t>
            </w:r>
          </w:p>
        </w:tc>
        <w:tc>
          <w:tcPr>
            <w:tcW w:w="1559" w:type="dxa"/>
            <w:tcBorders>
              <w:top w:val="nil"/>
              <w:left w:val="nil"/>
              <w:bottom w:val="single" w:sz="4" w:space="0" w:color="auto"/>
              <w:right w:val="single" w:sz="4" w:space="0" w:color="auto"/>
            </w:tcBorders>
            <w:shd w:val="clear" w:color="auto" w:fill="auto"/>
            <w:noWrap/>
            <w:vAlign w:val="center"/>
            <w:hideMark/>
          </w:tcPr>
          <w:p w14:paraId="28E549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£121,164.00</w:t>
            </w:r>
          </w:p>
        </w:tc>
      </w:tr>
      <w:tr w:rsidR="004433D7" w:rsidRPr="004433D7" w14:paraId="4DBD6D0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E070BD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559" w:type="dxa"/>
            <w:tcBorders>
              <w:top w:val="nil"/>
              <w:left w:val="nil"/>
              <w:bottom w:val="single" w:sz="4" w:space="0" w:color="auto"/>
              <w:right w:val="single" w:sz="4" w:space="0" w:color="auto"/>
            </w:tcBorders>
            <w:shd w:val="clear" w:color="auto" w:fill="auto"/>
            <w:noWrap/>
            <w:vAlign w:val="center"/>
            <w:hideMark/>
          </w:tcPr>
          <w:p w14:paraId="2F5F39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£105.05</w:t>
            </w:r>
          </w:p>
        </w:tc>
        <w:tc>
          <w:tcPr>
            <w:tcW w:w="1560" w:type="dxa"/>
            <w:tcBorders>
              <w:top w:val="nil"/>
              <w:left w:val="nil"/>
              <w:bottom w:val="single" w:sz="4" w:space="0" w:color="auto"/>
              <w:right w:val="single" w:sz="4" w:space="0" w:color="auto"/>
            </w:tcBorders>
            <w:shd w:val="clear" w:color="auto" w:fill="auto"/>
            <w:noWrap/>
            <w:vAlign w:val="center"/>
            <w:hideMark/>
          </w:tcPr>
          <w:p w14:paraId="732865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£131.66</w:t>
            </w:r>
          </w:p>
        </w:tc>
        <w:tc>
          <w:tcPr>
            <w:tcW w:w="1417" w:type="dxa"/>
            <w:tcBorders>
              <w:top w:val="nil"/>
              <w:left w:val="nil"/>
              <w:bottom w:val="single" w:sz="4" w:space="0" w:color="auto"/>
              <w:right w:val="single" w:sz="4" w:space="0" w:color="auto"/>
            </w:tcBorders>
            <w:shd w:val="clear" w:color="auto" w:fill="auto"/>
            <w:noWrap/>
            <w:vAlign w:val="center"/>
            <w:hideMark/>
          </w:tcPr>
          <w:p w14:paraId="6FDCDC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£78.78</w:t>
            </w:r>
          </w:p>
        </w:tc>
        <w:tc>
          <w:tcPr>
            <w:tcW w:w="1418" w:type="dxa"/>
            <w:tcBorders>
              <w:top w:val="nil"/>
              <w:left w:val="nil"/>
              <w:bottom w:val="single" w:sz="4" w:space="0" w:color="auto"/>
              <w:right w:val="single" w:sz="4" w:space="0" w:color="auto"/>
            </w:tcBorders>
            <w:shd w:val="clear" w:color="auto" w:fill="auto"/>
            <w:noWrap/>
            <w:vAlign w:val="center"/>
            <w:hideMark/>
          </w:tcPr>
          <w:p w14:paraId="06FE02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9B481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CEA90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£210.44</w:t>
            </w:r>
          </w:p>
        </w:tc>
      </w:tr>
      <w:tr w:rsidR="004433D7" w:rsidRPr="004433D7" w14:paraId="0E30D2F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70B9AB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Eddington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133AAE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£1,017.91</w:t>
            </w:r>
          </w:p>
        </w:tc>
        <w:tc>
          <w:tcPr>
            <w:tcW w:w="1560" w:type="dxa"/>
            <w:tcBorders>
              <w:top w:val="nil"/>
              <w:left w:val="nil"/>
              <w:bottom w:val="single" w:sz="4" w:space="0" w:color="auto"/>
              <w:right w:val="single" w:sz="4" w:space="0" w:color="auto"/>
            </w:tcBorders>
            <w:shd w:val="clear" w:color="auto" w:fill="auto"/>
            <w:noWrap/>
            <w:vAlign w:val="center"/>
            <w:hideMark/>
          </w:tcPr>
          <w:p w14:paraId="4D5780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£254.48</w:t>
            </w:r>
          </w:p>
        </w:tc>
        <w:tc>
          <w:tcPr>
            <w:tcW w:w="1417" w:type="dxa"/>
            <w:tcBorders>
              <w:top w:val="nil"/>
              <w:left w:val="nil"/>
              <w:bottom w:val="single" w:sz="4" w:space="0" w:color="auto"/>
              <w:right w:val="single" w:sz="4" w:space="0" w:color="auto"/>
            </w:tcBorders>
            <w:shd w:val="clear" w:color="auto" w:fill="auto"/>
            <w:noWrap/>
            <w:vAlign w:val="center"/>
            <w:hideMark/>
          </w:tcPr>
          <w:p w14:paraId="30EFDD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£254.48</w:t>
            </w:r>
          </w:p>
        </w:tc>
        <w:tc>
          <w:tcPr>
            <w:tcW w:w="1418" w:type="dxa"/>
            <w:tcBorders>
              <w:top w:val="nil"/>
              <w:left w:val="nil"/>
              <w:bottom w:val="single" w:sz="4" w:space="0" w:color="auto"/>
              <w:right w:val="single" w:sz="4" w:space="0" w:color="auto"/>
            </w:tcBorders>
            <w:shd w:val="clear" w:color="auto" w:fill="auto"/>
            <w:noWrap/>
            <w:vAlign w:val="center"/>
            <w:hideMark/>
          </w:tcPr>
          <w:p w14:paraId="7D0DF5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£254.48</w:t>
            </w:r>
          </w:p>
        </w:tc>
        <w:tc>
          <w:tcPr>
            <w:tcW w:w="1559" w:type="dxa"/>
            <w:tcBorders>
              <w:top w:val="nil"/>
              <w:left w:val="nil"/>
              <w:bottom w:val="single" w:sz="4" w:space="0" w:color="auto"/>
              <w:right w:val="single" w:sz="4" w:space="0" w:color="auto"/>
            </w:tcBorders>
            <w:shd w:val="clear" w:color="auto" w:fill="auto"/>
            <w:noWrap/>
            <w:vAlign w:val="center"/>
            <w:hideMark/>
          </w:tcPr>
          <w:p w14:paraId="1B88D4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£254.48</w:t>
            </w:r>
          </w:p>
        </w:tc>
        <w:tc>
          <w:tcPr>
            <w:tcW w:w="1559" w:type="dxa"/>
            <w:tcBorders>
              <w:top w:val="nil"/>
              <w:left w:val="nil"/>
              <w:bottom w:val="single" w:sz="4" w:space="0" w:color="auto"/>
              <w:right w:val="single" w:sz="4" w:space="0" w:color="auto"/>
            </w:tcBorders>
            <w:shd w:val="clear" w:color="auto" w:fill="auto"/>
            <w:noWrap/>
            <w:vAlign w:val="center"/>
            <w:hideMark/>
          </w:tcPr>
          <w:p w14:paraId="6B53F0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£1,017.92</w:t>
            </w:r>
          </w:p>
        </w:tc>
      </w:tr>
      <w:tr w:rsidR="004433D7" w:rsidRPr="004433D7" w14:paraId="558A1AB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219728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559" w:type="dxa"/>
            <w:tcBorders>
              <w:top w:val="nil"/>
              <w:left w:val="nil"/>
              <w:bottom w:val="single" w:sz="4" w:space="0" w:color="auto"/>
              <w:right w:val="single" w:sz="4" w:space="0" w:color="auto"/>
            </w:tcBorders>
            <w:shd w:val="clear" w:color="auto" w:fill="auto"/>
            <w:noWrap/>
            <w:vAlign w:val="center"/>
            <w:hideMark/>
          </w:tcPr>
          <w:p w14:paraId="254C16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£797,106.09</w:t>
            </w:r>
          </w:p>
        </w:tc>
        <w:tc>
          <w:tcPr>
            <w:tcW w:w="1560" w:type="dxa"/>
            <w:tcBorders>
              <w:top w:val="nil"/>
              <w:left w:val="nil"/>
              <w:bottom w:val="single" w:sz="4" w:space="0" w:color="auto"/>
              <w:right w:val="single" w:sz="4" w:space="0" w:color="auto"/>
            </w:tcBorders>
            <w:shd w:val="clear" w:color="auto" w:fill="auto"/>
            <w:noWrap/>
            <w:vAlign w:val="center"/>
            <w:hideMark/>
          </w:tcPr>
          <w:p w14:paraId="72FB10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£199,276.52</w:t>
            </w:r>
          </w:p>
        </w:tc>
        <w:tc>
          <w:tcPr>
            <w:tcW w:w="1417" w:type="dxa"/>
            <w:tcBorders>
              <w:top w:val="nil"/>
              <w:left w:val="nil"/>
              <w:bottom w:val="single" w:sz="4" w:space="0" w:color="auto"/>
              <w:right w:val="single" w:sz="4" w:space="0" w:color="auto"/>
            </w:tcBorders>
            <w:shd w:val="clear" w:color="auto" w:fill="auto"/>
            <w:noWrap/>
            <w:vAlign w:val="center"/>
            <w:hideMark/>
          </w:tcPr>
          <w:p w14:paraId="24BB3E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£199,276.52</w:t>
            </w:r>
          </w:p>
        </w:tc>
        <w:tc>
          <w:tcPr>
            <w:tcW w:w="1418" w:type="dxa"/>
            <w:tcBorders>
              <w:top w:val="nil"/>
              <w:left w:val="nil"/>
              <w:bottom w:val="single" w:sz="4" w:space="0" w:color="auto"/>
              <w:right w:val="single" w:sz="4" w:space="0" w:color="auto"/>
            </w:tcBorders>
            <w:shd w:val="clear" w:color="auto" w:fill="auto"/>
            <w:noWrap/>
            <w:vAlign w:val="center"/>
            <w:hideMark/>
          </w:tcPr>
          <w:p w14:paraId="3E5C47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£199,276.52</w:t>
            </w:r>
          </w:p>
        </w:tc>
        <w:tc>
          <w:tcPr>
            <w:tcW w:w="1559" w:type="dxa"/>
            <w:tcBorders>
              <w:top w:val="nil"/>
              <w:left w:val="nil"/>
              <w:bottom w:val="single" w:sz="4" w:space="0" w:color="auto"/>
              <w:right w:val="single" w:sz="4" w:space="0" w:color="auto"/>
            </w:tcBorders>
            <w:shd w:val="clear" w:color="auto" w:fill="auto"/>
            <w:noWrap/>
            <w:vAlign w:val="center"/>
            <w:hideMark/>
          </w:tcPr>
          <w:p w14:paraId="753A3D8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£199,276.52</w:t>
            </w:r>
          </w:p>
        </w:tc>
        <w:tc>
          <w:tcPr>
            <w:tcW w:w="1559" w:type="dxa"/>
            <w:tcBorders>
              <w:top w:val="nil"/>
              <w:left w:val="nil"/>
              <w:bottom w:val="single" w:sz="4" w:space="0" w:color="auto"/>
              <w:right w:val="single" w:sz="4" w:space="0" w:color="auto"/>
            </w:tcBorders>
            <w:shd w:val="clear" w:color="auto" w:fill="auto"/>
            <w:noWrap/>
            <w:vAlign w:val="center"/>
            <w:hideMark/>
          </w:tcPr>
          <w:p w14:paraId="5656A8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£797,106.08</w:t>
            </w:r>
          </w:p>
        </w:tc>
      </w:tr>
      <w:tr w:rsidR="004433D7" w:rsidRPr="004433D7" w14:paraId="554E460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30133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Effortless Energy Ltd</w:t>
            </w:r>
          </w:p>
        </w:tc>
        <w:tc>
          <w:tcPr>
            <w:tcW w:w="1559" w:type="dxa"/>
            <w:tcBorders>
              <w:top w:val="nil"/>
              <w:left w:val="nil"/>
              <w:bottom w:val="single" w:sz="4" w:space="0" w:color="auto"/>
              <w:right w:val="single" w:sz="4" w:space="0" w:color="auto"/>
            </w:tcBorders>
            <w:shd w:val="clear" w:color="auto" w:fill="auto"/>
            <w:noWrap/>
            <w:vAlign w:val="center"/>
            <w:hideMark/>
          </w:tcPr>
          <w:p w14:paraId="055DB6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£30.07</w:t>
            </w:r>
          </w:p>
        </w:tc>
        <w:tc>
          <w:tcPr>
            <w:tcW w:w="1560" w:type="dxa"/>
            <w:tcBorders>
              <w:top w:val="nil"/>
              <w:left w:val="nil"/>
              <w:bottom w:val="single" w:sz="4" w:space="0" w:color="auto"/>
              <w:right w:val="single" w:sz="4" w:space="0" w:color="auto"/>
            </w:tcBorders>
            <w:shd w:val="clear" w:color="auto" w:fill="auto"/>
            <w:noWrap/>
            <w:vAlign w:val="center"/>
            <w:hideMark/>
          </w:tcPr>
          <w:p w14:paraId="77328C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£30.07</w:t>
            </w:r>
          </w:p>
        </w:tc>
        <w:tc>
          <w:tcPr>
            <w:tcW w:w="1417" w:type="dxa"/>
            <w:tcBorders>
              <w:top w:val="nil"/>
              <w:left w:val="nil"/>
              <w:bottom w:val="single" w:sz="4" w:space="0" w:color="auto"/>
              <w:right w:val="single" w:sz="4" w:space="0" w:color="auto"/>
            </w:tcBorders>
            <w:shd w:val="clear" w:color="auto" w:fill="auto"/>
            <w:noWrap/>
            <w:vAlign w:val="center"/>
            <w:hideMark/>
          </w:tcPr>
          <w:p w14:paraId="6949EB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3CF42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12FB6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E718D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£30.07</w:t>
            </w:r>
          </w:p>
        </w:tc>
      </w:tr>
      <w:tr w:rsidR="004433D7" w:rsidRPr="004433D7" w14:paraId="5A7ED16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6E2902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2CC024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£15,896.88</w:t>
            </w:r>
          </w:p>
        </w:tc>
        <w:tc>
          <w:tcPr>
            <w:tcW w:w="1560" w:type="dxa"/>
            <w:tcBorders>
              <w:top w:val="nil"/>
              <w:left w:val="nil"/>
              <w:bottom w:val="single" w:sz="4" w:space="0" w:color="auto"/>
              <w:right w:val="single" w:sz="4" w:space="0" w:color="auto"/>
            </w:tcBorders>
            <w:shd w:val="clear" w:color="auto" w:fill="auto"/>
            <w:noWrap/>
            <w:vAlign w:val="center"/>
            <w:hideMark/>
          </w:tcPr>
          <w:p w14:paraId="623D37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£3,974.22</w:t>
            </w:r>
          </w:p>
        </w:tc>
        <w:tc>
          <w:tcPr>
            <w:tcW w:w="1417" w:type="dxa"/>
            <w:tcBorders>
              <w:top w:val="nil"/>
              <w:left w:val="nil"/>
              <w:bottom w:val="single" w:sz="4" w:space="0" w:color="auto"/>
              <w:right w:val="single" w:sz="4" w:space="0" w:color="auto"/>
            </w:tcBorders>
            <w:shd w:val="clear" w:color="auto" w:fill="auto"/>
            <w:noWrap/>
            <w:vAlign w:val="center"/>
            <w:hideMark/>
          </w:tcPr>
          <w:p w14:paraId="6176A7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£3,974.22</w:t>
            </w:r>
          </w:p>
        </w:tc>
        <w:tc>
          <w:tcPr>
            <w:tcW w:w="1418" w:type="dxa"/>
            <w:tcBorders>
              <w:top w:val="nil"/>
              <w:left w:val="nil"/>
              <w:bottom w:val="single" w:sz="4" w:space="0" w:color="auto"/>
              <w:right w:val="single" w:sz="4" w:space="0" w:color="auto"/>
            </w:tcBorders>
            <w:shd w:val="clear" w:color="auto" w:fill="auto"/>
            <w:noWrap/>
            <w:vAlign w:val="center"/>
            <w:hideMark/>
          </w:tcPr>
          <w:p w14:paraId="2016CD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£3,974.22</w:t>
            </w:r>
          </w:p>
        </w:tc>
        <w:tc>
          <w:tcPr>
            <w:tcW w:w="1559" w:type="dxa"/>
            <w:tcBorders>
              <w:top w:val="nil"/>
              <w:left w:val="nil"/>
              <w:bottom w:val="single" w:sz="4" w:space="0" w:color="auto"/>
              <w:right w:val="single" w:sz="4" w:space="0" w:color="auto"/>
            </w:tcBorders>
            <w:shd w:val="clear" w:color="auto" w:fill="auto"/>
            <w:noWrap/>
            <w:vAlign w:val="center"/>
            <w:hideMark/>
          </w:tcPr>
          <w:p w14:paraId="25DC63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£3,974.22</w:t>
            </w:r>
          </w:p>
        </w:tc>
        <w:tc>
          <w:tcPr>
            <w:tcW w:w="1559" w:type="dxa"/>
            <w:tcBorders>
              <w:top w:val="nil"/>
              <w:left w:val="nil"/>
              <w:bottom w:val="single" w:sz="4" w:space="0" w:color="auto"/>
              <w:right w:val="single" w:sz="4" w:space="0" w:color="auto"/>
            </w:tcBorders>
            <w:shd w:val="clear" w:color="auto" w:fill="auto"/>
            <w:noWrap/>
            <w:vAlign w:val="center"/>
            <w:hideMark/>
          </w:tcPr>
          <w:p w14:paraId="12E0F0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£15,896.88</w:t>
            </w:r>
          </w:p>
        </w:tc>
      </w:tr>
      <w:tr w:rsidR="004433D7" w:rsidRPr="004433D7" w14:paraId="6C1E0ED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34361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559" w:type="dxa"/>
            <w:tcBorders>
              <w:top w:val="nil"/>
              <w:left w:val="nil"/>
              <w:bottom w:val="single" w:sz="4" w:space="0" w:color="auto"/>
              <w:right w:val="single" w:sz="4" w:space="0" w:color="auto"/>
            </w:tcBorders>
            <w:shd w:val="clear" w:color="auto" w:fill="auto"/>
            <w:noWrap/>
            <w:vAlign w:val="center"/>
            <w:hideMark/>
          </w:tcPr>
          <w:p w14:paraId="440C93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£957.36</w:t>
            </w:r>
          </w:p>
        </w:tc>
        <w:tc>
          <w:tcPr>
            <w:tcW w:w="1560" w:type="dxa"/>
            <w:tcBorders>
              <w:top w:val="nil"/>
              <w:left w:val="nil"/>
              <w:bottom w:val="single" w:sz="4" w:space="0" w:color="auto"/>
              <w:right w:val="single" w:sz="4" w:space="0" w:color="auto"/>
            </w:tcBorders>
            <w:shd w:val="clear" w:color="auto" w:fill="auto"/>
            <w:noWrap/>
            <w:vAlign w:val="center"/>
            <w:hideMark/>
          </w:tcPr>
          <w:p w14:paraId="31930C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£239.34</w:t>
            </w:r>
          </w:p>
        </w:tc>
        <w:tc>
          <w:tcPr>
            <w:tcW w:w="1417" w:type="dxa"/>
            <w:tcBorders>
              <w:top w:val="nil"/>
              <w:left w:val="nil"/>
              <w:bottom w:val="single" w:sz="4" w:space="0" w:color="auto"/>
              <w:right w:val="single" w:sz="4" w:space="0" w:color="auto"/>
            </w:tcBorders>
            <w:shd w:val="clear" w:color="auto" w:fill="auto"/>
            <w:noWrap/>
            <w:vAlign w:val="center"/>
            <w:hideMark/>
          </w:tcPr>
          <w:p w14:paraId="71633A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£239.34</w:t>
            </w:r>
          </w:p>
        </w:tc>
        <w:tc>
          <w:tcPr>
            <w:tcW w:w="1418" w:type="dxa"/>
            <w:tcBorders>
              <w:top w:val="nil"/>
              <w:left w:val="nil"/>
              <w:bottom w:val="single" w:sz="4" w:space="0" w:color="auto"/>
              <w:right w:val="single" w:sz="4" w:space="0" w:color="auto"/>
            </w:tcBorders>
            <w:shd w:val="clear" w:color="auto" w:fill="auto"/>
            <w:noWrap/>
            <w:vAlign w:val="center"/>
            <w:hideMark/>
          </w:tcPr>
          <w:p w14:paraId="06C779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£239.34</w:t>
            </w:r>
          </w:p>
        </w:tc>
        <w:tc>
          <w:tcPr>
            <w:tcW w:w="1559" w:type="dxa"/>
            <w:tcBorders>
              <w:top w:val="nil"/>
              <w:left w:val="nil"/>
              <w:bottom w:val="single" w:sz="4" w:space="0" w:color="auto"/>
              <w:right w:val="single" w:sz="4" w:space="0" w:color="auto"/>
            </w:tcBorders>
            <w:shd w:val="clear" w:color="auto" w:fill="auto"/>
            <w:noWrap/>
            <w:vAlign w:val="center"/>
            <w:hideMark/>
          </w:tcPr>
          <w:p w14:paraId="2D9A22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£239.34</w:t>
            </w:r>
          </w:p>
        </w:tc>
        <w:tc>
          <w:tcPr>
            <w:tcW w:w="1559" w:type="dxa"/>
            <w:tcBorders>
              <w:top w:val="nil"/>
              <w:left w:val="nil"/>
              <w:bottom w:val="single" w:sz="4" w:space="0" w:color="auto"/>
              <w:right w:val="single" w:sz="4" w:space="0" w:color="auto"/>
            </w:tcBorders>
            <w:shd w:val="clear" w:color="auto" w:fill="auto"/>
            <w:noWrap/>
            <w:vAlign w:val="center"/>
            <w:hideMark/>
          </w:tcPr>
          <w:p w14:paraId="0D2554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£957.36</w:t>
            </w:r>
          </w:p>
        </w:tc>
      </w:tr>
      <w:tr w:rsidR="004433D7" w:rsidRPr="004433D7" w14:paraId="64AA9AA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2D188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551341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£148,871.27</w:t>
            </w:r>
          </w:p>
        </w:tc>
        <w:tc>
          <w:tcPr>
            <w:tcW w:w="1560" w:type="dxa"/>
            <w:tcBorders>
              <w:top w:val="nil"/>
              <w:left w:val="nil"/>
              <w:bottom w:val="single" w:sz="4" w:space="0" w:color="auto"/>
              <w:right w:val="single" w:sz="4" w:space="0" w:color="auto"/>
            </w:tcBorders>
            <w:shd w:val="clear" w:color="auto" w:fill="auto"/>
            <w:noWrap/>
            <w:vAlign w:val="center"/>
            <w:hideMark/>
          </w:tcPr>
          <w:p w14:paraId="5EC382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£37,217.82</w:t>
            </w:r>
          </w:p>
        </w:tc>
        <w:tc>
          <w:tcPr>
            <w:tcW w:w="1417" w:type="dxa"/>
            <w:tcBorders>
              <w:top w:val="nil"/>
              <w:left w:val="nil"/>
              <w:bottom w:val="single" w:sz="4" w:space="0" w:color="auto"/>
              <w:right w:val="single" w:sz="4" w:space="0" w:color="auto"/>
            </w:tcBorders>
            <w:shd w:val="clear" w:color="auto" w:fill="auto"/>
            <w:noWrap/>
            <w:vAlign w:val="center"/>
            <w:hideMark/>
          </w:tcPr>
          <w:p w14:paraId="0D73E2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£37,217.82</w:t>
            </w:r>
          </w:p>
        </w:tc>
        <w:tc>
          <w:tcPr>
            <w:tcW w:w="1418" w:type="dxa"/>
            <w:tcBorders>
              <w:top w:val="nil"/>
              <w:left w:val="nil"/>
              <w:bottom w:val="single" w:sz="4" w:space="0" w:color="auto"/>
              <w:right w:val="single" w:sz="4" w:space="0" w:color="auto"/>
            </w:tcBorders>
            <w:shd w:val="clear" w:color="auto" w:fill="auto"/>
            <w:noWrap/>
            <w:vAlign w:val="center"/>
            <w:hideMark/>
          </w:tcPr>
          <w:p w14:paraId="31B9478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£37,217.82</w:t>
            </w:r>
          </w:p>
        </w:tc>
        <w:tc>
          <w:tcPr>
            <w:tcW w:w="1559" w:type="dxa"/>
            <w:tcBorders>
              <w:top w:val="nil"/>
              <w:left w:val="nil"/>
              <w:bottom w:val="single" w:sz="4" w:space="0" w:color="auto"/>
              <w:right w:val="single" w:sz="4" w:space="0" w:color="auto"/>
            </w:tcBorders>
            <w:shd w:val="clear" w:color="auto" w:fill="auto"/>
            <w:noWrap/>
            <w:vAlign w:val="center"/>
            <w:hideMark/>
          </w:tcPr>
          <w:p w14:paraId="2BF98B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£37,217.82</w:t>
            </w:r>
          </w:p>
        </w:tc>
        <w:tc>
          <w:tcPr>
            <w:tcW w:w="1559" w:type="dxa"/>
            <w:tcBorders>
              <w:top w:val="nil"/>
              <w:left w:val="nil"/>
              <w:bottom w:val="single" w:sz="4" w:space="0" w:color="auto"/>
              <w:right w:val="single" w:sz="4" w:space="0" w:color="auto"/>
            </w:tcBorders>
            <w:shd w:val="clear" w:color="auto" w:fill="auto"/>
            <w:noWrap/>
            <w:vAlign w:val="center"/>
            <w:hideMark/>
          </w:tcPr>
          <w:p w14:paraId="1F6444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£148,871.28</w:t>
            </w:r>
          </w:p>
        </w:tc>
      </w:tr>
      <w:tr w:rsidR="004433D7" w:rsidRPr="004433D7" w14:paraId="269A8FE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FFBC64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Enstroga</w:t>
            </w:r>
            <w:proofErr w:type="spellEnd"/>
            <w:r w:rsidRPr="004433D7">
              <w:rPr>
                <w:rFonts w:eastAsia="Times New Roman" w:cs="Times New Roman"/>
                <w:color w:val="000000"/>
                <w:sz w:val="16"/>
                <w:szCs w:val="16"/>
              </w:rPr>
              <w:t xml:space="preserve"> Ltd </w:t>
            </w:r>
          </w:p>
        </w:tc>
        <w:tc>
          <w:tcPr>
            <w:tcW w:w="1559" w:type="dxa"/>
            <w:tcBorders>
              <w:top w:val="nil"/>
              <w:left w:val="nil"/>
              <w:bottom w:val="single" w:sz="4" w:space="0" w:color="auto"/>
              <w:right w:val="single" w:sz="4" w:space="0" w:color="auto"/>
            </w:tcBorders>
            <w:shd w:val="clear" w:color="auto" w:fill="auto"/>
            <w:noWrap/>
            <w:vAlign w:val="center"/>
            <w:hideMark/>
          </w:tcPr>
          <w:p w14:paraId="78F30B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£290.01</w:t>
            </w:r>
          </w:p>
        </w:tc>
        <w:tc>
          <w:tcPr>
            <w:tcW w:w="1560" w:type="dxa"/>
            <w:tcBorders>
              <w:top w:val="nil"/>
              <w:left w:val="nil"/>
              <w:bottom w:val="single" w:sz="4" w:space="0" w:color="auto"/>
              <w:right w:val="single" w:sz="4" w:space="0" w:color="auto"/>
            </w:tcBorders>
            <w:shd w:val="clear" w:color="auto" w:fill="auto"/>
            <w:noWrap/>
            <w:vAlign w:val="center"/>
            <w:hideMark/>
          </w:tcPr>
          <w:p w14:paraId="1F1F62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£290.01</w:t>
            </w:r>
          </w:p>
        </w:tc>
        <w:tc>
          <w:tcPr>
            <w:tcW w:w="1417" w:type="dxa"/>
            <w:tcBorders>
              <w:top w:val="nil"/>
              <w:left w:val="nil"/>
              <w:bottom w:val="single" w:sz="4" w:space="0" w:color="auto"/>
              <w:right w:val="single" w:sz="4" w:space="0" w:color="auto"/>
            </w:tcBorders>
            <w:shd w:val="clear" w:color="auto" w:fill="auto"/>
            <w:noWrap/>
            <w:vAlign w:val="center"/>
            <w:hideMark/>
          </w:tcPr>
          <w:p w14:paraId="121FB7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65BDA1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6E76F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7B505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£290.01</w:t>
            </w:r>
          </w:p>
        </w:tc>
      </w:tr>
      <w:tr w:rsidR="004433D7" w:rsidRPr="004433D7" w14:paraId="4EBE51C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28E8A3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EPG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015889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£45.31</w:t>
            </w:r>
          </w:p>
        </w:tc>
        <w:tc>
          <w:tcPr>
            <w:tcW w:w="1560" w:type="dxa"/>
            <w:tcBorders>
              <w:top w:val="nil"/>
              <w:left w:val="nil"/>
              <w:bottom w:val="single" w:sz="4" w:space="0" w:color="auto"/>
              <w:right w:val="single" w:sz="4" w:space="0" w:color="auto"/>
            </w:tcBorders>
            <w:shd w:val="clear" w:color="auto" w:fill="auto"/>
            <w:noWrap/>
            <w:vAlign w:val="center"/>
            <w:hideMark/>
          </w:tcPr>
          <w:p w14:paraId="3CA8EE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417" w:type="dxa"/>
            <w:tcBorders>
              <w:top w:val="nil"/>
              <w:left w:val="nil"/>
              <w:bottom w:val="single" w:sz="4" w:space="0" w:color="auto"/>
              <w:right w:val="single" w:sz="4" w:space="0" w:color="auto"/>
            </w:tcBorders>
            <w:shd w:val="clear" w:color="auto" w:fill="auto"/>
            <w:noWrap/>
            <w:vAlign w:val="center"/>
            <w:hideMark/>
          </w:tcPr>
          <w:p w14:paraId="37E0F1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418" w:type="dxa"/>
            <w:tcBorders>
              <w:top w:val="nil"/>
              <w:left w:val="nil"/>
              <w:bottom w:val="single" w:sz="4" w:space="0" w:color="auto"/>
              <w:right w:val="single" w:sz="4" w:space="0" w:color="auto"/>
            </w:tcBorders>
            <w:shd w:val="clear" w:color="auto" w:fill="auto"/>
            <w:noWrap/>
            <w:vAlign w:val="center"/>
            <w:hideMark/>
          </w:tcPr>
          <w:p w14:paraId="4BA53B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559" w:type="dxa"/>
            <w:tcBorders>
              <w:top w:val="nil"/>
              <w:left w:val="nil"/>
              <w:bottom w:val="single" w:sz="4" w:space="0" w:color="auto"/>
              <w:right w:val="single" w:sz="4" w:space="0" w:color="auto"/>
            </w:tcBorders>
            <w:shd w:val="clear" w:color="auto" w:fill="auto"/>
            <w:noWrap/>
            <w:vAlign w:val="center"/>
            <w:hideMark/>
          </w:tcPr>
          <w:p w14:paraId="1CEEC8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559" w:type="dxa"/>
            <w:tcBorders>
              <w:top w:val="nil"/>
              <w:left w:val="nil"/>
              <w:bottom w:val="single" w:sz="4" w:space="0" w:color="auto"/>
              <w:right w:val="single" w:sz="4" w:space="0" w:color="auto"/>
            </w:tcBorders>
            <w:shd w:val="clear" w:color="auto" w:fill="auto"/>
            <w:noWrap/>
            <w:vAlign w:val="center"/>
            <w:hideMark/>
          </w:tcPr>
          <w:p w14:paraId="0F83CF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£45.32</w:t>
            </w:r>
          </w:p>
        </w:tc>
      </w:tr>
      <w:tr w:rsidR="004433D7" w:rsidRPr="004433D7" w14:paraId="53F7EFF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6550FC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384BD5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£63.85</w:t>
            </w:r>
          </w:p>
        </w:tc>
        <w:tc>
          <w:tcPr>
            <w:tcW w:w="1560" w:type="dxa"/>
            <w:tcBorders>
              <w:top w:val="nil"/>
              <w:left w:val="nil"/>
              <w:bottom w:val="single" w:sz="4" w:space="0" w:color="auto"/>
              <w:right w:val="single" w:sz="4" w:space="0" w:color="auto"/>
            </w:tcBorders>
            <w:shd w:val="clear" w:color="auto" w:fill="auto"/>
            <w:noWrap/>
            <w:vAlign w:val="center"/>
            <w:hideMark/>
          </w:tcPr>
          <w:p w14:paraId="504212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£63.85</w:t>
            </w:r>
          </w:p>
        </w:tc>
        <w:tc>
          <w:tcPr>
            <w:tcW w:w="1417" w:type="dxa"/>
            <w:tcBorders>
              <w:top w:val="nil"/>
              <w:left w:val="nil"/>
              <w:bottom w:val="single" w:sz="4" w:space="0" w:color="auto"/>
              <w:right w:val="single" w:sz="4" w:space="0" w:color="auto"/>
            </w:tcBorders>
            <w:shd w:val="clear" w:color="auto" w:fill="auto"/>
            <w:noWrap/>
            <w:vAlign w:val="center"/>
            <w:hideMark/>
          </w:tcPr>
          <w:p w14:paraId="11D764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0F37D7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C6531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137C7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£63.85</w:t>
            </w:r>
          </w:p>
        </w:tc>
      </w:tr>
      <w:tr w:rsidR="004433D7" w:rsidRPr="004433D7" w14:paraId="6E570424"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9BCB17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Eversmart</w:t>
            </w:r>
            <w:proofErr w:type="spellEnd"/>
            <w:r w:rsidRPr="004433D7">
              <w:rPr>
                <w:rFonts w:eastAsia="Times New Roman" w:cs="Times New Roman"/>
                <w:color w:val="000000"/>
                <w:sz w:val="16"/>
                <w:szCs w:val="16"/>
              </w:rPr>
              <w:t xml:space="preserve">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06F006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£179.61</w:t>
            </w:r>
          </w:p>
        </w:tc>
        <w:tc>
          <w:tcPr>
            <w:tcW w:w="1560" w:type="dxa"/>
            <w:tcBorders>
              <w:top w:val="nil"/>
              <w:left w:val="nil"/>
              <w:bottom w:val="single" w:sz="4" w:space="0" w:color="auto"/>
              <w:right w:val="single" w:sz="4" w:space="0" w:color="auto"/>
            </w:tcBorders>
            <w:shd w:val="clear" w:color="auto" w:fill="auto"/>
            <w:noWrap/>
            <w:vAlign w:val="center"/>
            <w:hideMark/>
          </w:tcPr>
          <w:p w14:paraId="413758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33845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0C78F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2D873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4C82C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497740E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B46D84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07E512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£731.20</w:t>
            </w:r>
          </w:p>
        </w:tc>
        <w:tc>
          <w:tcPr>
            <w:tcW w:w="1560" w:type="dxa"/>
            <w:tcBorders>
              <w:top w:val="nil"/>
              <w:left w:val="nil"/>
              <w:bottom w:val="single" w:sz="4" w:space="0" w:color="auto"/>
              <w:right w:val="single" w:sz="4" w:space="0" w:color="auto"/>
            </w:tcBorders>
            <w:shd w:val="clear" w:color="auto" w:fill="auto"/>
            <w:noWrap/>
            <w:vAlign w:val="center"/>
            <w:hideMark/>
          </w:tcPr>
          <w:p w14:paraId="7A09AD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£731.20</w:t>
            </w:r>
          </w:p>
        </w:tc>
        <w:tc>
          <w:tcPr>
            <w:tcW w:w="1417" w:type="dxa"/>
            <w:tcBorders>
              <w:top w:val="nil"/>
              <w:left w:val="nil"/>
              <w:bottom w:val="single" w:sz="4" w:space="0" w:color="auto"/>
              <w:right w:val="single" w:sz="4" w:space="0" w:color="auto"/>
            </w:tcBorders>
            <w:shd w:val="clear" w:color="auto" w:fill="auto"/>
            <w:noWrap/>
            <w:vAlign w:val="center"/>
            <w:hideMark/>
          </w:tcPr>
          <w:p w14:paraId="60547B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£548.40</w:t>
            </w:r>
          </w:p>
        </w:tc>
        <w:tc>
          <w:tcPr>
            <w:tcW w:w="1418" w:type="dxa"/>
            <w:tcBorders>
              <w:top w:val="nil"/>
              <w:left w:val="nil"/>
              <w:bottom w:val="single" w:sz="4" w:space="0" w:color="auto"/>
              <w:right w:val="single" w:sz="4" w:space="0" w:color="auto"/>
            </w:tcBorders>
            <w:shd w:val="clear" w:color="auto" w:fill="auto"/>
            <w:noWrap/>
            <w:vAlign w:val="center"/>
            <w:hideMark/>
          </w:tcPr>
          <w:p w14:paraId="24055B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C8725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7B5ED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£1,279.60</w:t>
            </w:r>
          </w:p>
        </w:tc>
      </w:tr>
      <w:tr w:rsidR="004433D7" w:rsidRPr="004433D7" w14:paraId="1FAA97F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F01906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Farmoor</w:t>
            </w:r>
            <w:proofErr w:type="spellEnd"/>
            <w:r w:rsidRPr="004433D7">
              <w:rPr>
                <w:rFonts w:eastAsia="Times New Roman" w:cs="Times New Roman"/>
                <w:color w:val="000000"/>
                <w:sz w:val="16"/>
                <w:szCs w:val="16"/>
              </w:rPr>
              <w:t xml:space="preserve">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7A0E43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£4,381.84</w:t>
            </w:r>
          </w:p>
        </w:tc>
        <w:tc>
          <w:tcPr>
            <w:tcW w:w="1560" w:type="dxa"/>
            <w:tcBorders>
              <w:top w:val="nil"/>
              <w:left w:val="nil"/>
              <w:bottom w:val="single" w:sz="4" w:space="0" w:color="auto"/>
              <w:right w:val="single" w:sz="4" w:space="0" w:color="auto"/>
            </w:tcBorders>
            <w:shd w:val="clear" w:color="auto" w:fill="auto"/>
            <w:noWrap/>
            <w:vAlign w:val="center"/>
            <w:hideMark/>
          </w:tcPr>
          <w:p w14:paraId="102EE5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£1,095.46</w:t>
            </w:r>
          </w:p>
        </w:tc>
        <w:tc>
          <w:tcPr>
            <w:tcW w:w="1417" w:type="dxa"/>
            <w:tcBorders>
              <w:top w:val="nil"/>
              <w:left w:val="nil"/>
              <w:bottom w:val="single" w:sz="4" w:space="0" w:color="auto"/>
              <w:right w:val="single" w:sz="4" w:space="0" w:color="auto"/>
            </w:tcBorders>
            <w:shd w:val="clear" w:color="auto" w:fill="auto"/>
            <w:noWrap/>
            <w:vAlign w:val="center"/>
            <w:hideMark/>
          </w:tcPr>
          <w:p w14:paraId="722DC7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£1,095.46</w:t>
            </w:r>
          </w:p>
        </w:tc>
        <w:tc>
          <w:tcPr>
            <w:tcW w:w="1418" w:type="dxa"/>
            <w:tcBorders>
              <w:top w:val="nil"/>
              <w:left w:val="nil"/>
              <w:bottom w:val="single" w:sz="4" w:space="0" w:color="auto"/>
              <w:right w:val="single" w:sz="4" w:space="0" w:color="auto"/>
            </w:tcBorders>
            <w:shd w:val="clear" w:color="auto" w:fill="auto"/>
            <w:noWrap/>
            <w:vAlign w:val="center"/>
            <w:hideMark/>
          </w:tcPr>
          <w:p w14:paraId="6159FF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£1,095.46</w:t>
            </w:r>
          </w:p>
        </w:tc>
        <w:tc>
          <w:tcPr>
            <w:tcW w:w="1559" w:type="dxa"/>
            <w:tcBorders>
              <w:top w:val="nil"/>
              <w:left w:val="nil"/>
              <w:bottom w:val="single" w:sz="4" w:space="0" w:color="auto"/>
              <w:right w:val="single" w:sz="4" w:space="0" w:color="auto"/>
            </w:tcBorders>
            <w:shd w:val="clear" w:color="auto" w:fill="auto"/>
            <w:noWrap/>
            <w:vAlign w:val="center"/>
            <w:hideMark/>
          </w:tcPr>
          <w:p w14:paraId="549D0F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£1,095.46</w:t>
            </w:r>
          </w:p>
        </w:tc>
        <w:tc>
          <w:tcPr>
            <w:tcW w:w="1559" w:type="dxa"/>
            <w:tcBorders>
              <w:top w:val="nil"/>
              <w:left w:val="nil"/>
              <w:bottom w:val="single" w:sz="4" w:space="0" w:color="auto"/>
              <w:right w:val="single" w:sz="4" w:space="0" w:color="auto"/>
            </w:tcBorders>
            <w:shd w:val="clear" w:color="auto" w:fill="auto"/>
            <w:noWrap/>
            <w:vAlign w:val="center"/>
            <w:hideMark/>
          </w:tcPr>
          <w:p w14:paraId="2874B0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£4,381.84</w:t>
            </w:r>
          </w:p>
        </w:tc>
      </w:tr>
      <w:tr w:rsidR="004433D7" w:rsidRPr="004433D7" w14:paraId="795A62E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94C4A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First Utility Limited</w:t>
            </w:r>
          </w:p>
        </w:tc>
        <w:tc>
          <w:tcPr>
            <w:tcW w:w="1559" w:type="dxa"/>
            <w:tcBorders>
              <w:top w:val="nil"/>
              <w:left w:val="nil"/>
              <w:bottom w:val="single" w:sz="4" w:space="0" w:color="auto"/>
              <w:right w:val="single" w:sz="4" w:space="0" w:color="auto"/>
            </w:tcBorders>
            <w:shd w:val="clear" w:color="auto" w:fill="auto"/>
            <w:noWrap/>
            <w:vAlign w:val="center"/>
            <w:hideMark/>
          </w:tcPr>
          <w:p w14:paraId="5C4855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£26,824.91</w:t>
            </w:r>
          </w:p>
        </w:tc>
        <w:tc>
          <w:tcPr>
            <w:tcW w:w="1560" w:type="dxa"/>
            <w:tcBorders>
              <w:top w:val="nil"/>
              <w:left w:val="nil"/>
              <w:bottom w:val="single" w:sz="4" w:space="0" w:color="auto"/>
              <w:right w:val="single" w:sz="4" w:space="0" w:color="auto"/>
            </w:tcBorders>
            <w:shd w:val="clear" w:color="auto" w:fill="auto"/>
            <w:noWrap/>
            <w:vAlign w:val="center"/>
            <w:hideMark/>
          </w:tcPr>
          <w:p w14:paraId="5E13D9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£6,706.23</w:t>
            </w:r>
          </w:p>
        </w:tc>
        <w:tc>
          <w:tcPr>
            <w:tcW w:w="1417" w:type="dxa"/>
            <w:tcBorders>
              <w:top w:val="nil"/>
              <w:left w:val="nil"/>
              <w:bottom w:val="single" w:sz="4" w:space="0" w:color="auto"/>
              <w:right w:val="single" w:sz="4" w:space="0" w:color="auto"/>
            </w:tcBorders>
            <w:shd w:val="clear" w:color="auto" w:fill="auto"/>
            <w:noWrap/>
            <w:vAlign w:val="center"/>
            <w:hideMark/>
          </w:tcPr>
          <w:p w14:paraId="3A9E36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£6,706.23</w:t>
            </w:r>
          </w:p>
        </w:tc>
        <w:tc>
          <w:tcPr>
            <w:tcW w:w="1418" w:type="dxa"/>
            <w:tcBorders>
              <w:top w:val="nil"/>
              <w:left w:val="nil"/>
              <w:bottom w:val="single" w:sz="4" w:space="0" w:color="auto"/>
              <w:right w:val="single" w:sz="4" w:space="0" w:color="auto"/>
            </w:tcBorders>
            <w:shd w:val="clear" w:color="auto" w:fill="auto"/>
            <w:noWrap/>
            <w:vAlign w:val="center"/>
            <w:hideMark/>
          </w:tcPr>
          <w:p w14:paraId="62AF98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£6,706.23</w:t>
            </w:r>
          </w:p>
        </w:tc>
        <w:tc>
          <w:tcPr>
            <w:tcW w:w="1559" w:type="dxa"/>
            <w:tcBorders>
              <w:top w:val="nil"/>
              <w:left w:val="nil"/>
              <w:bottom w:val="single" w:sz="4" w:space="0" w:color="auto"/>
              <w:right w:val="single" w:sz="4" w:space="0" w:color="auto"/>
            </w:tcBorders>
            <w:shd w:val="clear" w:color="auto" w:fill="auto"/>
            <w:noWrap/>
            <w:vAlign w:val="center"/>
            <w:hideMark/>
          </w:tcPr>
          <w:p w14:paraId="056E70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£6,706.23</w:t>
            </w:r>
          </w:p>
        </w:tc>
        <w:tc>
          <w:tcPr>
            <w:tcW w:w="1559" w:type="dxa"/>
            <w:tcBorders>
              <w:top w:val="nil"/>
              <w:left w:val="nil"/>
              <w:bottom w:val="single" w:sz="4" w:space="0" w:color="auto"/>
              <w:right w:val="single" w:sz="4" w:space="0" w:color="auto"/>
            </w:tcBorders>
            <w:shd w:val="clear" w:color="auto" w:fill="auto"/>
            <w:noWrap/>
            <w:vAlign w:val="center"/>
            <w:hideMark/>
          </w:tcPr>
          <w:p w14:paraId="78D75E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£26,824.92</w:t>
            </w:r>
          </w:p>
        </w:tc>
      </w:tr>
      <w:tr w:rsidR="004433D7" w:rsidRPr="004433D7" w14:paraId="0FEDA6D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B914E0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306A29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£9,589.62</w:t>
            </w:r>
          </w:p>
        </w:tc>
        <w:tc>
          <w:tcPr>
            <w:tcW w:w="1560" w:type="dxa"/>
            <w:tcBorders>
              <w:top w:val="nil"/>
              <w:left w:val="nil"/>
              <w:bottom w:val="single" w:sz="4" w:space="0" w:color="auto"/>
              <w:right w:val="single" w:sz="4" w:space="0" w:color="auto"/>
            </w:tcBorders>
            <w:shd w:val="clear" w:color="auto" w:fill="auto"/>
            <w:noWrap/>
            <w:vAlign w:val="center"/>
            <w:hideMark/>
          </w:tcPr>
          <w:p w14:paraId="73BD28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£2,397.41</w:t>
            </w:r>
          </w:p>
        </w:tc>
        <w:tc>
          <w:tcPr>
            <w:tcW w:w="1417" w:type="dxa"/>
            <w:tcBorders>
              <w:top w:val="nil"/>
              <w:left w:val="nil"/>
              <w:bottom w:val="single" w:sz="4" w:space="0" w:color="auto"/>
              <w:right w:val="single" w:sz="4" w:space="0" w:color="auto"/>
            </w:tcBorders>
            <w:shd w:val="clear" w:color="auto" w:fill="auto"/>
            <w:noWrap/>
            <w:vAlign w:val="center"/>
            <w:hideMark/>
          </w:tcPr>
          <w:p w14:paraId="3ABA71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£2,397.41</w:t>
            </w:r>
          </w:p>
        </w:tc>
        <w:tc>
          <w:tcPr>
            <w:tcW w:w="1418" w:type="dxa"/>
            <w:tcBorders>
              <w:top w:val="nil"/>
              <w:left w:val="nil"/>
              <w:bottom w:val="single" w:sz="4" w:space="0" w:color="auto"/>
              <w:right w:val="single" w:sz="4" w:space="0" w:color="auto"/>
            </w:tcBorders>
            <w:shd w:val="clear" w:color="auto" w:fill="auto"/>
            <w:noWrap/>
            <w:vAlign w:val="center"/>
            <w:hideMark/>
          </w:tcPr>
          <w:p w14:paraId="1D9991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£2,397.41</w:t>
            </w:r>
          </w:p>
        </w:tc>
        <w:tc>
          <w:tcPr>
            <w:tcW w:w="1559" w:type="dxa"/>
            <w:tcBorders>
              <w:top w:val="nil"/>
              <w:left w:val="nil"/>
              <w:bottom w:val="single" w:sz="4" w:space="0" w:color="auto"/>
              <w:right w:val="single" w:sz="4" w:space="0" w:color="auto"/>
            </w:tcBorders>
            <w:shd w:val="clear" w:color="auto" w:fill="auto"/>
            <w:noWrap/>
            <w:vAlign w:val="center"/>
            <w:hideMark/>
          </w:tcPr>
          <w:p w14:paraId="275DB5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£2,397.40</w:t>
            </w:r>
          </w:p>
        </w:tc>
        <w:tc>
          <w:tcPr>
            <w:tcW w:w="1559" w:type="dxa"/>
            <w:tcBorders>
              <w:top w:val="nil"/>
              <w:left w:val="nil"/>
              <w:bottom w:val="single" w:sz="4" w:space="0" w:color="auto"/>
              <w:right w:val="single" w:sz="4" w:space="0" w:color="auto"/>
            </w:tcBorders>
            <w:shd w:val="clear" w:color="auto" w:fill="auto"/>
            <w:noWrap/>
            <w:vAlign w:val="center"/>
            <w:hideMark/>
          </w:tcPr>
          <w:p w14:paraId="510D8D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£9,589.63</w:t>
            </w:r>
          </w:p>
        </w:tc>
      </w:tr>
      <w:tr w:rsidR="004433D7" w:rsidRPr="004433D7" w14:paraId="4E0B11BB"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26D92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Foxglove Energy Supply Limited (T/A Fischer Energy)</w:t>
            </w:r>
          </w:p>
        </w:tc>
        <w:tc>
          <w:tcPr>
            <w:tcW w:w="1559" w:type="dxa"/>
            <w:tcBorders>
              <w:top w:val="nil"/>
              <w:left w:val="nil"/>
              <w:bottom w:val="single" w:sz="4" w:space="0" w:color="auto"/>
              <w:right w:val="single" w:sz="4" w:space="0" w:color="auto"/>
            </w:tcBorders>
            <w:shd w:val="clear" w:color="auto" w:fill="auto"/>
            <w:noWrap/>
            <w:vAlign w:val="center"/>
            <w:hideMark/>
          </w:tcPr>
          <w:p w14:paraId="0C6687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£1,445.92</w:t>
            </w:r>
          </w:p>
        </w:tc>
        <w:tc>
          <w:tcPr>
            <w:tcW w:w="1560" w:type="dxa"/>
            <w:tcBorders>
              <w:top w:val="nil"/>
              <w:left w:val="nil"/>
              <w:bottom w:val="single" w:sz="4" w:space="0" w:color="auto"/>
              <w:right w:val="single" w:sz="4" w:space="0" w:color="auto"/>
            </w:tcBorders>
            <w:shd w:val="clear" w:color="auto" w:fill="auto"/>
            <w:noWrap/>
            <w:vAlign w:val="center"/>
            <w:hideMark/>
          </w:tcPr>
          <w:p w14:paraId="5462CE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£361.48</w:t>
            </w:r>
          </w:p>
        </w:tc>
        <w:tc>
          <w:tcPr>
            <w:tcW w:w="1417" w:type="dxa"/>
            <w:tcBorders>
              <w:top w:val="nil"/>
              <w:left w:val="nil"/>
              <w:bottom w:val="single" w:sz="4" w:space="0" w:color="auto"/>
              <w:right w:val="single" w:sz="4" w:space="0" w:color="auto"/>
            </w:tcBorders>
            <w:shd w:val="clear" w:color="auto" w:fill="auto"/>
            <w:noWrap/>
            <w:vAlign w:val="center"/>
            <w:hideMark/>
          </w:tcPr>
          <w:p w14:paraId="6DAB13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£361.48</w:t>
            </w:r>
          </w:p>
        </w:tc>
        <w:tc>
          <w:tcPr>
            <w:tcW w:w="1418" w:type="dxa"/>
            <w:tcBorders>
              <w:top w:val="nil"/>
              <w:left w:val="nil"/>
              <w:bottom w:val="single" w:sz="4" w:space="0" w:color="auto"/>
              <w:right w:val="single" w:sz="4" w:space="0" w:color="auto"/>
            </w:tcBorders>
            <w:shd w:val="clear" w:color="auto" w:fill="auto"/>
            <w:noWrap/>
            <w:vAlign w:val="center"/>
            <w:hideMark/>
          </w:tcPr>
          <w:p w14:paraId="571434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£361.48</w:t>
            </w:r>
          </w:p>
        </w:tc>
        <w:tc>
          <w:tcPr>
            <w:tcW w:w="1559" w:type="dxa"/>
            <w:tcBorders>
              <w:top w:val="nil"/>
              <w:left w:val="nil"/>
              <w:bottom w:val="single" w:sz="4" w:space="0" w:color="auto"/>
              <w:right w:val="single" w:sz="4" w:space="0" w:color="auto"/>
            </w:tcBorders>
            <w:shd w:val="clear" w:color="auto" w:fill="auto"/>
            <w:noWrap/>
            <w:vAlign w:val="center"/>
            <w:hideMark/>
          </w:tcPr>
          <w:p w14:paraId="3D275E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£361.48</w:t>
            </w:r>
          </w:p>
        </w:tc>
        <w:tc>
          <w:tcPr>
            <w:tcW w:w="1559" w:type="dxa"/>
            <w:tcBorders>
              <w:top w:val="nil"/>
              <w:left w:val="nil"/>
              <w:bottom w:val="single" w:sz="4" w:space="0" w:color="auto"/>
              <w:right w:val="single" w:sz="4" w:space="0" w:color="auto"/>
            </w:tcBorders>
            <w:shd w:val="clear" w:color="auto" w:fill="auto"/>
            <w:noWrap/>
            <w:vAlign w:val="center"/>
            <w:hideMark/>
          </w:tcPr>
          <w:p w14:paraId="2A6A60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£1,445.92</w:t>
            </w:r>
          </w:p>
        </w:tc>
      </w:tr>
      <w:tr w:rsidR="004433D7" w:rsidRPr="004433D7" w14:paraId="6D1CA2F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B400B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559" w:type="dxa"/>
            <w:tcBorders>
              <w:top w:val="nil"/>
              <w:left w:val="nil"/>
              <w:bottom w:val="single" w:sz="4" w:space="0" w:color="auto"/>
              <w:right w:val="single" w:sz="4" w:space="0" w:color="auto"/>
            </w:tcBorders>
            <w:shd w:val="clear" w:color="auto" w:fill="auto"/>
            <w:noWrap/>
            <w:vAlign w:val="center"/>
            <w:hideMark/>
          </w:tcPr>
          <w:p w14:paraId="298C0E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£8,611.26</w:t>
            </w:r>
          </w:p>
        </w:tc>
        <w:tc>
          <w:tcPr>
            <w:tcW w:w="1560" w:type="dxa"/>
            <w:tcBorders>
              <w:top w:val="nil"/>
              <w:left w:val="nil"/>
              <w:bottom w:val="single" w:sz="4" w:space="0" w:color="auto"/>
              <w:right w:val="single" w:sz="4" w:space="0" w:color="auto"/>
            </w:tcBorders>
            <w:shd w:val="clear" w:color="auto" w:fill="auto"/>
            <w:noWrap/>
            <w:vAlign w:val="center"/>
            <w:hideMark/>
          </w:tcPr>
          <w:p w14:paraId="7D1229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£2,152.81</w:t>
            </w:r>
          </w:p>
        </w:tc>
        <w:tc>
          <w:tcPr>
            <w:tcW w:w="1417" w:type="dxa"/>
            <w:tcBorders>
              <w:top w:val="nil"/>
              <w:left w:val="nil"/>
              <w:bottom w:val="single" w:sz="4" w:space="0" w:color="auto"/>
              <w:right w:val="single" w:sz="4" w:space="0" w:color="auto"/>
            </w:tcBorders>
            <w:shd w:val="clear" w:color="auto" w:fill="auto"/>
            <w:noWrap/>
            <w:vAlign w:val="center"/>
            <w:hideMark/>
          </w:tcPr>
          <w:p w14:paraId="3CDFBA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£2,152.81</w:t>
            </w:r>
          </w:p>
        </w:tc>
        <w:tc>
          <w:tcPr>
            <w:tcW w:w="1418" w:type="dxa"/>
            <w:tcBorders>
              <w:top w:val="nil"/>
              <w:left w:val="nil"/>
              <w:bottom w:val="single" w:sz="4" w:space="0" w:color="auto"/>
              <w:right w:val="single" w:sz="4" w:space="0" w:color="auto"/>
            </w:tcBorders>
            <w:shd w:val="clear" w:color="auto" w:fill="auto"/>
            <w:noWrap/>
            <w:vAlign w:val="center"/>
            <w:hideMark/>
          </w:tcPr>
          <w:p w14:paraId="6E0EF4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£2,152.81</w:t>
            </w:r>
          </w:p>
        </w:tc>
        <w:tc>
          <w:tcPr>
            <w:tcW w:w="1559" w:type="dxa"/>
            <w:tcBorders>
              <w:top w:val="nil"/>
              <w:left w:val="nil"/>
              <w:bottom w:val="single" w:sz="4" w:space="0" w:color="auto"/>
              <w:right w:val="single" w:sz="4" w:space="0" w:color="auto"/>
            </w:tcBorders>
            <w:shd w:val="clear" w:color="auto" w:fill="auto"/>
            <w:noWrap/>
            <w:vAlign w:val="center"/>
            <w:hideMark/>
          </w:tcPr>
          <w:p w14:paraId="4EB3FC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£2,152.81</w:t>
            </w:r>
          </w:p>
        </w:tc>
        <w:tc>
          <w:tcPr>
            <w:tcW w:w="1559" w:type="dxa"/>
            <w:tcBorders>
              <w:top w:val="nil"/>
              <w:left w:val="nil"/>
              <w:bottom w:val="single" w:sz="4" w:space="0" w:color="auto"/>
              <w:right w:val="single" w:sz="4" w:space="0" w:color="auto"/>
            </w:tcBorders>
            <w:shd w:val="clear" w:color="auto" w:fill="auto"/>
            <w:noWrap/>
            <w:vAlign w:val="center"/>
            <w:hideMark/>
          </w:tcPr>
          <w:p w14:paraId="69E0B8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£8,611.24</w:t>
            </w:r>
          </w:p>
        </w:tc>
      </w:tr>
      <w:tr w:rsidR="004433D7" w:rsidRPr="004433D7" w14:paraId="3A358C4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A502A5"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Gnergy</w:t>
            </w:r>
            <w:proofErr w:type="spellEnd"/>
            <w:r w:rsidRPr="004433D7">
              <w:rPr>
                <w:rFonts w:eastAsia="Times New Roman" w:cs="Times New Roman"/>
                <w:color w:val="000000"/>
                <w:sz w:val="16"/>
                <w:szCs w:val="16"/>
              </w:rPr>
              <w:t xml:space="preserve"> Limited</w:t>
            </w:r>
          </w:p>
        </w:tc>
        <w:tc>
          <w:tcPr>
            <w:tcW w:w="1559" w:type="dxa"/>
            <w:tcBorders>
              <w:top w:val="nil"/>
              <w:left w:val="nil"/>
              <w:bottom w:val="single" w:sz="4" w:space="0" w:color="auto"/>
              <w:right w:val="single" w:sz="4" w:space="0" w:color="auto"/>
            </w:tcBorders>
            <w:shd w:val="clear" w:color="auto" w:fill="auto"/>
            <w:noWrap/>
            <w:vAlign w:val="center"/>
            <w:hideMark/>
          </w:tcPr>
          <w:p w14:paraId="1B636C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£193.61</w:t>
            </w:r>
          </w:p>
        </w:tc>
        <w:tc>
          <w:tcPr>
            <w:tcW w:w="1560" w:type="dxa"/>
            <w:tcBorders>
              <w:top w:val="nil"/>
              <w:left w:val="nil"/>
              <w:bottom w:val="single" w:sz="4" w:space="0" w:color="auto"/>
              <w:right w:val="single" w:sz="4" w:space="0" w:color="auto"/>
            </w:tcBorders>
            <w:shd w:val="clear" w:color="auto" w:fill="auto"/>
            <w:noWrap/>
            <w:vAlign w:val="center"/>
            <w:hideMark/>
          </w:tcPr>
          <w:p w14:paraId="503ACE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£48.40</w:t>
            </w:r>
          </w:p>
        </w:tc>
        <w:tc>
          <w:tcPr>
            <w:tcW w:w="1417" w:type="dxa"/>
            <w:tcBorders>
              <w:top w:val="nil"/>
              <w:left w:val="nil"/>
              <w:bottom w:val="single" w:sz="4" w:space="0" w:color="auto"/>
              <w:right w:val="single" w:sz="4" w:space="0" w:color="auto"/>
            </w:tcBorders>
            <w:shd w:val="clear" w:color="auto" w:fill="auto"/>
            <w:noWrap/>
            <w:vAlign w:val="center"/>
            <w:hideMark/>
          </w:tcPr>
          <w:p w14:paraId="7B2016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£48.40</w:t>
            </w:r>
          </w:p>
        </w:tc>
        <w:tc>
          <w:tcPr>
            <w:tcW w:w="1418" w:type="dxa"/>
            <w:tcBorders>
              <w:top w:val="nil"/>
              <w:left w:val="nil"/>
              <w:bottom w:val="single" w:sz="4" w:space="0" w:color="auto"/>
              <w:right w:val="single" w:sz="4" w:space="0" w:color="auto"/>
            </w:tcBorders>
            <w:shd w:val="clear" w:color="auto" w:fill="auto"/>
            <w:noWrap/>
            <w:vAlign w:val="center"/>
            <w:hideMark/>
          </w:tcPr>
          <w:p w14:paraId="19079C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£48.40</w:t>
            </w:r>
          </w:p>
        </w:tc>
        <w:tc>
          <w:tcPr>
            <w:tcW w:w="1559" w:type="dxa"/>
            <w:tcBorders>
              <w:top w:val="nil"/>
              <w:left w:val="nil"/>
              <w:bottom w:val="single" w:sz="4" w:space="0" w:color="auto"/>
              <w:right w:val="single" w:sz="4" w:space="0" w:color="auto"/>
            </w:tcBorders>
            <w:shd w:val="clear" w:color="auto" w:fill="auto"/>
            <w:noWrap/>
            <w:vAlign w:val="center"/>
            <w:hideMark/>
          </w:tcPr>
          <w:p w14:paraId="541427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42BAA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£145.20</w:t>
            </w:r>
          </w:p>
        </w:tc>
      </w:tr>
      <w:tr w:rsidR="004433D7" w:rsidRPr="004433D7" w14:paraId="1706990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5395F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28AC65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£4,977.10</w:t>
            </w:r>
          </w:p>
        </w:tc>
        <w:tc>
          <w:tcPr>
            <w:tcW w:w="1560" w:type="dxa"/>
            <w:tcBorders>
              <w:top w:val="nil"/>
              <w:left w:val="nil"/>
              <w:bottom w:val="single" w:sz="4" w:space="0" w:color="auto"/>
              <w:right w:val="single" w:sz="4" w:space="0" w:color="auto"/>
            </w:tcBorders>
            <w:shd w:val="clear" w:color="auto" w:fill="auto"/>
            <w:noWrap/>
            <w:vAlign w:val="center"/>
            <w:hideMark/>
          </w:tcPr>
          <w:p w14:paraId="78BB81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£1,244.27</w:t>
            </w:r>
          </w:p>
        </w:tc>
        <w:tc>
          <w:tcPr>
            <w:tcW w:w="1417" w:type="dxa"/>
            <w:tcBorders>
              <w:top w:val="nil"/>
              <w:left w:val="nil"/>
              <w:bottom w:val="single" w:sz="4" w:space="0" w:color="auto"/>
              <w:right w:val="single" w:sz="4" w:space="0" w:color="auto"/>
            </w:tcBorders>
            <w:shd w:val="clear" w:color="auto" w:fill="auto"/>
            <w:noWrap/>
            <w:vAlign w:val="center"/>
            <w:hideMark/>
          </w:tcPr>
          <w:p w14:paraId="4C52BE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£1,244.27</w:t>
            </w:r>
          </w:p>
        </w:tc>
        <w:tc>
          <w:tcPr>
            <w:tcW w:w="1418" w:type="dxa"/>
            <w:tcBorders>
              <w:top w:val="nil"/>
              <w:left w:val="nil"/>
              <w:bottom w:val="single" w:sz="4" w:space="0" w:color="auto"/>
              <w:right w:val="single" w:sz="4" w:space="0" w:color="auto"/>
            </w:tcBorders>
            <w:shd w:val="clear" w:color="auto" w:fill="auto"/>
            <w:noWrap/>
            <w:vAlign w:val="center"/>
            <w:hideMark/>
          </w:tcPr>
          <w:p w14:paraId="1D75E6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£1,244.27</w:t>
            </w:r>
          </w:p>
        </w:tc>
        <w:tc>
          <w:tcPr>
            <w:tcW w:w="1559" w:type="dxa"/>
            <w:tcBorders>
              <w:top w:val="nil"/>
              <w:left w:val="nil"/>
              <w:bottom w:val="single" w:sz="4" w:space="0" w:color="auto"/>
              <w:right w:val="single" w:sz="4" w:space="0" w:color="auto"/>
            </w:tcBorders>
            <w:shd w:val="clear" w:color="auto" w:fill="auto"/>
            <w:noWrap/>
            <w:vAlign w:val="center"/>
            <w:hideMark/>
          </w:tcPr>
          <w:p w14:paraId="4F082B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£1,244.27</w:t>
            </w:r>
          </w:p>
        </w:tc>
        <w:tc>
          <w:tcPr>
            <w:tcW w:w="1559" w:type="dxa"/>
            <w:tcBorders>
              <w:top w:val="nil"/>
              <w:left w:val="nil"/>
              <w:bottom w:val="single" w:sz="4" w:space="0" w:color="auto"/>
              <w:right w:val="single" w:sz="4" w:space="0" w:color="auto"/>
            </w:tcBorders>
            <w:shd w:val="clear" w:color="auto" w:fill="auto"/>
            <w:noWrap/>
            <w:vAlign w:val="center"/>
            <w:hideMark/>
          </w:tcPr>
          <w:p w14:paraId="077B0F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£4,977.08</w:t>
            </w:r>
          </w:p>
        </w:tc>
      </w:tr>
      <w:tr w:rsidR="004433D7" w:rsidRPr="004433D7" w14:paraId="1027A56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32845E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559" w:type="dxa"/>
            <w:tcBorders>
              <w:top w:val="nil"/>
              <w:left w:val="nil"/>
              <w:bottom w:val="single" w:sz="4" w:space="0" w:color="auto"/>
              <w:right w:val="single" w:sz="4" w:space="0" w:color="auto"/>
            </w:tcBorders>
            <w:shd w:val="clear" w:color="auto" w:fill="auto"/>
            <w:noWrap/>
            <w:vAlign w:val="center"/>
            <w:hideMark/>
          </w:tcPr>
          <w:p w14:paraId="6B0F86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£659.93</w:t>
            </w:r>
          </w:p>
        </w:tc>
        <w:tc>
          <w:tcPr>
            <w:tcW w:w="1560" w:type="dxa"/>
            <w:tcBorders>
              <w:top w:val="nil"/>
              <w:left w:val="nil"/>
              <w:bottom w:val="single" w:sz="4" w:space="0" w:color="auto"/>
              <w:right w:val="single" w:sz="4" w:space="0" w:color="auto"/>
            </w:tcBorders>
            <w:shd w:val="clear" w:color="auto" w:fill="auto"/>
            <w:noWrap/>
            <w:vAlign w:val="center"/>
            <w:hideMark/>
          </w:tcPr>
          <w:p w14:paraId="4DA376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£164.98</w:t>
            </w:r>
          </w:p>
        </w:tc>
        <w:tc>
          <w:tcPr>
            <w:tcW w:w="1417" w:type="dxa"/>
            <w:tcBorders>
              <w:top w:val="nil"/>
              <w:left w:val="nil"/>
              <w:bottom w:val="single" w:sz="4" w:space="0" w:color="auto"/>
              <w:right w:val="single" w:sz="4" w:space="0" w:color="auto"/>
            </w:tcBorders>
            <w:shd w:val="clear" w:color="auto" w:fill="auto"/>
            <w:noWrap/>
            <w:vAlign w:val="center"/>
            <w:hideMark/>
          </w:tcPr>
          <w:p w14:paraId="13014F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£164.98</w:t>
            </w:r>
          </w:p>
        </w:tc>
        <w:tc>
          <w:tcPr>
            <w:tcW w:w="1418" w:type="dxa"/>
            <w:tcBorders>
              <w:top w:val="nil"/>
              <w:left w:val="nil"/>
              <w:bottom w:val="single" w:sz="4" w:space="0" w:color="auto"/>
              <w:right w:val="single" w:sz="4" w:space="0" w:color="auto"/>
            </w:tcBorders>
            <w:shd w:val="clear" w:color="auto" w:fill="auto"/>
            <w:noWrap/>
            <w:vAlign w:val="center"/>
            <w:hideMark/>
          </w:tcPr>
          <w:p w14:paraId="3446D5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£164.98</w:t>
            </w:r>
          </w:p>
        </w:tc>
        <w:tc>
          <w:tcPr>
            <w:tcW w:w="1559" w:type="dxa"/>
            <w:tcBorders>
              <w:top w:val="nil"/>
              <w:left w:val="nil"/>
              <w:bottom w:val="single" w:sz="4" w:space="0" w:color="auto"/>
              <w:right w:val="single" w:sz="4" w:space="0" w:color="auto"/>
            </w:tcBorders>
            <w:shd w:val="clear" w:color="auto" w:fill="auto"/>
            <w:noWrap/>
            <w:vAlign w:val="center"/>
            <w:hideMark/>
          </w:tcPr>
          <w:p w14:paraId="1C7E2D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£164.98</w:t>
            </w:r>
          </w:p>
        </w:tc>
        <w:tc>
          <w:tcPr>
            <w:tcW w:w="1559" w:type="dxa"/>
            <w:tcBorders>
              <w:top w:val="nil"/>
              <w:left w:val="nil"/>
              <w:bottom w:val="single" w:sz="4" w:space="0" w:color="auto"/>
              <w:right w:val="single" w:sz="4" w:space="0" w:color="auto"/>
            </w:tcBorders>
            <w:shd w:val="clear" w:color="auto" w:fill="auto"/>
            <w:noWrap/>
            <w:vAlign w:val="center"/>
            <w:hideMark/>
          </w:tcPr>
          <w:p w14:paraId="2F9207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£659.92</w:t>
            </w:r>
          </w:p>
        </w:tc>
      </w:tr>
      <w:tr w:rsidR="004433D7" w:rsidRPr="004433D7" w14:paraId="21129E7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C0106E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2E73C0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£3,845.90</w:t>
            </w:r>
          </w:p>
        </w:tc>
        <w:tc>
          <w:tcPr>
            <w:tcW w:w="1560" w:type="dxa"/>
            <w:tcBorders>
              <w:top w:val="nil"/>
              <w:left w:val="nil"/>
              <w:bottom w:val="single" w:sz="4" w:space="0" w:color="auto"/>
              <w:right w:val="single" w:sz="4" w:space="0" w:color="auto"/>
            </w:tcBorders>
            <w:shd w:val="clear" w:color="auto" w:fill="auto"/>
            <w:noWrap/>
            <w:vAlign w:val="center"/>
            <w:hideMark/>
          </w:tcPr>
          <w:p w14:paraId="29A2AD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£961.48</w:t>
            </w:r>
          </w:p>
        </w:tc>
        <w:tc>
          <w:tcPr>
            <w:tcW w:w="1417" w:type="dxa"/>
            <w:tcBorders>
              <w:top w:val="nil"/>
              <w:left w:val="nil"/>
              <w:bottom w:val="single" w:sz="4" w:space="0" w:color="auto"/>
              <w:right w:val="single" w:sz="4" w:space="0" w:color="auto"/>
            </w:tcBorders>
            <w:shd w:val="clear" w:color="auto" w:fill="auto"/>
            <w:noWrap/>
            <w:vAlign w:val="center"/>
            <w:hideMark/>
          </w:tcPr>
          <w:p w14:paraId="60EA53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£961.48</w:t>
            </w:r>
          </w:p>
        </w:tc>
        <w:tc>
          <w:tcPr>
            <w:tcW w:w="1418" w:type="dxa"/>
            <w:tcBorders>
              <w:top w:val="nil"/>
              <w:left w:val="nil"/>
              <w:bottom w:val="single" w:sz="4" w:space="0" w:color="auto"/>
              <w:right w:val="single" w:sz="4" w:space="0" w:color="auto"/>
            </w:tcBorders>
            <w:shd w:val="clear" w:color="auto" w:fill="auto"/>
            <w:noWrap/>
            <w:vAlign w:val="center"/>
            <w:hideMark/>
          </w:tcPr>
          <w:p w14:paraId="18A524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£961.48</w:t>
            </w:r>
          </w:p>
        </w:tc>
        <w:tc>
          <w:tcPr>
            <w:tcW w:w="1559" w:type="dxa"/>
            <w:tcBorders>
              <w:top w:val="nil"/>
              <w:left w:val="nil"/>
              <w:bottom w:val="single" w:sz="4" w:space="0" w:color="auto"/>
              <w:right w:val="single" w:sz="4" w:space="0" w:color="auto"/>
            </w:tcBorders>
            <w:shd w:val="clear" w:color="auto" w:fill="auto"/>
            <w:noWrap/>
            <w:vAlign w:val="center"/>
            <w:hideMark/>
          </w:tcPr>
          <w:p w14:paraId="128255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£961.48</w:t>
            </w:r>
          </w:p>
        </w:tc>
        <w:tc>
          <w:tcPr>
            <w:tcW w:w="1559" w:type="dxa"/>
            <w:tcBorders>
              <w:top w:val="nil"/>
              <w:left w:val="nil"/>
              <w:bottom w:val="single" w:sz="4" w:space="0" w:color="auto"/>
              <w:right w:val="single" w:sz="4" w:space="0" w:color="auto"/>
            </w:tcBorders>
            <w:shd w:val="clear" w:color="auto" w:fill="auto"/>
            <w:noWrap/>
            <w:vAlign w:val="center"/>
            <w:hideMark/>
          </w:tcPr>
          <w:p w14:paraId="2D0B2E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£3,845.92</w:t>
            </w:r>
          </w:p>
        </w:tc>
      </w:tr>
      <w:tr w:rsidR="004433D7" w:rsidRPr="004433D7" w14:paraId="5A53EDF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57346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4682D5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£183,196.43</w:t>
            </w:r>
          </w:p>
        </w:tc>
        <w:tc>
          <w:tcPr>
            <w:tcW w:w="1560" w:type="dxa"/>
            <w:tcBorders>
              <w:top w:val="nil"/>
              <w:left w:val="nil"/>
              <w:bottom w:val="single" w:sz="4" w:space="0" w:color="auto"/>
              <w:right w:val="single" w:sz="4" w:space="0" w:color="auto"/>
            </w:tcBorders>
            <w:shd w:val="clear" w:color="auto" w:fill="auto"/>
            <w:noWrap/>
            <w:vAlign w:val="center"/>
            <w:hideMark/>
          </w:tcPr>
          <w:p w14:paraId="243BAC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£45,799.11</w:t>
            </w:r>
          </w:p>
        </w:tc>
        <w:tc>
          <w:tcPr>
            <w:tcW w:w="1417" w:type="dxa"/>
            <w:tcBorders>
              <w:top w:val="nil"/>
              <w:left w:val="nil"/>
              <w:bottom w:val="single" w:sz="4" w:space="0" w:color="auto"/>
              <w:right w:val="single" w:sz="4" w:space="0" w:color="auto"/>
            </w:tcBorders>
            <w:shd w:val="clear" w:color="auto" w:fill="auto"/>
            <w:noWrap/>
            <w:vAlign w:val="center"/>
            <w:hideMark/>
          </w:tcPr>
          <w:p w14:paraId="205D2E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£45,799.11</w:t>
            </w:r>
          </w:p>
        </w:tc>
        <w:tc>
          <w:tcPr>
            <w:tcW w:w="1418" w:type="dxa"/>
            <w:tcBorders>
              <w:top w:val="nil"/>
              <w:left w:val="nil"/>
              <w:bottom w:val="single" w:sz="4" w:space="0" w:color="auto"/>
              <w:right w:val="single" w:sz="4" w:space="0" w:color="auto"/>
            </w:tcBorders>
            <w:shd w:val="clear" w:color="auto" w:fill="auto"/>
            <w:noWrap/>
            <w:vAlign w:val="center"/>
            <w:hideMark/>
          </w:tcPr>
          <w:p w14:paraId="31D014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£45,799.11</w:t>
            </w:r>
          </w:p>
        </w:tc>
        <w:tc>
          <w:tcPr>
            <w:tcW w:w="1559" w:type="dxa"/>
            <w:tcBorders>
              <w:top w:val="nil"/>
              <w:left w:val="nil"/>
              <w:bottom w:val="single" w:sz="4" w:space="0" w:color="auto"/>
              <w:right w:val="single" w:sz="4" w:space="0" w:color="auto"/>
            </w:tcBorders>
            <w:shd w:val="clear" w:color="auto" w:fill="auto"/>
            <w:noWrap/>
            <w:vAlign w:val="center"/>
            <w:hideMark/>
          </w:tcPr>
          <w:p w14:paraId="16AEF8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£45,799.11</w:t>
            </w:r>
          </w:p>
        </w:tc>
        <w:tc>
          <w:tcPr>
            <w:tcW w:w="1559" w:type="dxa"/>
            <w:tcBorders>
              <w:top w:val="nil"/>
              <w:left w:val="nil"/>
              <w:bottom w:val="single" w:sz="4" w:space="0" w:color="auto"/>
              <w:right w:val="single" w:sz="4" w:space="0" w:color="auto"/>
            </w:tcBorders>
            <w:shd w:val="clear" w:color="auto" w:fill="auto"/>
            <w:noWrap/>
            <w:vAlign w:val="center"/>
            <w:hideMark/>
          </w:tcPr>
          <w:p w14:paraId="518E47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£183,196.44</w:t>
            </w:r>
          </w:p>
        </w:tc>
      </w:tr>
      <w:tr w:rsidR="004433D7" w:rsidRPr="004433D7" w14:paraId="7F36DEA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0DDAF6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Hudson Energy Supply UK Limited</w:t>
            </w:r>
          </w:p>
        </w:tc>
        <w:tc>
          <w:tcPr>
            <w:tcW w:w="1559" w:type="dxa"/>
            <w:tcBorders>
              <w:top w:val="nil"/>
              <w:left w:val="nil"/>
              <w:bottom w:val="single" w:sz="4" w:space="0" w:color="auto"/>
              <w:right w:val="single" w:sz="4" w:space="0" w:color="auto"/>
            </w:tcBorders>
            <w:shd w:val="clear" w:color="auto" w:fill="auto"/>
            <w:noWrap/>
            <w:vAlign w:val="center"/>
            <w:hideMark/>
          </w:tcPr>
          <w:p w14:paraId="339F71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£36,548.82</w:t>
            </w:r>
          </w:p>
        </w:tc>
        <w:tc>
          <w:tcPr>
            <w:tcW w:w="1560" w:type="dxa"/>
            <w:tcBorders>
              <w:top w:val="nil"/>
              <w:left w:val="nil"/>
              <w:bottom w:val="single" w:sz="4" w:space="0" w:color="auto"/>
              <w:right w:val="single" w:sz="4" w:space="0" w:color="auto"/>
            </w:tcBorders>
            <w:shd w:val="clear" w:color="auto" w:fill="auto"/>
            <w:noWrap/>
            <w:vAlign w:val="center"/>
            <w:hideMark/>
          </w:tcPr>
          <w:p w14:paraId="06D85F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£9,137.21</w:t>
            </w:r>
          </w:p>
        </w:tc>
        <w:tc>
          <w:tcPr>
            <w:tcW w:w="1417" w:type="dxa"/>
            <w:tcBorders>
              <w:top w:val="nil"/>
              <w:left w:val="nil"/>
              <w:bottom w:val="single" w:sz="4" w:space="0" w:color="auto"/>
              <w:right w:val="single" w:sz="4" w:space="0" w:color="auto"/>
            </w:tcBorders>
            <w:shd w:val="clear" w:color="auto" w:fill="auto"/>
            <w:noWrap/>
            <w:vAlign w:val="center"/>
            <w:hideMark/>
          </w:tcPr>
          <w:p w14:paraId="35DF00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£9,137.21</w:t>
            </w:r>
          </w:p>
        </w:tc>
        <w:tc>
          <w:tcPr>
            <w:tcW w:w="1418" w:type="dxa"/>
            <w:tcBorders>
              <w:top w:val="nil"/>
              <w:left w:val="nil"/>
              <w:bottom w:val="single" w:sz="4" w:space="0" w:color="auto"/>
              <w:right w:val="single" w:sz="4" w:space="0" w:color="auto"/>
            </w:tcBorders>
            <w:shd w:val="clear" w:color="auto" w:fill="auto"/>
            <w:noWrap/>
            <w:vAlign w:val="center"/>
            <w:hideMark/>
          </w:tcPr>
          <w:p w14:paraId="4729CD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£9,137.21</w:t>
            </w:r>
          </w:p>
        </w:tc>
        <w:tc>
          <w:tcPr>
            <w:tcW w:w="1559" w:type="dxa"/>
            <w:tcBorders>
              <w:top w:val="nil"/>
              <w:left w:val="nil"/>
              <w:bottom w:val="single" w:sz="4" w:space="0" w:color="auto"/>
              <w:right w:val="single" w:sz="4" w:space="0" w:color="auto"/>
            </w:tcBorders>
            <w:shd w:val="clear" w:color="auto" w:fill="auto"/>
            <w:noWrap/>
            <w:vAlign w:val="center"/>
            <w:hideMark/>
          </w:tcPr>
          <w:p w14:paraId="29B234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£9,137.21</w:t>
            </w:r>
          </w:p>
        </w:tc>
        <w:tc>
          <w:tcPr>
            <w:tcW w:w="1559" w:type="dxa"/>
            <w:tcBorders>
              <w:top w:val="nil"/>
              <w:left w:val="nil"/>
              <w:bottom w:val="single" w:sz="4" w:space="0" w:color="auto"/>
              <w:right w:val="single" w:sz="4" w:space="0" w:color="auto"/>
            </w:tcBorders>
            <w:shd w:val="clear" w:color="auto" w:fill="auto"/>
            <w:noWrap/>
            <w:vAlign w:val="center"/>
            <w:hideMark/>
          </w:tcPr>
          <w:p w14:paraId="348F79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£36,548.84</w:t>
            </w:r>
          </w:p>
        </w:tc>
      </w:tr>
      <w:tr w:rsidR="004433D7" w:rsidRPr="004433D7" w14:paraId="485B2A7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709857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 Supply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4352E2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£7,107.67</w:t>
            </w:r>
          </w:p>
        </w:tc>
        <w:tc>
          <w:tcPr>
            <w:tcW w:w="1560" w:type="dxa"/>
            <w:tcBorders>
              <w:top w:val="nil"/>
              <w:left w:val="nil"/>
              <w:bottom w:val="single" w:sz="4" w:space="0" w:color="auto"/>
              <w:right w:val="single" w:sz="4" w:space="0" w:color="auto"/>
            </w:tcBorders>
            <w:shd w:val="clear" w:color="auto" w:fill="auto"/>
            <w:noWrap/>
            <w:vAlign w:val="center"/>
            <w:hideMark/>
          </w:tcPr>
          <w:p w14:paraId="5DD97C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£1,776.92</w:t>
            </w:r>
          </w:p>
        </w:tc>
        <w:tc>
          <w:tcPr>
            <w:tcW w:w="1417" w:type="dxa"/>
            <w:tcBorders>
              <w:top w:val="nil"/>
              <w:left w:val="nil"/>
              <w:bottom w:val="single" w:sz="4" w:space="0" w:color="auto"/>
              <w:right w:val="single" w:sz="4" w:space="0" w:color="auto"/>
            </w:tcBorders>
            <w:shd w:val="clear" w:color="auto" w:fill="auto"/>
            <w:noWrap/>
            <w:vAlign w:val="center"/>
            <w:hideMark/>
          </w:tcPr>
          <w:p w14:paraId="7B9141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£1,776.92</w:t>
            </w:r>
          </w:p>
        </w:tc>
        <w:tc>
          <w:tcPr>
            <w:tcW w:w="1418" w:type="dxa"/>
            <w:tcBorders>
              <w:top w:val="nil"/>
              <w:left w:val="nil"/>
              <w:bottom w:val="single" w:sz="4" w:space="0" w:color="auto"/>
              <w:right w:val="single" w:sz="4" w:space="0" w:color="auto"/>
            </w:tcBorders>
            <w:shd w:val="clear" w:color="auto" w:fill="auto"/>
            <w:noWrap/>
            <w:vAlign w:val="center"/>
            <w:hideMark/>
          </w:tcPr>
          <w:p w14:paraId="0E965B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£1,776.92</w:t>
            </w:r>
          </w:p>
        </w:tc>
        <w:tc>
          <w:tcPr>
            <w:tcW w:w="1559" w:type="dxa"/>
            <w:tcBorders>
              <w:top w:val="nil"/>
              <w:left w:val="nil"/>
              <w:bottom w:val="single" w:sz="4" w:space="0" w:color="auto"/>
              <w:right w:val="single" w:sz="4" w:space="0" w:color="auto"/>
            </w:tcBorders>
            <w:shd w:val="clear" w:color="auto" w:fill="auto"/>
            <w:noWrap/>
            <w:vAlign w:val="center"/>
            <w:hideMark/>
          </w:tcPr>
          <w:p w14:paraId="394D54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£1,776.92</w:t>
            </w:r>
          </w:p>
        </w:tc>
        <w:tc>
          <w:tcPr>
            <w:tcW w:w="1559" w:type="dxa"/>
            <w:tcBorders>
              <w:top w:val="nil"/>
              <w:left w:val="nil"/>
              <w:bottom w:val="single" w:sz="4" w:space="0" w:color="auto"/>
              <w:right w:val="single" w:sz="4" w:space="0" w:color="auto"/>
            </w:tcBorders>
            <w:shd w:val="clear" w:color="auto" w:fill="auto"/>
            <w:noWrap/>
            <w:vAlign w:val="center"/>
            <w:hideMark/>
          </w:tcPr>
          <w:p w14:paraId="66C255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£7,107.68</w:t>
            </w:r>
          </w:p>
        </w:tc>
      </w:tr>
      <w:tr w:rsidR="004433D7" w:rsidRPr="004433D7" w14:paraId="1084DC9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C7A286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Igloo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256C97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£0.82</w:t>
            </w:r>
          </w:p>
        </w:tc>
        <w:tc>
          <w:tcPr>
            <w:tcW w:w="1560" w:type="dxa"/>
            <w:tcBorders>
              <w:top w:val="nil"/>
              <w:left w:val="nil"/>
              <w:bottom w:val="single" w:sz="4" w:space="0" w:color="auto"/>
              <w:right w:val="single" w:sz="4" w:space="0" w:color="auto"/>
            </w:tcBorders>
            <w:shd w:val="clear" w:color="auto" w:fill="auto"/>
            <w:noWrap/>
            <w:vAlign w:val="center"/>
            <w:hideMark/>
          </w:tcPr>
          <w:p w14:paraId="520AC5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£0.84</w:t>
            </w:r>
          </w:p>
        </w:tc>
        <w:tc>
          <w:tcPr>
            <w:tcW w:w="1417" w:type="dxa"/>
            <w:tcBorders>
              <w:top w:val="nil"/>
              <w:left w:val="nil"/>
              <w:bottom w:val="single" w:sz="4" w:space="0" w:color="auto"/>
              <w:right w:val="single" w:sz="4" w:space="0" w:color="auto"/>
            </w:tcBorders>
            <w:shd w:val="clear" w:color="auto" w:fill="auto"/>
            <w:noWrap/>
            <w:vAlign w:val="center"/>
            <w:hideMark/>
          </w:tcPr>
          <w:p w14:paraId="02529B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361D50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DA497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E46E3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£0.84</w:t>
            </w:r>
          </w:p>
        </w:tc>
      </w:tr>
      <w:tr w:rsidR="004433D7" w:rsidRPr="004433D7" w14:paraId="1D3DF52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40F074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5F9850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£2,545.40</w:t>
            </w:r>
          </w:p>
        </w:tc>
        <w:tc>
          <w:tcPr>
            <w:tcW w:w="1560" w:type="dxa"/>
            <w:tcBorders>
              <w:top w:val="nil"/>
              <w:left w:val="nil"/>
              <w:bottom w:val="single" w:sz="4" w:space="0" w:color="auto"/>
              <w:right w:val="single" w:sz="4" w:space="0" w:color="auto"/>
            </w:tcBorders>
            <w:shd w:val="clear" w:color="auto" w:fill="auto"/>
            <w:noWrap/>
            <w:vAlign w:val="center"/>
            <w:hideMark/>
          </w:tcPr>
          <w:p w14:paraId="716709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£636.35</w:t>
            </w:r>
          </w:p>
        </w:tc>
        <w:tc>
          <w:tcPr>
            <w:tcW w:w="1417" w:type="dxa"/>
            <w:tcBorders>
              <w:top w:val="nil"/>
              <w:left w:val="nil"/>
              <w:bottom w:val="single" w:sz="4" w:space="0" w:color="auto"/>
              <w:right w:val="single" w:sz="4" w:space="0" w:color="auto"/>
            </w:tcBorders>
            <w:shd w:val="clear" w:color="auto" w:fill="auto"/>
            <w:noWrap/>
            <w:vAlign w:val="center"/>
            <w:hideMark/>
          </w:tcPr>
          <w:p w14:paraId="18F07A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£636.35</w:t>
            </w:r>
          </w:p>
        </w:tc>
        <w:tc>
          <w:tcPr>
            <w:tcW w:w="1418" w:type="dxa"/>
            <w:tcBorders>
              <w:top w:val="nil"/>
              <w:left w:val="nil"/>
              <w:bottom w:val="single" w:sz="4" w:space="0" w:color="auto"/>
              <w:right w:val="single" w:sz="4" w:space="0" w:color="auto"/>
            </w:tcBorders>
            <w:shd w:val="clear" w:color="auto" w:fill="auto"/>
            <w:noWrap/>
            <w:vAlign w:val="center"/>
            <w:hideMark/>
          </w:tcPr>
          <w:p w14:paraId="5CA9CF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£636.35</w:t>
            </w:r>
          </w:p>
        </w:tc>
        <w:tc>
          <w:tcPr>
            <w:tcW w:w="1559" w:type="dxa"/>
            <w:tcBorders>
              <w:top w:val="nil"/>
              <w:left w:val="nil"/>
              <w:bottom w:val="single" w:sz="4" w:space="0" w:color="auto"/>
              <w:right w:val="single" w:sz="4" w:space="0" w:color="auto"/>
            </w:tcBorders>
            <w:shd w:val="clear" w:color="auto" w:fill="auto"/>
            <w:noWrap/>
            <w:vAlign w:val="center"/>
            <w:hideMark/>
          </w:tcPr>
          <w:p w14:paraId="7984EB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£636.35</w:t>
            </w:r>
          </w:p>
        </w:tc>
        <w:tc>
          <w:tcPr>
            <w:tcW w:w="1559" w:type="dxa"/>
            <w:tcBorders>
              <w:top w:val="nil"/>
              <w:left w:val="nil"/>
              <w:bottom w:val="single" w:sz="4" w:space="0" w:color="auto"/>
              <w:right w:val="single" w:sz="4" w:space="0" w:color="auto"/>
            </w:tcBorders>
            <w:shd w:val="clear" w:color="auto" w:fill="auto"/>
            <w:noWrap/>
            <w:vAlign w:val="center"/>
            <w:hideMark/>
          </w:tcPr>
          <w:p w14:paraId="7B5594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£2,545.40</w:t>
            </w:r>
          </w:p>
        </w:tc>
      </w:tr>
      <w:tr w:rsidR="004433D7" w:rsidRPr="004433D7" w14:paraId="3E4620C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CF38D0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5676ED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£842.84</w:t>
            </w:r>
          </w:p>
        </w:tc>
        <w:tc>
          <w:tcPr>
            <w:tcW w:w="1560" w:type="dxa"/>
            <w:tcBorders>
              <w:top w:val="nil"/>
              <w:left w:val="nil"/>
              <w:bottom w:val="single" w:sz="4" w:space="0" w:color="auto"/>
              <w:right w:val="single" w:sz="4" w:space="0" w:color="auto"/>
            </w:tcBorders>
            <w:shd w:val="clear" w:color="auto" w:fill="auto"/>
            <w:noWrap/>
            <w:vAlign w:val="center"/>
            <w:hideMark/>
          </w:tcPr>
          <w:p w14:paraId="2B7141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£210.71</w:t>
            </w:r>
          </w:p>
        </w:tc>
        <w:tc>
          <w:tcPr>
            <w:tcW w:w="1417" w:type="dxa"/>
            <w:tcBorders>
              <w:top w:val="nil"/>
              <w:left w:val="nil"/>
              <w:bottom w:val="single" w:sz="4" w:space="0" w:color="auto"/>
              <w:right w:val="single" w:sz="4" w:space="0" w:color="auto"/>
            </w:tcBorders>
            <w:shd w:val="clear" w:color="auto" w:fill="auto"/>
            <w:noWrap/>
            <w:vAlign w:val="center"/>
            <w:hideMark/>
          </w:tcPr>
          <w:p w14:paraId="32E1F8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£210.71</w:t>
            </w:r>
          </w:p>
        </w:tc>
        <w:tc>
          <w:tcPr>
            <w:tcW w:w="1418" w:type="dxa"/>
            <w:tcBorders>
              <w:top w:val="nil"/>
              <w:left w:val="nil"/>
              <w:bottom w:val="single" w:sz="4" w:space="0" w:color="auto"/>
              <w:right w:val="single" w:sz="4" w:space="0" w:color="auto"/>
            </w:tcBorders>
            <w:shd w:val="clear" w:color="auto" w:fill="auto"/>
            <w:noWrap/>
            <w:vAlign w:val="center"/>
            <w:hideMark/>
          </w:tcPr>
          <w:p w14:paraId="220E65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£210.71</w:t>
            </w:r>
          </w:p>
        </w:tc>
        <w:tc>
          <w:tcPr>
            <w:tcW w:w="1559" w:type="dxa"/>
            <w:tcBorders>
              <w:top w:val="nil"/>
              <w:left w:val="nil"/>
              <w:bottom w:val="single" w:sz="4" w:space="0" w:color="auto"/>
              <w:right w:val="single" w:sz="4" w:space="0" w:color="auto"/>
            </w:tcBorders>
            <w:shd w:val="clear" w:color="auto" w:fill="auto"/>
            <w:noWrap/>
            <w:vAlign w:val="center"/>
            <w:hideMark/>
          </w:tcPr>
          <w:p w14:paraId="1D49AF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£210.71</w:t>
            </w:r>
          </w:p>
        </w:tc>
        <w:tc>
          <w:tcPr>
            <w:tcW w:w="1559" w:type="dxa"/>
            <w:tcBorders>
              <w:top w:val="nil"/>
              <w:left w:val="nil"/>
              <w:bottom w:val="single" w:sz="4" w:space="0" w:color="auto"/>
              <w:right w:val="single" w:sz="4" w:space="0" w:color="auto"/>
            </w:tcBorders>
            <w:shd w:val="clear" w:color="auto" w:fill="auto"/>
            <w:noWrap/>
            <w:vAlign w:val="center"/>
            <w:hideMark/>
          </w:tcPr>
          <w:p w14:paraId="2EE264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£842.84</w:t>
            </w:r>
          </w:p>
        </w:tc>
      </w:tr>
      <w:tr w:rsidR="004433D7" w:rsidRPr="004433D7" w14:paraId="375A301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365305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Marble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7BFD3C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£20,143.60</w:t>
            </w:r>
          </w:p>
        </w:tc>
        <w:tc>
          <w:tcPr>
            <w:tcW w:w="1560" w:type="dxa"/>
            <w:tcBorders>
              <w:top w:val="nil"/>
              <w:left w:val="nil"/>
              <w:bottom w:val="single" w:sz="4" w:space="0" w:color="auto"/>
              <w:right w:val="single" w:sz="4" w:space="0" w:color="auto"/>
            </w:tcBorders>
            <w:shd w:val="clear" w:color="auto" w:fill="auto"/>
            <w:noWrap/>
            <w:vAlign w:val="center"/>
            <w:hideMark/>
          </w:tcPr>
          <w:p w14:paraId="3CF75C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£5,035.90</w:t>
            </w:r>
          </w:p>
        </w:tc>
        <w:tc>
          <w:tcPr>
            <w:tcW w:w="1417" w:type="dxa"/>
            <w:tcBorders>
              <w:top w:val="nil"/>
              <w:left w:val="nil"/>
              <w:bottom w:val="single" w:sz="4" w:space="0" w:color="auto"/>
              <w:right w:val="single" w:sz="4" w:space="0" w:color="auto"/>
            </w:tcBorders>
            <w:shd w:val="clear" w:color="auto" w:fill="auto"/>
            <w:noWrap/>
            <w:vAlign w:val="center"/>
            <w:hideMark/>
          </w:tcPr>
          <w:p w14:paraId="78A591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£5,035.90</w:t>
            </w:r>
          </w:p>
        </w:tc>
        <w:tc>
          <w:tcPr>
            <w:tcW w:w="1418" w:type="dxa"/>
            <w:tcBorders>
              <w:top w:val="nil"/>
              <w:left w:val="nil"/>
              <w:bottom w:val="single" w:sz="4" w:space="0" w:color="auto"/>
              <w:right w:val="single" w:sz="4" w:space="0" w:color="auto"/>
            </w:tcBorders>
            <w:shd w:val="clear" w:color="auto" w:fill="auto"/>
            <w:noWrap/>
            <w:vAlign w:val="center"/>
            <w:hideMark/>
          </w:tcPr>
          <w:p w14:paraId="02DD92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£5,035.90</w:t>
            </w:r>
          </w:p>
        </w:tc>
        <w:tc>
          <w:tcPr>
            <w:tcW w:w="1559" w:type="dxa"/>
            <w:tcBorders>
              <w:top w:val="nil"/>
              <w:left w:val="nil"/>
              <w:bottom w:val="single" w:sz="4" w:space="0" w:color="auto"/>
              <w:right w:val="single" w:sz="4" w:space="0" w:color="auto"/>
            </w:tcBorders>
            <w:shd w:val="clear" w:color="auto" w:fill="auto"/>
            <w:noWrap/>
            <w:vAlign w:val="center"/>
            <w:hideMark/>
          </w:tcPr>
          <w:p w14:paraId="0941E7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£5,035.90</w:t>
            </w:r>
          </w:p>
        </w:tc>
        <w:tc>
          <w:tcPr>
            <w:tcW w:w="1559" w:type="dxa"/>
            <w:tcBorders>
              <w:top w:val="nil"/>
              <w:left w:val="nil"/>
              <w:bottom w:val="single" w:sz="4" w:space="0" w:color="auto"/>
              <w:right w:val="single" w:sz="4" w:space="0" w:color="auto"/>
            </w:tcBorders>
            <w:shd w:val="clear" w:color="auto" w:fill="auto"/>
            <w:noWrap/>
            <w:vAlign w:val="center"/>
            <w:hideMark/>
          </w:tcPr>
          <w:p w14:paraId="405C7D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£20,143.60</w:t>
            </w:r>
          </w:p>
        </w:tc>
      </w:tr>
      <w:tr w:rsidR="004433D7" w:rsidRPr="004433D7" w14:paraId="5B6B905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F4919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Nabuh</w:t>
            </w:r>
            <w:proofErr w:type="spellEnd"/>
            <w:r w:rsidRPr="004433D7">
              <w:rPr>
                <w:rFonts w:eastAsia="Times New Roman" w:cs="Times New Roman"/>
                <w:color w:val="000000"/>
                <w:sz w:val="16"/>
                <w:szCs w:val="16"/>
              </w:rPr>
              <w:t xml:space="preserve"> Energy Ltd</w:t>
            </w:r>
          </w:p>
        </w:tc>
        <w:tc>
          <w:tcPr>
            <w:tcW w:w="1559" w:type="dxa"/>
            <w:tcBorders>
              <w:top w:val="nil"/>
              <w:left w:val="nil"/>
              <w:bottom w:val="single" w:sz="4" w:space="0" w:color="auto"/>
              <w:right w:val="single" w:sz="4" w:space="0" w:color="auto"/>
            </w:tcBorders>
            <w:shd w:val="clear" w:color="auto" w:fill="auto"/>
            <w:noWrap/>
            <w:vAlign w:val="center"/>
            <w:hideMark/>
          </w:tcPr>
          <w:p w14:paraId="56822B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£81.15</w:t>
            </w:r>
          </w:p>
        </w:tc>
        <w:tc>
          <w:tcPr>
            <w:tcW w:w="1560" w:type="dxa"/>
            <w:tcBorders>
              <w:top w:val="nil"/>
              <w:left w:val="nil"/>
              <w:bottom w:val="single" w:sz="4" w:space="0" w:color="auto"/>
              <w:right w:val="single" w:sz="4" w:space="0" w:color="auto"/>
            </w:tcBorders>
            <w:shd w:val="clear" w:color="auto" w:fill="auto"/>
            <w:noWrap/>
            <w:vAlign w:val="center"/>
            <w:hideMark/>
          </w:tcPr>
          <w:p w14:paraId="5ACC42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£20.29</w:t>
            </w:r>
          </w:p>
        </w:tc>
        <w:tc>
          <w:tcPr>
            <w:tcW w:w="1417" w:type="dxa"/>
            <w:tcBorders>
              <w:top w:val="nil"/>
              <w:left w:val="nil"/>
              <w:bottom w:val="single" w:sz="4" w:space="0" w:color="auto"/>
              <w:right w:val="single" w:sz="4" w:space="0" w:color="auto"/>
            </w:tcBorders>
            <w:shd w:val="clear" w:color="auto" w:fill="auto"/>
            <w:noWrap/>
            <w:vAlign w:val="center"/>
            <w:hideMark/>
          </w:tcPr>
          <w:p w14:paraId="69293A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£20.29</w:t>
            </w:r>
          </w:p>
        </w:tc>
        <w:tc>
          <w:tcPr>
            <w:tcW w:w="1418" w:type="dxa"/>
            <w:tcBorders>
              <w:top w:val="nil"/>
              <w:left w:val="nil"/>
              <w:bottom w:val="single" w:sz="4" w:space="0" w:color="auto"/>
              <w:right w:val="single" w:sz="4" w:space="0" w:color="auto"/>
            </w:tcBorders>
            <w:shd w:val="clear" w:color="auto" w:fill="auto"/>
            <w:noWrap/>
            <w:vAlign w:val="center"/>
            <w:hideMark/>
          </w:tcPr>
          <w:p w14:paraId="6DA50C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£20.29</w:t>
            </w:r>
          </w:p>
        </w:tc>
        <w:tc>
          <w:tcPr>
            <w:tcW w:w="1559" w:type="dxa"/>
            <w:tcBorders>
              <w:top w:val="nil"/>
              <w:left w:val="nil"/>
              <w:bottom w:val="single" w:sz="4" w:space="0" w:color="auto"/>
              <w:right w:val="single" w:sz="4" w:space="0" w:color="auto"/>
            </w:tcBorders>
            <w:shd w:val="clear" w:color="auto" w:fill="auto"/>
            <w:noWrap/>
            <w:vAlign w:val="center"/>
            <w:hideMark/>
          </w:tcPr>
          <w:p w14:paraId="6FDA3C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£20.29</w:t>
            </w:r>
          </w:p>
        </w:tc>
        <w:tc>
          <w:tcPr>
            <w:tcW w:w="1559" w:type="dxa"/>
            <w:tcBorders>
              <w:top w:val="nil"/>
              <w:left w:val="nil"/>
              <w:bottom w:val="single" w:sz="4" w:space="0" w:color="auto"/>
              <w:right w:val="single" w:sz="4" w:space="0" w:color="auto"/>
            </w:tcBorders>
            <w:shd w:val="clear" w:color="auto" w:fill="auto"/>
            <w:noWrap/>
            <w:vAlign w:val="center"/>
            <w:hideMark/>
          </w:tcPr>
          <w:p w14:paraId="225CC1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£81.16</w:t>
            </w:r>
          </w:p>
        </w:tc>
      </w:tr>
      <w:tr w:rsidR="004433D7" w:rsidRPr="004433D7" w14:paraId="48CE931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8C83B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559" w:type="dxa"/>
            <w:tcBorders>
              <w:top w:val="nil"/>
              <w:left w:val="nil"/>
              <w:bottom w:val="single" w:sz="4" w:space="0" w:color="auto"/>
              <w:right w:val="single" w:sz="4" w:space="0" w:color="auto"/>
            </w:tcBorders>
            <w:shd w:val="clear" w:color="auto" w:fill="auto"/>
            <w:noWrap/>
            <w:vAlign w:val="center"/>
            <w:hideMark/>
          </w:tcPr>
          <w:p w14:paraId="51A6BD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£13,797.21</w:t>
            </w:r>
          </w:p>
        </w:tc>
        <w:tc>
          <w:tcPr>
            <w:tcW w:w="1560" w:type="dxa"/>
            <w:tcBorders>
              <w:top w:val="nil"/>
              <w:left w:val="nil"/>
              <w:bottom w:val="single" w:sz="4" w:space="0" w:color="auto"/>
              <w:right w:val="single" w:sz="4" w:space="0" w:color="auto"/>
            </w:tcBorders>
            <w:shd w:val="clear" w:color="auto" w:fill="auto"/>
            <w:noWrap/>
            <w:vAlign w:val="center"/>
            <w:hideMark/>
          </w:tcPr>
          <w:p w14:paraId="04BB21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£3,449.30</w:t>
            </w:r>
          </w:p>
        </w:tc>
        <w:tc>
          <w:tcPr>
            <w:tcW w:w="1417" w:type="dxa"/>
            <w:tcBorders>
              <w:top w:val="nil"/>
              <w:left w:val="nil"/>
              <w:bottom w:val="single" w:sz="4" w:space="0" w:color="auto"/>
              <w:right w:val="single" w:sz="4" w:space="0" w:color="auto"/>
            </w:tcBorders>
            <w:shd w:val="clear" w:color="auto" w:fill="auto"/>
            <w:noWrap/>
            <w:vAlign w:val="center"/>
            <w:hideMark/>
          </w:tcPr>
          <w:p w14:paraId="1A0BA1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£3,449.30</w:t>
            </w:r>
          </w:p>
        </w:tc>
        <w:tc>
          <w:tcPr>
            <w:tcW w:w="1418" w:type="dxa"/>
            <w:tcBorders>
              <w:top w:val="nil"/>
              <w:left w:val="nil"/>
              <w:bottom w:val="single" w:sz="4" w:space="0" w:color="auto"/>
              <w:right w:val="single" w:sz="4" w:space="0" w:color="auto"/>
            </w:tcBorders>
            <w:shd w:val="clear" w:color="auto" w:fill="auto"/>
            <w:noWrap/>
            <w:vAlign w:val="center"/>
            <w:hideMark/>
          </w:tcPr>
          <w:p w14:paraId="4B395C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£3,449.30</w:t>
            </w:r>
          </w:p>
        </w:tc>
        <w:tc>
          <w:tcPr>
            <w:tcW w:w="1559" w:type="dxa"/>
            <w:tcBorders>
              <w:top w:val="nil"/>
              <w:left w:val="nil"/>
              <w:bottom w:val="single" w:sz="4" w:space="0" w:color="auto"/>
              <w:right w:val="single" w:sz="4" w:space="0" w:color="auto"/>
            </w:tcBorders>
            <w:shd w:val="clear" w:color="auto" w:fill="auto"/>
            <w:noWrap/>
            <w:vAlign w:val="center"/>
            <w:hideMark/>
          </w:tcPr>
          <w:p w14:paraId="729D6D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£3,449.30</w:t>
            </w:r>
          </w:p>
        </w:tc>
        <w:tc>
          <w:tcPr>
            <w:tcW w:w="1559" w:type="dxa"/>
            <w:tcBorders>
              <w:top w:val="nil"/>
              <w:left w:val="nil"/>
              <w:bottom w:val="single" w:sz="4" w:space="0" w:color="auto"/>
              <w:right w:val="single" w:sz="4" w:space="0" w:color="auto"/>
            </w:tcBorders>
            <w:shd w:val="clear" w:color="auto" w:fill="auto"/>
            <w:noWrap/>
            <w:vAlign w:val="center"/>
            <w:hideMark/>
          </w:tcPr>
          <w:p w14:paraId="1C8F84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£13,797.20</w:t>
            </w:r>
          </w:p>
        </w:tc>
      </w:tr>
      <w:tr w:rsidR="004433D7" w:rsidRPr="004433D7" w14:paraId="4C4EE3E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ED533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269E1C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£351,716.15</w:t>
            </w:r>
          </w:p>
        </w:tc>
        <w:tc>
          <w:tcPr>
            <w:tcW w:w="1560" w:type="dxa"/>
            <w:tcBorders>
              <w:top w:val="nil"/>
              <w:left w:val="nil"/>
              <w:bottom w:val="single" w:sz="4" w:space="0" w:color="auto"/>
              <w:right w:val="single" w:sz="4" w:space="0" w:color="auto"/>
            </w:tcBorders>
            <w:shd w:val="clear" w:color="auto" w:fill="auto"/>
            <w:noWrap/>
            <w:vAlign w:val="center"/>
            <w:hideMark/>
          </w:tcPr>
          <w:p w14:paraId="1AB84B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£87,929.04</w:t>
            </w:r>
          </w:p>
        </w:tc>
        <w:tc>
          <w:tcPr>
            <w:tcW w:w="1417" w:type="dxa"/>
            <w:tcBorders>
              <w:top w:val="nil"/>
              <w:left w:val="nil"/>
              <w:bottom w:val="single" w:sz="4" w:space="0" w:color="auto"/>
              <w:right w:val="single" w:sz="4" w:space="0" w:color="auto"/>
            </w:tcBorders>
            <w:shd w:val="clear" w:color="auto" w:fill="auto"/>
            <w:noWrap/>
            <w:vAlign w:val="center"/>
            <w:hideMark/>
          </w:tcPr>
          <w:p w14:paraId="2B2977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£87,929.04</w:t>
            </w:r>
          </w:p>
        </w:tc>
        <w:tc>
          <w:tcPr>
            <w:tcW w:w="1418" w:type="dxa"/>
            <w:tcBorders>
              <w:top w:val="nil"/>
              <w:left w:val="nil"/>
              <w:bottom w:val="single" w:sz="4" w:space="0" w:color="auto"/>
              <w:right w:val="single" w:sz="4" w:space="0" w:color="auto"/>
            </w:tcBorders>
            <w:shd w:val="clear" w:color="auto" w:fill="auto"/>
            <w:noWrap/>
            <w:vAlign w:val="center"/>
            <w:hideMark/>
          </w:tcPr>
          <w:p w14:paraId="70E708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£87,929.04</w:t>
            </w:r>
          </w:p>
        </w:tc>
        <w:tc>
          <w:tcPr>
            <w:tcW w:w="1559" w:type="dxa"/>
            <w:tcBorders>
              <w:top w:val="nil"/>
              <w:left w:val="nil"/>
              <w:bottom w:val="single" w:sz="4" w:space="0" w:color="auto"/>
              <w:right w:val="single" w:sz="4" w:space="0" w:color="auto"/>
            </w:tcBorders>
            <w:shd w:val="clear" w:color="auto" w:fill="auto"/>
            <w:noWrap/>
            <w:vAlign w:val="center"/>
            <w:hideMark/>
          </w:tcPr>
          <w:p w14:paraId="6A4AC7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£87,929.04</w:t>
            </w:r>
          </w:p>
        </w:tc>
        <w:tc>
          <w:tcPr>
            <w:tcW w:w="1559" w:type="dxa"/>
            <w:tcBorders>
              <w:top w:val="nil"/>
              <w:left w:val="nil"/>
              <w:bottom w:val="single" w:sz="4" w:space="0" w:color="auto"/>
              <w:right w:val="single" w:sz="4" w:space="0" w:color="auto"/>
            </w:tcBorders>
            <w:shd w:val="clear" w:color="auto" w:fill="auto"/>
            <w:noWrap/>
            <w:vAlign w:val="center"/>
            <w:hideMark/>
          </w:tcPr>
          <w:p w14:paraId="51C6A2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£351,716.16</w:t>
            </w:r>
          </w:p>
        </w:tc>
      </w:tr>
      <w:tr w:rsidR="004433D7" w:rsidRPr="004433D7" w14:paraId="506628D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892DB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6EACA7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£54,344.35</w:t>
            </w:r>
          </w:p>
        </w:tc>
        <w:tc>
          <w:tcPr>
            <w:tcW w:w="1560" w:type="dxa"/>
            <w:tcBorders>
              <w:top w:val="nil"/>
              <w:left w:val="nil"/>
              <w:bottom w:val="single" w:sz="4" w:space="0" w:color="auto"/>
              <w:right w:val="single" w:sz="4" w:space="0" w:color="auto"/>
            </w:tcBorders>
            <w:shd w:val="clear" w:color="auto" w:fill="auto"/>
            <w:noWrap/>
            <w:vAlign w:val="center"/>
            <w:hideMark/>
          </w:tcPr>
          <w:p w14:paraId="709AB6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£13,586.09</w:t>
            </w:r>
          </w:p>
        </w:tc>
        <w:tc>
          <w:tcPr>
            <w:tcW w:w="1417" w:type="dxa"/>
            <w:tcBorders>
              <w:top w:val="nil"/>
              <w:left w:val="nil"/>
              <w:bottom w:val="single" w:sz="4" w:space="0" w:color="auto"/>
              <w:right w:val="single" w:sz="4" w:space="0" w:color="auto"/>
            </w:tcBorders>
            <w:shd w:val="clear" w:color="auto" w:fill="auto"/>
            <w:noWrap/>
            <w:vAlign w:val="center"/>
            <w:hideMark/>
          </w:tcPr>
          <w:p w14:paraId="7A656B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£13,586.09</w:t>
            </w:r>
          </w:p>
        </w:tc>
        <w:tc>
          <w:tcPr>
            <w:tcW w:w="1418" w:type="dxa"/>
            <w:tcBorders>
              <w:top w:val="nil"/>
              <w:left w:val="nil"/>
              <w:bottom w:val="single" w:sz="4" w:space="0" w:color="auto"/>
              <w:right w:val="single" w:sz="4" w:space="0" w:color="auto"/>
            </w:tcBorders>
            <w:shd w:val="clear" w:color="auto" w:fill="auto"/>
            <w:noWrap/>
            <w:vAlign w:val="center"/>
            <w:hideMark/>
          </w:tcPr>
          <w:p w14:paraId="1FCC02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£13,586.09</w:t>
            </w:r>
          </w:p>
        </w:tc>
        <w:tc>
          <w:tcPr>
            <w:tcW w:w="1559" w:type="dxa"/>
            <w:tcBorders>
              <w:top w:val="nil"/>
              <w:left w:val="nil"/>
              <w:bottom w:val="single" w:sz="4" w:space="0" w:color="auto"/>
              <w:right w:val="single" w:sz="4" w:space="0" w:color="auto"/>
            </w:tcBorders>
            <w:shd w:val="clear" w:color="auto" w:fill="auto"/>
            <w:noWrap/>
            <w:vAlign w:val="center"/>
            <w:hideMark/>
          </w:tcPr>
          <w:p w14:paraId="708881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£13,586.09</w:t>
            </w:r>
          </w:p>
        </w:tc>
        <w:tc>
          <w:tcPr>
            <w:tcW w:w="1559" w:type="dxa"/>
            <w:tcBorders>
              <w:top w:val="nil"/>
              <w:left w:val="nil"/>
              <w:bottom w:val="single" w:sz="4" w:space="0" w:color="auto"/>
              <w:right w:val="single" w:sz="4" w:space="0" w:color="auto"/>
            </w:tcBorders>
            <w:shd w:val="clear" w:color="auto" w:fill="auto"/>
            <w:noWrap/>
            <w:vAlign w:val="center"/>
            <w:hideMark/>
          </w:tcPr>
          <w:p w14:paraId="3FDB05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£54,344.36</w:t>
            </w:r>
          </w:p>
        </w:tc>
      </w:tr>
      <w:tr w:rsidR="004433D7" w:rsidRPr="004433D7" w14:paraId="168EC11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A3AAFB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38736B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£23.07</w:t>
            </w:r>
          </w:p>
        </w:tc>
        <w:tc>
          <w:tcPr>
            <w:tcW w:w="1560" w:type="dxa"/>
            <w:tcBorders>
              <w:top w:val="nil"/>
              <w:left w:val="nil"/>
              <w:bottom w:val="single" w:sz="4" w:space="0" w:color="auto"/>
              <w:right w:val="single" w:sz="4" w:space="0" w:color="auto"/>
            </w:tcBorders>
            <w:shd w:val="clear" w:color="auto" w:fill="auto"/>
            <w:noWrap/>
            <w:vAlign w:val="center"/>
            <w:hideMark/>
          </w:tcPr>
          <w:p w14:paraId="3EE36EA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417" w:type="dxa"/>
            <w:tcBorders>
              <w:top w:val="nil"/>
              <w:left w:val="nil"/>
              <w:bottom w:val="single" w:sz="4" w:space="0" w:color="auto"/>
              <w:right w:val="single" w:sz="4" w:space="0" w:color="auto"/>
            </w:tcBorders>
            <w:shd w:val="clear" w:color="auto" w:fill="auto"/>
            <w:noWrap/>
            <w:vAlign w:val="center"/>
            <w:hideMark/>
          </w:tcPr>
          <w:p w14:paraId="36188C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418" w:type="dxa"/>
            <w:tcBorders>
              <w:top w:val="nil"/>
              <w:left w:val="nil"/>
              <w:bottom w:val="single" w:sz="4" w:space="0" w:color="auto"/>
              <w:right w:val="single" w:sz="4" w:space="0" w:color="auto"/>
            </w:tcBorders>
            <w:shd w:val="clear" w:color="auto" w:fill="auto"/>
            <w:noWrap/>
            <w:vAlign w:val="center"/>
            <w:hideMark/>
          </w:tcPr>
          <w:p w14:paraId="66E06A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559" w:type="dxa"/>
            <w:tcBorders>
              <w:top w:val="nil"/>
              <w:left w:val="nil"/>
              <w:bottom w:val="single" w:sz="4" w:space="0" w:color="auto"/>
              <w:right w:val="single" w:sz="4" w:space="0" w:color="auto"/>
            </w:tcBorders>
            <w:shd w:val="clear" w:color="auto" w:fill="auto"/>
            <w:noWrap/>
            <w:vAlign w:val="center"/>
            <w:hideMark/>
          </w:tcPr>
          <w:p w14:paraId="4A5058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559" w:type="dxa"/>
            <w:tcBorders>
              <w:top w:val="nil"/>
              <w:left w:val="nil"/>
              <w:bottom w:val="single" w:sz="4" w:space="0" w:color="auto"/>
              <w:right w:val="single" w:sz="4" w:space="0" w:color="auto"/>
            </w:tcBorders>
            <w:shd w:val="clear" w:color="auto" w:fill="auto"/>
            <w:noWrap/>
            <w:vAlign w:val="center"/>
            <w:hideMark/>
          </w:tcPr>
          <w:p w14:paraId="075D04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£23.08</w:t>
            </w:r>
          </w:p>
        </w:tc>
      </w:tr>
      <w:tr w:rsidR="004433D7" w:rsidRPr="004433D7" w14:paraId="25F6989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931A5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Octopus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0F65C3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£6,146.19</w:t>
            </w:r>
          </w:p>
        </w:tc>
        <w:tc>
          <w:tcPr>
            <w:tcW w:w="1560" w:type="dxa"/>
            <w:tcBorders>
              <w:top w:val="nil"/>
              <w:left w:val="nil"/>
              <w:bottom w:val="single" w:sz="4" w:space="0" w:color="auto"/>
              <w:right w:val="single" w:sz="4" w:space="0" w:color="auto"/>
            </w:tcBorders>
            <w:shd w:val="clear" w:color="auto" w:fill="auto"/>
            <w:noWrap/>
            <w:vAlign w:val="center"/>
            <w:hideMark/>
          </w:tcPr>
          <w:p w14:paraId="4DFAE4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£1,536.55</w:t>
            </w:r>
          </w:p>
        </w:tc>
        <w:tc>
          <w:tcPr>
            <w:tcW w:w="1417" w:type="dxa"/>
            <w:tcBorders>
              <w:top w:val="nil"/>
              <w:left w:val="nil"/>
              <w:bottom w:val="single" w:sz="4" w:space="0" w:color="auto"/>
              <w:right w:val="single" w:sz="4" w:space="0" w:color="auto"/>
            </w:tcBorders>
            <w:shd w:val="clear" w:color="auto" w:fill="auto"/>
            <w:noWrap/>
            <w:vAlign w:val="center"/>
            <w:hideMark/>
          </w:tcPr>
          <w:p w14:paraId="2D28B8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£1,536.55</w:t>
            </w:r>
          </w:p>
        </w:tc>
        <w:tc>
          <w:tcPr>
            <w:tcW w:w="1418" w:type="dxa"/>
            <w:tcBorders>
              <w:top w:val="nil"/>
              <w:left w:val="nil"/>
              <w:bottom w:val="single" w:sz="4" w:space="0" w:color="auto"/>
              <w:right w:val="single" w:sz="4" w:space="0" w:color="auto"/>
            </w:tcBorders>
            <w:shd w:val="clear" w:color="auto" w:fill="auto"/>
            <w:noWrap/>
            <w:vAlign w:val="center"/>
            <w:hideMark/>
          </w:tcPr>
          <w:p w14:paraId="0E40EE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£1,536.55</w:t>
            </w:r>
          </w:p>
        </w:tc>
        <w:tc>
          <w:tcPr>
            <w:tcW w:w="1559" w:type="dxa"/>
            <w:tcBorders>
              <w:top w:val="nil"/>
              <w:left w:val="nil"/>
              <w:bottom w:val="single" w:sz="4" w:space="0" w:color="auto"/>
              <w:right w:val="single" w:sz="4" w:space="0" w:color="auto"/>
            </w:tcBorders>
            <w:shd w:val="clear" w:color="auto" w:fill="auto"/>
            <w:noWrap/>
            <w:vAlign w:val="center"/>
            <w:hideMark/>
          </w:tcPr>
          <w:p w14:paraId="6C0E87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£1,536.55</w:t>
            </w:r>
          </w:p>
        </w:tc>
        <w:tc>
          <w:tcPr>
            <w:tcW w:w="1559" w:type="dxa"/>
            <w:tcBorders>
              <w:top w:val="nil"/>
              <w:left w:val="nil"/>
              <w:bottom w:val="single" w:sz="4" w:space="0" w:color="auto"/>
              <w:right w:val="single" w:sz="4" w:space="0" w:color="auto"/>
            </w:tcBorders>
            <w:shd w:val="clear" w:color="auto" w:fill="auto"/>
            <w:noWrap/>
            <w:vAlign w:val="center"/>
            <w:hideMark/>
          </w:tcPr>
          <w:p w14:paraId="04720A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£6,146.20</w:t>
            </w:r>
          </w:p>
        </w:tc>
      </w:tr>
      <w:tr w:rsidR="004433D7" w:rsidRPr="004433D7" w14:paraId="614547D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049871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559" w:type="dxa"/>
            <w:tcBorders>
              <w:top w:val="nil"/>
              <w:left w:val="nil"/>
              <w:bottom w:val="single" w:sz="4" w:space="0" w:color="auto"/>
              <w:right w:val="single" w:sz="4" w:space="0" w:color="auto"/>
            </w:tcBorders>
            <w:shd w:val="clear" w:color="auto" w:fill="auto"/>
            <w:noWrap/>
            <w:vAlign w:val="center"/>
            <w:hideMark/>
          </w:tcPr>
          <w:p w14:paraId="1FD159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£22,681.58</w:t>
            </w:r>
          </w:p>
        </w:tc>
        <w:tc>
          <w:tcPr>
            <w:tcW w:w="1560" w:type="dxa"/>
            <w:tcBorders>
              <w:top w:val="nil"/>
              <w:left w:val="nil"/>
              <w:bottom w:val="single" w:sz="4" w:space="0" w:color="auto"/>
              <w:right w:val="single" w:sz="4" w:space="0" w:color="auto"/>
            </w:tcBorders>
            <w:shd w:val="clear" w:color="auto" w:fill="auto"/>
            <w:noWrap/>
            <w:vAlign w:val="center"/>
            <w:hideMark/>
          </w:tcPr>
          <w:p w14:paraId="3D6AEC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£5,670.40</w:t>
            </w:r>
          </w:p>
        </w:tc>
        <w:tc>
          <w:tcPr>
            <w:tcW w:w="1417" w:type="dxa"/>
            <w:tcBorders>
              <w:top w:val="nil"/>
              <w:left w:val="nil"/>
              <w:bottom w:val="single" w:sz="4" w:space="0" w:color="auto"/>
              <w:right w:val="single" w:sz="4" w:space="0" w:color="auto"/>
            </w:tcBorders>
            <w:shd w:val="clear" w:color="auto" w:fill="auto"/>
            <w:noWrap/>
            <w:vAlign w:val="center"/>
            <w:hideMark/>
          </w:tcPr>
          <w:p w14:paraId="4A0606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£5,670.40</w:t>
            </w:r>
          </w:p>
        </w:tc>
        <w:tc>
          <w:tcPr>
            <w:tcW w:w="1418" w:type="dxa"/>
            <w:tcBorders>
              <w:top w:val="nil"/>
              <w:left w:val="nil"/>
              <w:bottom w:val="single" w:sz="4" w:space="0" w:color="auto"/>
              <w:right w:val="single" w:sz="4" w:space="0" w:color="auto"/>
            </w:tcBorders>
            <w:shd w:val="clear" w:color="auto" w:fill="auto"/>
            <w:noWrap/>
            <w:vAlign w:val="center"/>
            <w:hideMark/>
          </w:tcPr>
          <w:p w14:paraId="642CC2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£5,670.40</w:t>
            </w:r>
          </w:p>
        </w:tc>
        <w:tc>
          <w:tcPr>
            <w:tcW w:w="1559" w:type="dxa"/>
            <w:tcBorders>
              <w:top w:val="nil"/>
              <w:left w:val="nil"/>
              <w:bottom w:val="single" w:sz="4" w:space="0" w:color="auto"/>
              <w:right w:val="single" w:sz="4" w:space="0" w:color="auto"/>
            </w:tcBorders>
            <w:shd w:val="clear" w:color="auto" w:fill="auto"/>
            <w:noWrap/>
            <w:vAlign w:val="center"/>
            <w:hideMark/>
          </w:tcPr>
          <w:p w14:paraId="242676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£5,670.40</w:t>
            </w:r>
          </w:p>
        </w:tc>
        <w:tc>
          <w:tcPr>
            <w:tcW w:w="1559" w:type="dxa"/>
            <w:tcBorders>
              <w:top w:val="nil"/>
              <w:left w:val="nil"/>
              <w:bottom w:val="single" w:sz="4" w:space="0" w:color="auto"/>
              <w:right w:val="single" w:sz="4" w:space="0" w:color="auto"/>
            </w:tcBorders>
            <w:shd w:val="clear" w:color="auto" w:fill="auto"/>
            <w:noWrap/>
            <w:vAlign w:val="center"/>
            <w:hideMark/>
          </w:tcPr>
          <w:p w14:paraId="729F38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£22,681.60</w:t>
            </w:r>
          </w:p>
        </w:tc>
      </w:tr>
      <w:tr w:rsidR="004433D7" w:rsidRPr="004433D7" w14:paraId="414B479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E2595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3B89AA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£31,517.76</w:t>
            </w:r>
          </w:p>
        </w:tc>
        <w:tc>
          <w:tcPr>
            <w:tcW w:w="1560" w:type="dxa"/>
            <w:tcBorders>
              <w:top w:val="nil"/>
              <w:left w:val="nil"/>
              <w:bottom w:val="single" w:sz="4" w:space="0" w:color="auto"/>
              <w:right w:val="single" w:sz="4" w:space="0" w:color="auto"/>
            </w:tcBorders>
            <w:shd w:val="clear" w:color="auto" w:fill="auto"/>
            <w:noWrap/>
            <w:vAlign w:val="center"/>
            <w:hideMark/>
          </w:tcPr>
          <w:p w14:paraId="2B6E53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£7,879.44</w:t>
            </w:r>
          </w:p>
        </w:tc>
        <w:tc>
          <w:tcPr>
            <w:tcW w:w="1417" w:type="dxa"/>
            <w:tcBorders>
              <w:top w:val="nil"/>
              <w:left w:val="nil"/>
              <w:bottom w:val="single" w:sz="4" w:space="0" w:color="auto"/>
              <w:right w:val="single" w:sz="4" w:space="0" w:color="auto"/>
            </w:tcBorders>
            <w:shd w:val="clear" w:color="auto" w:fill="auto"/>
            <w:noWrap/>
            <w:vAlign w:val="center"/>
            <w:hideMark/>
          </w:tcPr>
          <w:p w14:paraId="4281AC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£7,879.44</w:t>
            </w:r>
          </w:p>
        </w:tc>
        <w:tc>
          <w:tcPr>
            <w:tcW w:w="1418" w:type="dxa"/>
            <w:tcBorders>
              <w:top w:val="nil"/>
              <w:left w:val="nil"/>
              <w:bottom w:val="single" w:sz="4" w:space="0" w:color="auto"/>
              <w:right w:val="single" w:sz="4" w:space="0" w:color="auto"/>
            </w:tcBorders>
            <w:shd w:val="clear" w:color="auto" w:fill="auto"/>
            <w:noWrap/>
            <w:vAlign w:val="center"/>
            <w:hideMark/>
          </w:tcPr>
          <w:p w14:paraId="03D396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£7,879.44</w:t>
            </w:r>
          </w:p>
        </w:tc>
        <w:tc>
          <w:tcPr>
            <w:tcW w:w="1559" w:type="dxa"/>
            <w:tcBorders>
              <w:top w:val="nil"/>
              <w:left w:val="nil"/>
              <w:bottom w:val="single" w:sz="4" w:space="0" w:color="auto"/>
              <w:right w:val="single" w:sz="4" w:space="0" w:color="auto"/>
            </w:tcBorders>
            <w:shd w:val="clear" w:color="auto" w:fill="auto"/>
            <w:noWrap/>
            <w:vAlign w:val="center"/>
            <w:hideMark/>
          </w:tcPr>
          <w:p w14:paraId="674D11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£7,879.44</w:t>
            </w:r>
          </w:p>
        </w:tc>
        <w:tc>
          <w:tcPr>
            <w:tcW w:w="1559" w:type="dxa"/>
            <w:tcBorders>
              <w:top w:val="nil"/>
              <w:left w:val="nil"/>
              <w:bottom w:val="single" w:sz="4" w:space="0" w:color="auto"/>
              <w:right w:val="single" w:sz="4" w:space="0" w:color="auto"/>
            </w:tcBorders>
            <w:shd w:val="clear" w:color="auto" w:fill="auto"/>
            <w:noWrap/>
            <w:vAlign w:val="center"/>
            <w:hideMark/>
          </w:tcPr>
          <w:p w14:paraId="12AE3C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£31,517.76</w:t>
            </w:r>
          </w:p>
        </w:tc>
      </w:tr>
      <w:tr w:rsidR="004433D7" w:rsidRPr="004433D7" w14:paraId="6063A3F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007010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Orbit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27BECC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£18.95</w:t>
            </w:r>
          </w:p>
        </w:tc>
        <w:tc>
          <w:tcPr>
            <w:tcW w:w="1560" w:type="dxa"/>
            <w:tcBorders>
              <w:top w:val="nil"/>
              <w:left w:val="nil"/>
              <w:bottom w:val="single" w:sz="4" w:space="0" w:color="auto"/>
              <w:right w:val="single" w:sz="4" w:space="0" w:color="auto"/>
            </w:tcBorders>
            <w:shd w:val="clear" w:color="auto" w:fill="auto"/>
            <w:noWrap/>
            <w:vAlign w:val="center"/>
            <w:hideMark/>
          </w:tcPr>
          <w:p w14:paraId="5DA5C6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£18.96</w:t>
            </w:r>
          </w:p>
        </w:tc>
        <w:tc>
          <w:tcPr>
            <w:tcW w:w="1417" w:type="dxa"/>
            <w:tcBorders>
              <w:top w:val="nil"/>
              <w:left w:val="nil"/>
              <w:bottom w:val="single" w:sz="4" w:space="0" w:color="auto"/>
              <w:right w:val="single" w:sz="4" w:space="0" w:color="auto"/>
            </w:tcBorders>
            <w:shd w:val="clear" w:color="auto" w:fill="auto"/>
            <w:noWrap/>
            <w:vAlign w:val="center"/>
            <w:hideMark/>
          </w:tcPr>
          <w:p w14:paraId="3BB4F0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78031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C09DC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16FFD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£18.96</w:t>
            </w:r>
          </w:p>
        </w:tc>
      </w:tr>
      <w:tr w:rsidR="004433D7" w:rsidRPr="004433D7" w14:paraId="348CB9A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99758C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Our Power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6E35E7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£6,049.80</w:t>
            </w:r>
          </w:p>
        </w:tc>
        <w:tc>
          <w:tcPr>
            <w:tcW w:w="1560" w:type="dxa"/>
            <w:tcBorders>
              <w:top w:val="nil"/>
              <w:left w:val="nil"/>
              <w:bottom w:val="single" w:sz="4" w:space="0" w:color="auto"/>
              <w:right w:val="single" w:sz="4" w:space="0" w:color="auto"/>
            </w:tcBorders>
            <w:shd w:val="clear" w:color="auto" w:fill="auto"/>
            <w:noWrap/>
            <w:vAlign w:val="center"/>
            <w:hideMark/>
          </w:tcPr>
          <w:p w14:paraId="24F04A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1634F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9FA15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A1918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FC786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472A449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5BB037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559" w:type="dxa"/>
            <w:tcBorders>
              <w:top w:val="nil"/>
              <w:left w:val="nil"/>
              <w:bottom w:val="single" w:sz="4" w:space="0" w:color="auto"/>
              <w:right w:val="single" w:sz="4" w:space="0" w:color="auto"/>
            </w:tcBorders>
            <w:shd w:val="clear" w:color="auto" w:fill="auto"/>
            <w:noWrap/>
            <w:vAlign w:val="center"/>
            <w:hideMark/>
          </w:tcPr>
          <w:p w14:paraId="42802D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£23,653.36</w:t>
            </w:r>
          </w:p>
        </w:tc>
        <w:tc>
          <w:tcPr>
            <w:tcW w:w="1560" w:type="dxa"/>
            <w:tcBorders>
              <w:top w:val="nil"/>
              <w:left w:val="nil"/>
              <w:bottom w:val="single" w:sz="4" w:space="0" w:color="auto"/>
              <w:right w:val="single" w:sz="4" w:space="0" w:color="auto"/>
            </w:tcBorders>
            <w:shd w:val="clear" w:color="auto" w:fill="auto"/>
            <w:noWrap/>
            <w:vAlign w:val="center"/>
            <w:hideMark/>
          </w:tcPr>
          <w:p w14:paraId="4A4DBA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£5,913.34</w:t>
            </w:r>
          </w:p>
        </w:tc>
        <w:tc>
          <w:tcPr>
            <w:tcW w:w="1417" w:type="dxa"/>
            <w:tcBorders>
              <w:top w:val="nil"/>
              <w:left w:val="nil"/>
              <w:bottom w:val="single" w:sz="4" w:space="0" w:color="auto"/>
              <w:right w:val="single" w:sz="4" w:space="0" w:color="auto"/>
            </w:tcBorders>
            <w:shd w:val="clear" w:color="auto" w:fill="auto"/>
            <w:noWrap/>
            <w:vAlign w:val="center"/>
            <w:hideMark/>
          </w:tcPr>
          <w:p w14:paraId="22F0B6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£5,913.34</w:t>
            </w:r>
          </w:p>
        </w:tc>
        <w:tc>
          <w:tcPr>
            <w:tcW w:w="1418" w:type="dxa"/>
            <w:tcBorders>
              <w:top w:val="nil"/>
              <w:left w:val="nil"/>
              <w:bottom w:val="single" w:sz="4" w:space="0" w:color="auto"/>
              <w:right w:val="single" w:sz="4" w:space="0" w:color="auto"/>
            </w:tcBorders>
            <w:shd w:val="clear" w:color="auto" w:fill="auto"/>
            <w:noWrap/>
            <w:vAlign w:val="center"/>
            <w:hideMark/>
          </w:tcPr>
          <w:p w14:paraId="078D6B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£5,913.34</w:t>
            </w:r>
          </w:p>
        </w:tc>
        <w:tc>
          <w:tcPr>
            <w:tcW w:w="1559" w:type="dxa"/>
            <w:tcBorders>
              <w:top w:val="nil"/>
              <w:left w:val="nil"/>
              <w:bottom w:val="single" w:sz="4" w:space="0" w:color="auto"/>
              <w:right w:val="single" w:sz="4" w:space="0" w:color="auto"/>
            </w:tcBorders>
            <w:shd w:val="clear" w:color="auto" w:fill="auto"/>
            <w:noWrap/>
            <w:vAlign w:val="center"/>
            <w:hideMark/>
          </w:tcPr>
          <w:p w14:paraId="577159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£5,913.34</w:t>
            </w:r>
          </w:p>
        </w:tc>
        <w:tc>
          <w:tcPr>
            <w:tcW w:w="1559" w:type="dxa"/>
            <w:tcBorders>
              <w:top w:val="nil"/>
              <w:left w:val="nil"/>
              <w:bottom w:val="single" w:sz="4" w:space="0" w:color="auto"/>
              <w:right w:val="single" w:sz="4" w:space="0" w:color="auto"/>
            </w:tcBorders>
            <w:shd w:val="clear" w:color="auto" w:fill="auto"/>
            <w:noWrap/>
            <w:vAlign w:val="center"/>
            <w:hideMark/>
          </w:tcPr>
          <w:p w14:paraId="3292DC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£23,653.36</w:t>
            </w:r>
          </w:p>
        </w:tc>
      </w:tr>
      <w:tr w:rsidR="004433D7" w:rsidRPr="004433D7" w14:paraId="6F16A0A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96A5E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People's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1D6786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£467.14</w:t>
            </w:r>
          </w:p>
        </w:tc>
        <w:tc>
          <w:tcPr>
            <w:tcW w:w="1560" w:type="dxa"/>
            <w:tcBorders>
              <w:top w:val="nil"/>
              <w:left w:val="nil"/>
              <w:bottom w:val="single" w:sz="4" w:space="0" w:color="auto"/>
              <w:right w:val="single" w:sz="4" w:space="0" w:color="auto"/>
            </w:tcBorders>
            <w:shd w:val="clear" w:color="auto" w:fill="auto"/>
            <w:noWrap/>
            <w:vAlign w:val="center"/>
            <w:hideMark/>
          </w:tcPr>
          <w:p w14:paraId="27A2B8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£116.79</w:t>
            </w:r>
          </w:p>
        </w:tc>
        <w:tc>
          <w:tcPr>
            <w:tcW w:w="1417" w:type="dxa"/>
            <w:tcBorders>
              <w:top w:val="nil"/>
              <w:left w:val="nil"/>
              <w:bottom w:val="single" w:sz="4" w:space="0" w:color="auto"/>
              <w:right w:val="single" w:sz="4" w:space="0" w:color="auto"/>
            </w:tcBorders>
            <w:shd w:val="clear" w:color="auto" w:fill="auto"/>
            <w:noWrap/>
            <w:vAlign w:val="center"/>
            <w:hideMark/>
          </w:tcPr>
          <w:p w14:paraId="2893A7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£116.79</w:t>
            </w:r>
          </w:p>
        </w:tc>
        <w:tc>
          <w:tcPr>
            <w:tcW w:w="1418" w:type="dxa"/>
            <w:tcBorders>
              <w:top w:val="nil"/>
              <w:left w:val="nil"/>
              <w:bottom w:val="single" w:sz="4" w:space="0" w:color="auto"/>
              <w:right w:val="single" w:sz="4" w:space="0" w:color="auto"/>
            </w:tcBorders>
            <w:shd w:val="clear" w:color="auto" w:fill="auto"/>
            <w:noWrap/>
            <w:vAlign w:val="center"/>
            <w:hideMark/>
          </w:tcPr>
          <w:p w14:paraId="439488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£116.79</w:t>
            </w:r>
          </w:p>
        </w:tc>
        <w:tc>
          <w:tcPr>
            <w:tcW w:w="1559" w:type="dxa"/>
            <w:tcBorders>
              <w:top w:val="nil"/>
              <w:left w:val="nil"/>
              <w:bottom w:val="single" w:sz="4" w:space="0" w:color="auto"/>
              <w:right w:val="single" w:sz="4" w:space="0" w:color="auto"/>
            </w:tcBorders>
            <w:shd w:val="clear" w:color="auto" w:fill="auto"/>
            <w:noWrap/>
            <w:vAlign w:val="center"/>
            <w:hideMark/>
          </w:tcPr>
          <w:p w14:paraId="3435B7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£116.79</w:t>
            </w:r>
          </w:p>
        </w:tc>
        <w:tc>
          <w:tcPr>
            <w:tcW w:w="1559" w:type="dxa"/>
            <w:tcBorders>
              <w:top w:val="nil"/>
              <w:left w:val="nil"/>
              <w:bottom w:val="single" w:sz="4" w:space="0" w:color="auto"/>
              <w:right w:val="single" w:sz="4" w:space="0" w:color="auto"/>
            </w:tcBorders>
            <w:shd w:val="clear" w:color="auto" w:fill="auto"/>
            <w:noWrap/>
            <w:vAlign w:val="center"/>
            <w:hideMark/>
          </w:tcPr>
          <w:p w14:paraId="0BDE6D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£467.16</w:t>
            </w:r>
          </w:p>
        </w:tc>
      </w:tr>
      <w:tr w:rsidR="004433D7" w:rsidRPr="004433D7" w14:paraId="2B2A4AB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1E7AB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559" w:type="dxa"/>
            <w:tcBorders>
              <w:top w:val="nil"/>
              <w:left w:val="nil"/>
              <w:bottom w:val="single" w:sz="4" w:space="0" w:color="auto"/>
              <w:right w:val="single" w:sz="4" w:space="0" w:color="auto"/>
            </w:tcBorders>
            <w:shd w:val="clear" w:color="auto" w:fill="auto"/>
            <w:noWrap/>
            <w:vAlign w:val="center"/>
            <w:hideMark/>
          </w:tcPr>
          <w:p w14:paraId="76569A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£3,174.85</w:t>
            </w:r>
          </w:p>
        </w:tc>
        <w:tc>
          <w:tcPr>
            <w:tcW w:w="1560" w:type="dxa"/>
            <w:tcBorders>
              <w:top w:val="nil"/>
              <w:left w:val="nil"/>
              <w:bottom w:val="single" w:sz="4" w:space="0" w:color="auto"/>
              <w:right w:val="single" w:sz="4" w:space="0" w:color="auto"/>
            </w:tcBorders>
            <w:shd w:val="clear" w:color="auto" w:fill="auto"/>
            <w:noWrap/>
            <w:vAlign w:val="center"/>
            <w:hideMark/>
          </w:tcPr>
          <w:p w14:paraId="736350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£793.71</w:t>
            </w:r>
          </w:p>
        </w:tc>
        <w:tc>
          <w:tcPr>
            <w:tcW w:w="1417" w:type="dxa"/>
            <w:tcBorders>
              <w:top w:val="nil"/>
              <w:left w:val="nil"/>
              <w:bottom w:val="single" w:sz="4" w:space="0" w:color="auto"/>
              <w:right w:val="single" w:sz="4" w:space="0" w:color="auto"/>
            </w:tcBorders>
            <w:shd w:val="clear" w:color="auto" w:fill="auto"/>
            <w:noWrap/>
            <w:vAlign w:val="center"/>
            <w:hideMark/>
          </w:tcPr>
          <w:p w14:paraId="440E9C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£793.71</w:t>
            </w:r>
          </w:p>
        </w:tc>
        <w:tc>
          <w:tcPr>
            <w:tcW w:w="1418" w:type="dxa"/>
            <w:tcBorders>
              <w:top w:val="nil"/>
              <w:left w:val="nil"/>
              <w:bottom w:val="single" w:sz="4" w:space="0" w:color="auto"/>
              <w:right w:val="single" w:sz="4" w:space="0" w:color="auto"/>
            </w:tcBorders>
            <w:shd w:val="clear" w:color="auto" w:fill="auto"/>
            <w:noWrap/>
            <w:vAlign w:val="center"/>
            <w:hideMark/>
          </w:tcPr>
          <w:p w14:paraId="7FA189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£793.71</w:t>
            </w:r>
          </w:p>
        </w:tc>
        <w:tc>
          <w:tcPr>
            <w:tcW w:w="1559" w:type="dxa"/>
            <w:tcBorders>
              <w:top w:val="nil"/>
              <w:left w:val="nil"/>
              <w:bottom w:val="single" w:sz="4" w:space="0" w:color="auto"/>
              <w:right w:val="single" w:sz="4" w:space="0" w:color="auto"/>
            </w:tcBorders>
            <w:shd w:val="clear" w:color="auto" w:fill="auto"/>
            <w:noWrap/>
            <w:vAlign w:val="center"/>
            <w:hideMark/>
          </w:tcPr>
          <w:p w14:paraId="73338C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£793.71</w:t>
            </w:r>
          </w:p>
        </w:tc>
        <w:tc>
          <w:tcPr>
            <w:tcW w:w="1559" w:type="dxa"/>
            <w:tcBorders>
              <w:top w:val="nil"/>
              <w:left w:val="nil"/>
              <w:bottom w:val="single" w:sz="4" w:space="0" w:color="auto"/>
              <w:right w:val="single" w:sz="4" w:space="0" w:color="auto"/>
            </w:tcBorders>
            <w:shd w:val="clear" w:color="auto" w:fill="auto"/>
            <w:noWrap/>
            <w:vAlign w:val="center"/>
            <w:hideMark/>
          </w:tcPr>
          <w:p w14:paraId="1B9481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£3,174.84</w:t>
            </w:r>
          </w:p>
        </w:tc>
      </w:tr>
      <w:tr w:rsidR="004433D7" w:rsidRPr="004433D7" w14:paraId="683E5FA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081412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Power4All Limited</w:t>
            </w:r>
          </w:p>
        </w:tc>
        <w:tc>
          <w:tcPr>
            <w:tcW w:w="1559" w:type="dxa"/>
            <w:tcBorders>
              <w:top w:val="nil"/>
              <w:left w:val="nil"/>
              <w:bottom w:val="single" w:sz="4" w:space="0" w:color="auto"/>
              <w:right w:val="single" w:sz="4" w:space="0" w:color="auto"/>
            </w:tcBorders>
            <w:shd w:val="clear" w:color="auto" w:fill="auto"/>
            <w:noWrap/>
            <w:vAlign w:val="center"/>
            <w:hideMark/>
          </w:tcPr>
          <w:p w14:paraId="49AC18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£23,541.31</w:t>
            </w:r>
          </w:p>
        </w:tc>
        <w:tc>
          <w:tcPr>
            <w:tcW w:w="1560" w:type="dxa"/>
            <w:tcBorders>
              <w:top w:val="nil"/>
              <w:left w:val="nil"/>
              <w:bottom w:val="single" w:sz="4" w:space="0" w:color="auto"/>
              <w:right w:val="single" w:sz="4" w:space="0" w:color="auto"/>
            </w:tcBorders>
            <w:shd w:val="clear" w:color="auto" w:fill="auto"/>
            <w:noWrap/>
            <w:vAlign w:val="center"/>
            <w:hideMark/>
          </w:tcPr>
          <w:p w14:paraId="6A3AA91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£5,885.33</w:t>
            </w:r>
          </w:p>
        </w:tc>
        <w:tc>
          <w:tcPr>
            <w:tcW w:w="1417" w:type="dxa"/>
            <w:tcBorders>
              <w:top w:val="nil"/>
              <w:left w:val="nil"/>
              <w:bottom w:val="single" w:sz="4" w:space="0" w:color="auto"/>
              <w:right w:val="single" w:sz="4" w:space="0" w:color="auto"/>
            </w:tcBorders>
            <w:shd w:val="clear" w:color="auto" w:fill="auto"/>
            <w:noWrap/>
            <w:vAlign w:val="center"/>
            <w:hideMark/>
          </w:tcPr>
          <w:p w14:paraId="6774C8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£5,885.33</w:t>
            </w:r>
          </w:p>
        </w:tc>
        <w:tc>
          <w:tcPr>
            <w:tcW w:w="1418" w:type="dxa"/>
            <w:tcBorders>
              <w:top w:val="nil"/>
              <w:left w:val="nil"/>
              <w:bottom w:val="single" w:sz="4" w:space="0" w:color="auto"/>
              <w:right w:val="single" w:sz="4" w:space="0" w:color="auto"/>
            </w:tcBorders>
            <w:shd w:val="clear" w:color="auto" w:fill="auto"/>
            <w:noWrap/>
            <w:vAlign w:val="center"/>
            <w:hideMark/>
          </w:tcPr>
          <w:p w14:paraId="0635AE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£5,885.33</w:t>
            </w:r>
          </w:p>
        </w:tc>
        <w:tc>
          <w:tcPr>
            <w:tcW w:w="1559" w:type="dxa"/>
            <w:tcBorders>
              <w:top w:val="nil"/>
              <w:left w:val="nil"/>
              <w:bottom w:val="single" w:sz="4" w:space="0" w:color="auto"/>
              <w:right w:val="single" w:sz="4" w:space="0" w:color="auto"/>
            </w:tcBorders>
            <w:shd w:val="clear" w:color="auto" w:fill="auto"/>
            <w:noWrap/>
            <w:vAlign w:val="center"/>
            <w:hideMark/>
          </w:tcPr>
          <w:p w14:paraId="547F02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£5,885.33</w:t>
            </w:r>
          </w:p>
        </w:tc>
        <w:tc>
          <w:tcPr>
            <w:tcW w:w="1559" w:type="dxa"/>
            <w:tcBorders>
              <w:top w:val="nil"/>
              <w:left w:val="nil"/>
              <w:bottom w:val="single" w:sz="4" w:space="0" w:color="auto"/>
              <w:right w:val="single" w:sz="4" w:space="0" w:color="auto"/>
            </w:tcBorders>
            <w:shd w:val="clear" w:color="auto" w:fill="auto"/>
            <w:noWrap/>
            <w:vAlign w:val="center"/>
            <w:hideMark/>
          </w:tcPr>
          <w:p w14:paraId="27A10B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£23,541.32</w:t>
            </w:r>
          </w:p>
        </w:tc>
      </w:tr>
      <w:tr w:rsidR="004433D7" w:rsidRPr="004433D7" w14:paraId="1CAAE9A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E96F14"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Pozitive</w:t>
            </w:r>
            <w:proofErr w:type="spellEnd"/>
            <w:r w:rsidRPr="004433D7">
              <w:rPr>
                <w:rFonts w:eastAsia="Times New Roman" w:cs="Times New Roman"/>
                <w:color w:val="000000"/>
                <w:sz w:val="16"/>
                <w:szCs w:val="16"/>
              </w:rPr>
              <w:t xml:space="preserve"> Energy Ltd</w:t>
            </w:r>
          </w:p>
        </w:tc>
        <w:tc>
          <w:tcPr>
            <w:tcW w:w="1559" w:type="dxa"/>
            <w:tcBorders>
              <w:top w:val="nil"/>
              <w:left w:val="nil"/>
              <w:bottom w:val="single" w:sz="4" w:space="0" w:color="auto"/>
              <w:right w:val="single" w:sz="4" w:space="0" w:color="auto"/>
            </w:tcBorders>
            <w:shd w:val="clear" w:color="auto" w:fill="auto"/>
            <w:noWrap/>
            <w:vAlign w:val="center"/>
            <w:hideMark/>
          </w:tcPr>
          <w:p w14:paraId="055716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£939.64</w:t>
            </w:r>
          </w:p>
        </w:tc>
        <w:tc>
          <w:tcPr>
            <w:tcW w:w="1560" w:type="dxa"/>
            <w:tcBorders>
              <w:top w:val="nil"/>
              <w:left w:val="nil"/>
              <w:bottom w:val="single" w:sz="4" w:space="0" w:color="auto"/>
              <w:right w:val="single" w:sz="4" w:space="0" w:color="auto"/>
            </w:tcBorders>
            <w:shd w:val="clear" w:color="auto" w:fill="auto"/>
            <w:noWrap/>
            <w:vAlign w:val="center"/>
            <w:hideMark/>
          </w:tcPr>
          <w:p w14:paraId="78F6BF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£234.91</w:t>
            </w:r>
          </w:p>
        </w:tc>
        <w:tc>
          <w:tcPr>
            <w:tcW w:w="1417" w:type="dxa"/>
            <w:tcBorders>
              <w:top w:val="nil"/>
              <w:left w:val="nil"/>
              <w:bottom w:val="single" w:sz="4" w:space="0" w:color="auto"/>
              <w:right w:val="single" w:sz="4" w:space="0" w:color="auto"/>
            </w:tcBorders>
            <w:shd w:val="clear" w:color="auto" w:fill="auto"/>
            <w:noWrap/>
            <w:vAlign w:val="center"/>
            <w:hideMark/>
          </w:tcPr>
          <w:p w14:paraId="2D1D81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£234.91</w:t>
            </w:r>
          </w:p>
        </w:tc>
        <w:tc>
          <w:tcPr>
            <w:tcW w:w="1418" w:type="dxa"/>
            <w:tcBorders>
              <w:top w:val="nil"/>
              <w:left w:val="nil"/>
              <w:bottom w:val="single" w:sz="4" w:space="0" w:color="auto"/>
              <w:right w:val="single" w:sz="4" w:space="0" w:color="auto"/>
            </w:tcBorders>
            <w:shd w:val="clear" w:color="auto" w:fill="auto"/>
            <w:noWrap/>
            <w:vAlign w:val="center"/>
            <w:hideMark/>
          </w:tcPr>
          <w:p w14:paraId="5FF314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£234.91</w:t>
            </w:r>
          </w:p>
        </w:tc>
        <w:tc>
          <w:tcPr>
            <w:tcW w:w="1559" w:type="dxa"/>
            <w:tcBorders>
              <w:top w:val="nil"/>
              <w:left w:val="nil"/>
              <w:bottom w:val="single" w:sz="4" w:space="0" w:color="auto"/>
              <w:right w:val="single" w:sz="4" w:space="0" w:color="auto"/>
            </w:tcBorders>
            <w:shd w:val="clear" w:color="auto" w:fill="auto"/>
            <w:noWrap/>
            <w:vAlign w:val="center"/>
            <w:hideMark/>
          </w:tcPr>
          <w:p w14:paraId="0B69B7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£234.91</w:t>
            </w:r>
          </w:p>
        </w:tc>
        <w:tc>
          <w:tcPr>
            <w:tcW w:w="1559" w:type="dxa"/>
            <w:tcBorders>
              <w:top w:val="nil"/>
              <w:left w:val="nil"/>
              <w:bottom w:val="single" w:sz="4" w:space="0" w:color="auto"/>
              <w:right w:val="single" w:sz="4" w:space="0" w:color="auto"/>
            </w:tcBorders>
            <w:shd w:val="clear" w:color="auto" w:fill="auto"/>
            <w:noWrap/>
            <w:vAlign w:val="center"/>
            <w:hideMark/>
          </w:tcPr>
          <w:p w14:paraId="71A331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£939.64</w:t>
            </w:r>
          </w:p>
        </w:tc>
      </w:tr>
      <w:tr w:rsidR="004433D7" w:rsidRPr="004433D7" w14:paraId="6B735A3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3D3609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559" w:type="dxa"/>
            <w:tcBorders>
              <w:top w:val="nil"/>
              <w:left w:val="nil"/>
              <w:bottom w:val="single" w:sz="4" w:space="0" w:color="auto"/>
              <w:right w:val="single" w:sz="4" w:space="0" w:color="auto"/>
            </w:tcBorders>
            <w:shd w:val="clear" w:color="auto" w:fill="auto"/>
            <w:noWrap/>
            <w:vAlign w:val="center"/>
            <w:hideMark/>
          </w:tcPr>
          <w:p w14:paraId="3F2DA3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£357.57</w:t>
            </w:r>
          </w:p>
        </w:tc>
        <w:tc>
          <w:tcPr>
            <w:tcW w:w="1560" w:type="dxa"/>
            <w:tcBorders>
              <w:top w:val="nil"/>
              <w:left w:val="nil"/>
              <w:bottom w:val="single" w:sz="4" w:space="0" w:color="auto"/>
              <w:right w:val="single" w:sz="4" w:space="0" w:color="auto"/>
            </w:tcBorders>
            <w:shd w:val="clear" w:color="auto" w:fill="auto"/>
            <w:noWrap/>
            <w:vAlign w:val="center"/>
            <w:hideMark/>
          </w:tcPr>
          <w:p w14:paraId="54EFD2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£357.57</w:t>
            </w:r>
          </w:p>
        </w:tc>
        <w:tc>
          <w:tcPr>
            <w:tcW w:w="1417" w:type="dxa"/>
            <w:tcBorders>
              <w:top w:val="nil"/>
              <w:left w:val="nil"/>
              <w:bottom w:val="single" w:sz="4" w:space="0" w:color="auto"/>
              <w:right w:val="single" w:sz="4" w:space="0" w:color="auto"/>
            </w:tcBorders>
            <w:shd w:val="clear" w:color="auto" w:fill="auto"/>
            <w:noWrap/>
            <w:vAlign w:val="center"/>
            <w:hideMark/>
          </w:tcPr>
          <w:p w14:paraId="0F6178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94686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1AD38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D6875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£357.57</w:t>
            </w:r>
          </w:p>
        </w:tc>
      </w:tr>
      <w:tr w:rsidR="004433D7" w:rsidRPr="004433D7" w14:paraId="524E915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359240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Robin Hood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4DC833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£2,506.26</w:t>
            </w:r>
          </w:p>
        </w:tc>
        <w:tc>
          <w:tcPr>
            <w:tcW w:w="1560" w:type="dxa"/>
            <w:tcBorders>
              <w:top w:val="nil"/>
              <w:left w:val="nil"/>
              <w:bottom w:val="single" w:sz="4" w:space="0" w:color="auto"/>
              <w:right w:val="single" w:sz="4" w:space="0" w:color="auto"/>
            </w:tcBorders>
            <w:shd w:val="clear" w:color="auto" w:fill="auto"/>
            <w:noWrap/>
            <w:vAlign w:val="center"/>
            <w:hideMark/>
          </w:tcPr>
          <w:p w14:paraId="1465F0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£626.57</w:t>
            </w:r>
          </w:p>
        </w:tc>
        <w:tc>
          <w:tcPr>
            <w:tcW w:w="1417" w:type="dxa"/>
            <w:tcBorders>
              <w:top w:val="nil"/>
              <w:left w:val="nil"/>
              <w:bottom w:val="single" w:sz="4" w:space="0" w:color="auto"/>
              <w:right w:val="single" w:sz="4" w:space="0" w:color="auto"/>
            </w:tcBorders>
            <w:shd w:val="clear" w:color="auto" w:fill="auto"/>
            <w:noWrap/>
            <w:vAlign w:val="center"/>
            <w:hideMark/>
          </w:tcPr>
          <w:p w14:paraId="25DADA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£626.57</w:t>
            </w:r>
          </w:p>
        </w:tc>
        <w:tc>
          <w:tcPr>
            <w:tcW w:w="1418" w:type="dxa"/>
            <w:tcBorders>
              <w:top w:val="nil"/>
              <w:left w:val="nil"/>
              <w:bottom w:val="single" w:sz="4" w:space="0" w:color="auto"/>
              <w:right w:val="single" w:sz="4" w:space="0" w:color="auto"/>
            </w:tcBorders>
            <w:shd w:val="clear" w:color="auto" w:fill="auto"/>
            <w:noWrap/>
            <w:vAlign w:val="center"/>
            <w:hideMark/>
          </w:tcPr>
          <w:p w14:paraId="5805C9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£626.57</w:t>
            </w:r>
          </w:p>
        </w:tc>
        <w:tc>
          <w:tcPr>
            <w:tcW w:w="1559" w:type="dxa"/>
            <w:tcBorders>
              <w:top w:val="nil"/>
              <w:left w:val="nil"/>
              <w:bottom w:val="single" w:sz="4" w:space="0" w:color="auto"/>
              <w:right w:val="single" w:sz="4" w:space="0" w:color="auto"/>
            </w:tcBorders>
            <w:shd w:val="clear" w:color="auto" w:fill="auto"/>
            <w:noWrap/>
            <w:vAlign w:val="center"/>
            <w:hideMark/>
          </w:tcPr>
          <w:p w14:paraId="711487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£626.57</w:t>
            </w:r>
          </w:p>
        </w:tc>
        <w:tc>
          <w:tcPr>
            <w:tcW w:w="1559" w:type="dxa"/>
            <w:tcBorders>
              <w:top w:val="nil"/>
              <w:left w:val="nil"/>
              <w:bottom w:val="single" w:sz="4" w:space="0" w:color="auto"/>
              <w:right w:val="single" w:sz="4" w:space="0" w:color="auto"/>
            </w:tcBorders>
            <w:shd w:val="clear" w:color="auto" w:fill="auto"/>
            <w:noWrap/>
            <w:vAlign w:val="center"/>
            <w:hideMark/>
          </w:tcPr>
          <w:p w14:paraId="3B915A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£2,506.28</w:t>
            </w:r>
          </w:p>
        </w:tc>
      </w:tr>
      <w:tr w:rsidR="004433D7" w:rsidRPr="004433D7" w14:paraId="657FBDE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2B12B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Rose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2E7AF6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£0.41</w:t>
            </w:r>
          </w:p>
        </w:tc>
        <w:tc>
          <w:tcPr>
            <w:tcW w:w="1560" w:type="dxa"/>
            <w:tcBorders>
              <w:top w:val="nil"/>
              <w:left w:val="nil"/>
              <w:bottom w:val="single" w:sz="4" w:space="0" w:color="auto"/>
              <w:right w:val="single" w:sz="4" w:space="0" w:color="auto"/>
            </w:tcBorders>
            <w:shd w:val="clear" w:color="auto" w:fill="auto"/>
            <w:noWrap/>
            <w:vAlign w:val="center"/>
            <w:hideMark/>
          </w:tcPr>
          <w:p w14:paraId="3E4370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£0.41</w:t>
            </w:r>
          </w:p>
        </w:tc>
        <w:tc>
          <w:tcPr>
            <w:tcW w:w="1417" w:type="dxa"/>
            <w:tcBorders>
              <w:top w:val="nil"/>
              <w:left w:val="nil"/>
              <w:bottom w:val="single" w:sz="4" w:space="0" w:color="auto"/>
              <w:right w:val="single" w:sz="4" w:space="0" w:color="auto"/>
            </w:tcBorders>
            <w:shd w:val="clear" w:color="auto" w:fill="auto"/>
            <w:noWrap/>
            <w:vAlign w:val="center"/>
            <w:hideMark/>
          </w:tcPr>
          <w:p w14:paraId="3C35EE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7C0918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3FBE4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18710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£0.41</w:t>
            </w:r>
          </w:p>
        </w:tc>
      </w:tr>
      <w:tr w:rsidR="004433D7" w:rsidRPr="004433D7" w14:paraId="37BDB4D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A5386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559" w:type="dxa"/>
            <w:tcBorders>
              <w:top w:val="nil"/>
              <w:left w:val="nil"/>
              <w:bottom w:val="single" w:sz="4" w:space="0" w:color="auto"/>
              <w:right w:val="single" w:sz="4" w:space="0" w:color="auto"/>
            </w:tcBorders>
            <w:shd w:val="clear" w:color="auto" w:fill="auto"/>
            <w:noWrap/>
            <w:vAlign w:val="center"/>
            <w:hideMark/>
          </w:tcPr>
          <w:p w14:paraId="0D72DB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£715,161.97</w:t>
            </w:r>
          </w:p>
        </w:tc>
        <w:tc>
          <w:tcPr>
            <w:tcW w:w="1560" w:type="dxa"/>
            <w:tcBorders>
              <w:top w:val="nil"/>
              <w:left w:val="nil"/>
              <w:bottom w:val="single" w:sz="4" w:space="0" w:color="auto"/>
              <w:right w:val="single" w:sz="4" w:space="0" w:color="auto"/>
            </w:tcBorders>
            <w:shd w:val="clear" w:color="auto" w:fill="auto"/>
            <w:noWrap/>
            <w:vAlign w:val="center"/>
            <w:hideMark/>
          </w:tcPr>
          <w:p w14:paraId="0A5334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£178,790.49</w:t>
            </w:r>
          </w:p>
        </w:tc>
        <w:tc>
          <w:tcPr>
            <w:tcW w:w="1417" w:type="dxa"/>
            <w:tcBorders>
              <w:top w:val="nil"/>
              <w:left w:val="nil"/>
              <w:bottom w:val="single" w:sz="4" w:space="0" w:color="auto"/>
              <w:right w:val="single" w:sz="4" w:space="0" w:color="auto"/>
            </w:tcBorders>
            <w:shd w:val="clear" w:color="auto" w:fill="auto"/>
            <w:noWrap/>
            <w:vAlign w:val="center"/>
            <w:hideMark/>
          </w:tcPr>
          <w:p w14:paraId="351D2F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£178,790.49</w:t>
            </w:r>
          </w:p>
        </w:tc>
        <w:tc>
          <w:tcPr>
            <w:tcW w:w="1418" w:type="dxa"/>
            <w:tcBorders>
              <w:top w:val="nil"/>
              <w:left w:val="nil"/>
              <w:bottom w:val="single" w:sz="4" w:space="0" w:color="auto"/>
              <w:right w:val="single" w:sz="4" w:space="0" w:color="auto"/>
            </w:tcBorders>
            <w:shd w:val="clear" w:color="auto" w:fill="auto"/>
            <w:noWrap/>
            <w:vAlign w:val="center"/>
            <w:hideMark/>
          </w:tcPr>
          <w:p w14:paraId="3BA8C7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£178,790.49</w:t>
            </w:r>
          </w:p>
        </w:tc>
        <w:tc>
          <w:tcPr>
            <w:tcW w:w="1559" w:type="dxa"/>
            <w:tcBorders>
              <w:top w:val="nil"/>
              <w:left w:val="nil"/>
              <w:bottom w:val="single" w:sz="4" w:space="0" w:color="auto"/>
              <w:right w:val="single" w:sz="4" w:space="0" w:color="auto"/>
            </w:tcBorders>
            <w:shd w:val="clear" w:color="auto" w:fill="auto"/>
            <w:noWrap/>
            <w:vAlign w:val="center"/>
            <w:hideMark/>
          </w:tcPr>
          <w:p w14:paraId="54F8F7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£178,790.49</w:t>
            </w:r>
          </w:p>
        </w:tc>
        <w:tc>
          <w:tcPr>
            <w:tcW w:w="1559" w:type="dxa"/>
            <w:tcBorders>
              <w:top w:val="nil"/>
              <w:left w:val="nil"/>
              <w:bottom w:val="single" w:sz="4" w:space="0" w:color="auto"/>
              <w:right w:val="single" w:sz="4" w:space="0" w:color="auto"/>
            </w:tcBorders>
            <w:shd w:val="clear" w:color="auto" w:fill="auto"/>
            <w:noWrap/>
            <w:vAlign w:val="center"/>
            <w:hideMark/>
          </w:tcPr>
          <w:p w14:paraId="6E39BA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£715,161.96</w:t>
            </w:r>
          </w:p>
        </w:tc>
      </w:tr>
      <w:tr w:rsidR="004433D7" w:rsidRPr="004433D7" w14:paraId="1EEB20D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3CF3702"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Sinq</w:t>
            </w:r>
            <w:proofErr w:type="spellEnd"/>
            <w:r w:rsidRPr="004433D7">
              <w:rPr>
                <w:rFonts w:eastAsia="Times New Roman" w:cs="Times New Roman"/>
                <w:color w:val="000000"/>
                <w:sz w:val="16"/>
                <w:szCs w:val="16"/>
              </w:rPr>
              <w:t xml:space="preserve">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3F7E03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£4,459.28</w:t>
            </w:r>
          </w:p>
        </w:tc>
        <w:tc>
          <w:tcPr>
            <w:tcW w:w="1560" w:type="dxa"/>
            <w:tcBorders>
              <w:top w:val="nil"/>
              <w:left w:val="nil"/>
              <w:bottom w:val="single" w:sz="4" w:space="0" w:color="auto"/>
              <w:right w:val="single" w:sz="4" w:space="0" w:color="auto"/>
            </w:tcBorders>
            <w:shd w:val="clear" w:color="auto" w:fill="auto"/>
            <w:noWrap/>
            <w:vAlign w:val="center"/>
            <w:hideMark/>
          </w:tcPr>
          <w:p w14:paraId="604E5D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£1,114.82</w:t>
            </w:r>
          </w:p>
        </w:tc>
        <w:tc>
          <w:tcPr>
            <w:tcW w:w="1417" w:type="dxa"/>
            <w:tcBorders>
              <w:top w:val="nil"/>
              <w:left w:val="nil"/>
              <w:bottom w:val="single" w:sz="4" w:space="0" w:color="auto"/>
              <w:right w:val="single" w:sz="4" w:space="0" w:color="auto"/>
            </w:tcBorders>
            <w:shd w:val="clear" w:color="auto" w:fill="auto"/>
            <w:noWrap/>
            <w:vAlign w:val="center"/>
            <w:hideMark/>
          </w:tcPr>
          <w:p w14:paraId="396E6F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£1,114.82</w:t>
            </w:r>
          </w:p>
        </w:tc>
        <w:tc>
          <w:tcPr>
            <w:tcW w:w="1418" w:type="dxa"/>
            <w:tcBorders>
              <w:top w:val="nil"/>
              <w:left w:val="nil"/>
              <w:bottom w:val="single" w:sz="4" w:space="0" w:color="auto"/>
              <w:right w:val="single" w:sz="4" w:space="0" w:color="auto"/>
            </w:tcBorders>
            <w:shd w:val="clear" w:color="auto" w:fill="auto"/>
            <w:noWrap/>
            <w:vAlign w:val="center"/>
            <w:hideMark/>
          </w:tcPr>
          <w:p w14:paraId="5CA549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£1,114.82</w:t>
            </w:r>
          </w:p>
        </w:tc>
        <w:tc>
          <w:tcPr>
            <w:tcW w:w="1559" w:type="dxa"/>
            <w:tcBorders>
              <w:top w:val="nil"/>
              <w:left w:val="nil"/>
              <w:bottom w:val="single" w:sz="4" w:space="0" w:color="auto"/>
              <w:right w:val="single" w:sz="4" w:space="0" w:color="auto"/>
            </w:tcBorders>
            <w:shd w:val="clear" w:color="auto" w:fill="auto"/>
            <w:noWrap/>
            <w:vAlign w:val="center"/>
            <w:hideMark/>
          </w:tcPr>
          <w:p w14:paraId="4BFA54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£1,114.82</w:t>
            </w:r>
          </w:p>
        </w:tc>
        <w:tc>
          <w:tcPr>
            <w:tcW w:w="1559" w:type="dxa"/>
            <w:tcBorders>
              <w:top w:val="nil"/>
              <w:left w:val="nil"/>
              <w:bottom w:val="single" w:sz="4" w:space="0" w:color="auto"/>
              <w:right w:val="single" w:sz="4" w:space="0" w:color="auto"/>
            </w:tcBorders>
            <w:shd w:val="clear" w:color="auto" w:fill="auto"/>
            <w:noWrap/>
            <w:vAlign w:val="center"/>
            <w:hideMark/>
          </w:tcPr>
          <w:p w14:paraId="5D8DAB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£4,459.28</w:t>
            </w:r>
          </w:p>
        </w:tc>
      </w:tr>
      <w:tr w:rsidR="004433D7" w:rsidRPr="004433D7" w14:paraId="09E35F5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581B72"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559" w:type="dxa"/>
            <w:tcBorders>
              <w:top w:val="nil"/>
              <w:left w:val="nil"/>
              <w:bottom w:val="single" w:sz="4" w:space="0" w:color="auto"/>
              <w:right w:val="single" w:sz="4" w:space="0" w:color="auto"/>
            </w:tcBorders>
            <w:shd w:val="clear" w:color="auto" w:fill="auto"/>
            <w:noWrap/>
            <w:vAlign w:val="center"/>
            <w:hideMark/>
          </w:tcPr>
          <w:p w14:paraId="7821AC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£50,658.28</w:t>
            </w:r>
          </w:p>
        </w:tc>
        <w:tc>
          <w:tcPr>
            <w:tcW w:w="1560" w:type="dxa"/>
            <w:tcBorders>
              <w:top w:val="nil"/>
              <w:left w:val="nil"/>
              <w:bottom w:val="single" w:sz="4" w:space="0" w:color="auto"/>
              <w:right w:val="single" w:sz="4" w:space="0" w:color="auto"/>
            </w:tcBorders>
            <w:shd w:val="clear" w:color="auto" w:fill="auto"/>
            <w:noWrap/>
            <w:vAlign w:val="center"/>
            <w:hideMark/>
          </w:tcPr>
          <w:p w14:paraId="3EE353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£12,664.57</w:t>
            </w:r>
          </w:p>
        </w:tc>
        <w:tc>
          <w:tcPr>
            <w:tcW w:w="1417" w:type="dxa"/>
            <w:tcBorders>
              <w:top w:val="nil"/>
              <w:left w:val="nil"/>
              <w:bottom w:val="single" w:sz="4" w:space="0" w:color="auto"/>
              <w:right w:val="single" w:sz="4" w:space="0" w:color="auto"/>
            </w:tcBorders>
            <w:shd w:val="clear" w:color="auto" w:fill="auto"/>
            <w:noWrap/>
            <w:vAlign w:val="center"/>
            <w:hideMark/>
          </w:tcPr>
          <w:p w14:paraId="3217E2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£12,664.57</w:t>
            </w:r>
          </w:p>
        </w:tc>
        <w:tc>
          <w:tcPr>
            <w:tcW w:w="1418" w:type="dxa"/>
            <w:tcBorders>
              <w:top w:val="nil"/>
              <w:left w:val="nil"/>
              <w:bottom w:val="single" w:sz="4" w:space="0" w:color="auto"/>
              <w:right w:val="single" w:sz="4" w:space="0" w:color="auto"/>
            </w:tcBorders>
            <w:shd w:val="clear" w:color="auto" w:fill="auto"/>
            <w:noWrap/>
            <w:vAlign w:val="center"/>
            <w:hideMark/>
          </w:tcPr>
          <w:p w14:paraId="59685A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£12,664.57</w:t>
            </w:r>
          </w:p>
        </w:tc>
        <w:tc>
          <w:tcPr>
            <w:tcW w:w="1559" w:type="dxa"/>
            <w:tcBorders>
              <w:top w:val="nil"/>
              <w:left w:val="nil"/>
              <w:bottom w:val="single" w:sz="4" w:space="0" w:color="auto"/>
              <w:right w:val="single" w:sz="4" w:space="0" w:color="auto"/>
            </w:tcBorders>
            <w:shd w:val="clear" w:color="auto" w:fill="auto"/>
            <w:noWrap/>
            <w:vAlign w:val="center"/>
            <w:hideMark/>
          </w:tcPr>
          <w:p w14:paraId="136BD0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£12,664.57</w:t>
            </w:r>
          </w:p>
        </w:tc>
        <w:tc>
          <w:tcPr>
            <w:tcW w:w="1559" w:type="dxa"/>
            <w:tcBorders>
              <w:top w:val="nil"/>
              <w:left w:val="nil"/>
              <w:bottom w:val="single" w:sz="4" w:space="0" w:color="auto"/>
              <w:right w:val="single" w:sz="4" w:space="0" w:color="auto"/>
            </w:tcBorders>
            <w:shd w:val="clear" w:color="auto" w:fill="auto"/>
            <w:noWrap/>
            <w:vAlign w:val="center"/>
            <w:hideMark/>
          </w:tcPr>
          <w:p w14:paraId="2A1F32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£50,658.28</w:t>
            </w:r>
          </w:p>
        </w:tc>
      </w:tr>
      <w:tr w:rsidR="004433D7" w:rsidRPr="004433D7" w14:paraId="7273351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2CE03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 Energy Trading Limited</w:t>
            </w:r>
          </w:p>
        </w:tc>
        <w:tc>
          <w:tcPr>
            <w:tcW w:w="1559" w:type="dxa"/>
            <w:tcBorders>
              <w:top w:val="nil"/>
              <w:left w:val="nil"/>
              <w:bottom w:val="single" w:sz="4" w:space="0" w:color="auto"/>
              <w:right w:val="single" w:sz="4" w:space="0" w:color="auto"/>
            </w:tcBorders>
            <w:shd w:val="clear" w:color="auto" w:fill="auto"/>
            <w:noWrap/>
            <w:vAlign w:val="center"/>
            <w:hideMark/>
          </w:tcPr>
          <w:p w14:paraId="647745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£1,853.33</w:t>
            </w:r>
          </w:p>
        </w:tc>
        <w:tc>
          <w:tcPr>
            <w:tcW w:w="1560" w:type="dxa"/>
            <w:tcBorders>
              <w:top w:val="nil"/>
              <w:left w:val="nil"/>
              <w:bottom w:val="single" w:sz="4" w:space="0" w:color="auto"/>
              <w:right w:val="single" w:sz="4" w:space="0" w:color="auto"/>
            </w:tcBorders>
            <w:shd w:val="clear" w:color="auto" w:fill="auto"/>
            <w:noWrap/>
            <w:vAlign w:val="center"/>
            <w:hideMark/>
          </w:tcPr>
          <w:p w14:paraId="4EAD32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£463.33</w:t>
            </w:r>
          </w:p>
        </w:tc>
        <w:tc>
          <w:tcPr>
            <w:tcW w:w="1417" w:type="dxa"/>
            <w:tcBorders>
              <w:top w:val="nil"/>
              <w:left w:val="nil"/>
              <w:bottom w:val="single" w:sz="4" w:space="0" w:color="auto"/>
              <w:right w:val="single" w:sz="4" w:space="0" w:color="auto"/>
            </w:tcBorders>
            <w:shd w:val="clear" w:color="auto" w:fill="auto"/>
            <w:noWrap/>
            <w:vAlign w:val="center"/>
            <w:hideMark/>
          </w:tcPr>
          <w:p w14:paraId="658065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£463.33</w:t>
            </w:r>
          </w:p>
        </w:tc>
        <w:tc>
          <w:tcPr>
            <w:tcW w:w="1418" w:type="dxa"/>
            <w:tcBorders>
              <w:top w:val="nil"/>
              <w:left w:val="nil"/>
              <w:bottom w:val="single" w:sz="4" w:space="0" w:color="auto"/>
              <w:right w:val="single" w:sz="4" w:space="0" w:color="auto"/>
            </w:tcBorders>
            <w:shd w:val="clear" w:color="auto" w:fill="auto"/>
            <w:noWrap/>
            <w:vAlign w:val="center"/>
            <w:hideMark/>
          </w:tcPr>
          <w:p w14:paraId="09CAC3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£463.33</w:t>
            </w:r>
          </w:p>
        </w:tc>
        <w:tc>
          <w:tcPr>
            <w:tcW w:w="1559" w:type="dxa"/>
            <w:tcBorders>
              <w:top w:val="nil"/>
              <w:left w:val="nil"/>
              <w:bottom w:val="single" w:sz="4" w:space="0" w:color="auto"/>
              <w:right w:val="single" w:sz="4" w:space="0" w:color="auto"/>
            </w:tcBorders>
            <w:shd w:val="clear" w:color="auto" w:fill="auto"/>
            <w:noWrap/>
            <w:vAlign w:val="center"/>
            <w:hideMark/>
          </w:tcPr>
          <w:p w14:paraId="42CAEF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£463.33</w:t>
            </w:r>
          </w:p>
        </w:tc>
        <w:tc>
          <w:tcPr>
            <w:tcW w:w="1559" w:type="dxa"/>
            <w:tcBorders>
              <w:top w:val="nil"/>
              <w:left w:val="nil"/>
              <w:bottom w:val="single" w:sz="4" w:space="0" w:color="auto"/>
              <w:right w:val="single" w:sz="4" w:space="0" w:color="auto"/>
            </w:tcBorders>
            <w:shd w:val="clear" w:color="auto" w:fill="auto"/>
            <w:noWrap/>
            <w:vAlign w:val="center"/>
            <w:hideMark/>
          </w:tcPr>
          <w:p w14:paraId="7E4685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£1,853.32</w:t>
            </w:r>
          </w:p>
        </w:tc>
      </w:tr>
      <w:tr w:rsidR="004433D7" w:rsidRPr="004433D7" w14:paraId="25333A8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C917A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Solarplicity</w:t>
            </w:r>
            <w:proofErr w:type="spellEnd"/>
            <w:r w:rsidRPr="004433D7">
              <w:rPr>
                <w:rFonts w:eastAsia="Times New Roman" w:cs="Times New Roman"/>
                <w:color w:val="000000"/>
                <w:sz w:val="16"/>
                <w:szCs w:val="16"/>
              </w:rPr>
              <w:t xml:space="preserve">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659D99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£1,137.37</w:t>
            </w:r>
          </w:p>
        </w:tc>
        <w:tc>
          <w:tcPr>
            <w:tcW w:w="1560" w:type="dxa"/>
            <w:tcBorders>
              <w:top w:val="nil"/>
              <w:left w:val="nil"/>
              <w:bottom w:val="single" w:sz="4" w:space="0" w:color="auto"/>
              <w:right w:val="single" w:sz="4" w:space="0" w:color="auto"/>
            </w:tcBorders>
            <w:shd w:val="clear" w:color="auto" w:fill="auto"/>
            <w:noWrap/>
            <w:vAlign w:val="center"/>
            <w:hideMark/>
          </w:tcPr>
          <w:p w14:paraId="6A2698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5C66E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087DB4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98736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34CD2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47AB240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5A482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578FEA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£49.02</w:t>
            </w:r>
          </w:p>
        </w:tc>
        <w:tc>
          <w:tcPr>
            <w:tcW w:w="1560" w:type="dxa"/>
            <w:tcBorders>
              <w:top w:val="nil"/>
              <w:left w:val="nil"/>
              <w:bottom w:val="single" w:sz="4" w:space="0" w:color="auto"/>
              <w:right w:val="single" w:sz="4" w:space="0" w:color="auto"/>
            </w:tcBorders>
            <w:shd w:val="clear" w:color="auto" w:fill="auto"/>
            <w:noWrap/>
            <w:vAlign w:val="center"/>
            <w:hideMark/>
          </w:tcPr>
          <w:p w14:paraId="4721FA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£12.26</w:t>
            </w:r>
          </w:p>
        </w:tc>
        <w:tc>
          <w:tcPr>
            <w:tcW w:w="1417" w:type="dxa"/>
            <w:tcBorders>
              <w:top w:val="nil"/>
              <w:left w:val="nil"/>
              <w:bottom w:val="single" w:sz="4" w:space="0" w:color="auto"/>
              <w:right w:val="single" w:sz="4" w:space="0" w:color="auto"/>
            </w:tcBorders>
            <w:shd w:val="clear" w:color="auto" w:fill="auto"/>
            <w:noWrap/>
            <w:vAlign w:val="center"/>
            <w:hideMark/>
          </w:tcPr>
          <w:p w14:paraId="7D872C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£12.26</w:t>
            </w:r>
          </w:p>
        </w:tc>
        <w:tc>
          <w:tcPr>
            <w:tcW w:w="1418" w:type="dxa"/>
            <w:tcBorders>
              <w:top w:val="nil"/>
              <w:left w:val="nil"/>
              <w:bottom w:val="single" w:sz="4" w:space="0" w:color="auto"/>
              <w:right w:val="single" w:sz="4" w:space="0" w:color="auto"/>
            </w:tcBorders>
            <w:shd w:val="clear" w:color="auto" w:fill="auto"/>
            <w:noWrap/>
            <w:vAlign w:val="center"/>
            <w:hideMark/>
          </w:tcPr>
          <w:p w14:paraId="45D22E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£12.26</w:t>
            </w:r>
          </w:p>
        </w:tc>
        <w:tc>
          <w:tcPr>
            <w:tcW w:w="1559" w:type="dxa"/>
            <w:tcBorders>
              <w:top w:val="nil"/>
              <w:left w:val="nil"/>
              <w:bottom w:val="single" w:sz="4" w:space="0" w:color="auto"/>
              <w:right w:val="single" w:sz="4" w:space="0" w:color="auto"/>
            </w:tcBorders>
            <w:shd w:val="clear" w:color="auto" w:fill="auto"/>
            <w:noWrap/>
            <w:vAlign w:val="center"/>
            <w:hideMark/>
          </w:tcPr>
          <w:p w14:paraId="2B5E02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£12.26</w:t>
            </w:r>
          </w:p>
        </w:tc>
        <w:tc>
          <w:tcPr>
            <w:tcW w:w="1559" w:type="dxa"/>
            <w:tcBorders>
              <w:top w:val="nil"/>
              <w:left w:val="nil"/>
              <w:bottom w:val="single" w:sz="4" w:space="0" w:color="auto"/>
              <w:right w:val="single" w:sz="4" w:space="0" w:color="auto"/>
            </w:tcBorders>
            <w:shd w:val="clear" w:color="auto" w:fill="auto"/>
            <w:noWrap/>
            <w:vAlign w:val="center"/>
            <w:hideMark/>
          </w:tcPr>
          <w:p w14:paraId="507F88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£49.04</w:t>
            </w:r>
          </w:p>
        </w:tc>
      </w:tr>
      <w:tr w:rsidR="004433D7" w:rsidRPr="004433D7" w14:paraId="77C029F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B92B9F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16F568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£841,525.08</w:t>
            </w:r>
          </w:p>
        </w:tc>
        <w:tc>
          <w:tcPr>
            <w:tcW w:w="1560" w:type="dxa"/>
            <w:tcBorders>
              <w:top w:val="nil"/>
              <w:left w:val="nil"/>
              <w:bottom w:val="single" w:sz="4" w:space="0" w:color="auto"/>
              <w:right w:val="single" w:sz="4" w:space="0" w:color="auto"/>
            </w:tcBorders>
            <w:shd w:val="clear" w:color="auto" w:fill="auto"/>
            <w:noWrap/>
            <w:vAlign w:val="center"/>
            <w:hideMark/>
          </w:tcPr>
          <w:p w14:paraId="5FBA28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£210,381.27</w:t>
            </w:r>
          </w:p>
        </w:tc>
        <w:tc>
          <w:tcPr>
            <w:tcW w:w="1417" w:type="dxa"/>
            <w:tcBorders>
              <w:top w:val="nil"/>
              <w:left w:val="nil"/>
              <w:bottom w:val="single" w:sz="4" w:space="0" w:color="auto"/>
              <w:right w:val="single" w:sz="4" w:space="0" w:color="auto"/>
            </w:tcBorders>
            <w:shd w:val="clear" w:color="auto" w:fill="auto"/>
            <w:noWrap/>
            <w:vAlign w:val="center"/>
            <w:hideMark/>
          </w:tcPr>
          <w:p w14:paraId="03A6C5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£210,381.27</w:t>
            </w:r>
          </w:p>
        </w:tc>
        <w:tc>
          <w:tcPr>
            <w:tcW w:w="1418" w:type="dxa"/>
            <w:tcBorders>
              <w:top w:val="nil"/>
              <w:left w:val="nil"/>
              <w:bottom w:val="single" w:sz="4" w:space="0" w:color="auto"/>
              <w:right w:val="single" w:sz="4" w:space="0" w:color="auto"/>
            </w:tcBorders>
            <w:shd w:val="clear" w:color="auto" w:fill="auto"/>
            <w:noWrap/>
            <w:vAlign w:val="center"/>
            <w:hideMark/>
          </w:tcPr>
          <w:p w14:paraId="300651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£210,381.27</w:t>
            </w:r>
          </w:p>
        </w:tc>
        <w:tc>
          <w:tcPr>
            <w:tcW w:w="1559" w:type="dxa"/>
            <w:tcBorders>
              <w:top w:val="nil"/>
              <w:left w:val="nil"/>
              <w:bottom w:val="single" w:sz="4" w:space="0" w:color="auto"/>
              <w:right w:val="single" w:sz="4" w:space="0" w:color="auto"/>
            </w:tcBorders>
            <w:shd w:val="clear" w:color="auto" w:fill="auto"/>
            <w:noWrap/>
            <w:vAlign w:val="center"/>
            <w:hideMark/>
          </w:tcPr>
          <w:p w14:paraId="7D6701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£210,381.27</w:t>
            </w:r>
          </w:p>
        </w:tc>
        <w:tc>
          <w:tcPr>
            <w:tcW w:w="1559" w:type="dxa"/>
            <w:tcBorders>
              <w:top w:val="nil"/>
              <w:left w:val="nil"/>
              <w:bottom w:val="single" w:sz="4" w:space="0" w:color="auto"/>
              <w:right w:val="single" w:sz="4" w:space="0" w:color="auto"/>
            </w:tcBorders>
            <w:shd w:val="clear" w:color="auto" w:fill="auto"/>
            <w:noWrap/>
            <w:vAlign w:val="center"/>
            <w:hideMark/>
          </w:tcPr>
          <w:p w14:paraId="73B166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£841,525.08</w:t>
            </w:r>
          </w:p>
        </w:tc>
      </w:tr>
      <w:tr w:rsidR="004433D7" w:rsidRPr="004433D7" w14:paraId="5B13DDD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216F4E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Statkraft</w:t>
            </w:r>
            <w:proofErr w:type="spellEnd"/>
            <w:r w:rsidRPr="004433D7">
              <w:rPr>
                <w:rFonts w:eastAsia="Times New Roman" w:cs="Times New Roman"/>
                <w:color w:val="000000"/>
                <w:sz w:val="16"/>
                <w:szCs w:val="16"/>
              </w:rPr>
              <w:t xml:space="preserve"> Markets GmbH</w:t>
            </w:r>
          </w:p>
        </w:tc>
        <w:tc>
          <w:tcPr>
            <w:tcW w:w="1559" w:type="dxa"/>
            <w:tcBorders>
              <w:top w:val="nil"/>
              <w:left w:val="nil"/>
              <w:bottom w:val="single" w:sz="4" w:space="0" w:color="auto"/>
              <w:right w:val="single" w:sz="4" w:space="0" w:color="auto"/>
            </w:tcBorders>
            <w:shd w:val="clear" w:color="auto" w:fill="auto"/>
            <w:noWrap/>
            <w:vAlign w:val="center"/>
            <w:hideMark/>
          </w:tcPr>
          <w:p w14:paraId="65BED5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£118.23</w:t>
            </w:r>
          </w:p>
        </w:tc>
        <w:tc>
          <w:tcPr>
            <w:tcW w:w="1560" w:type="dxa"/>
            <w:tcBorders>
              <w:top w:val="nil"/>
              <w:left w:val="nil"/>
              <w:bottom w:val="single" w:sz="4" w:space="0" w:color="auto"/>
              <w:right w:val="single" w:sz="4" w:space="0" w:color="auto"/>
            </w:tcBorders>
            <w:shd w:val="clear" w:color="auto" w:fill="auto"/>
            <w:noWrap/>
            <w:vAlign w:val="center"/>
            <w:hideMark/>
          </w:tcPr>
          <w:p w14:paraId="651FF1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£118.24</w:t>
            </w:r>
          </w:p>
        </w:tc>
        <w:tc>
          <w:tcPr>
            <w:tcW w:w="1417" w:type="dxa"/>
            <w:tcBorders>
              <w:top w:val="nil"/>
              <w:left w:val="nil"/>
              <w:bottom w:val="single" w:sz="4" w:space="0" w:color="auto"/>
              <w:right w:val="single" w:sz="4" w:space="0" w:color="auto"/>
            </w:tcBorders>
            <w:shd w:val="clear" w:color="auto" w:fill="auto"/>
            <w:noWrap/>
            <w:vAlign w:val="center"/>
            <w:hideMark/>
          </w:tcPr>
          <w:p w14:paraId="15900A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1F38E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79DC6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ADB53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£118.24</w:t>
            </w:r>
          </w:p>
        </w:tc>
      </w:tr>
      <w:tr w:rsidR="004433D7" w:rsidRPr="004433D7" w14:paraId="6A37E81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433375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Switch Business Gas and Power Ltd</w:t>
            </w:r>
          </w:p>
        </w:tc>
        <w:tc>
          <w:tcPr>
            <w:tcW w:w="1559" w:type="dxa"/>
            <w:tcBorders>
              <w:top w:val="nil"/>
              <w:left w:val="nil"/>
              <w:bottom w:val="single" w:sz="4" w:space="0" w:color="auto"/>
              <w:right w:val="single" w:sz="4" w:space="0" w:color="auto"/>
            </w:tcBorders>
            <w:shd w:val="clear" w:color="auto" w:fill="auto"/>
            <w:noWrap/>
            <w:vAlign w:val="center"/>
            <w:hideMark/>
          </w:tcPr>
          <w:p w14:paraId="5BDDAB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£11.95</w:t>
            </w:r>
          </w:p>
        </w:tc>
        <w:tc>
          <w:tcPr>
            <w:tcW w:w="1560" w:type="dxa"/>
            <w:tcBorders>
              <w:top w:val="nil"/>
              <w:left w:val="nil"/>
              <w:bottom w:val="single" w:sz="4" w:space="0" w:color="auto"/>
              <w:right w:val="single" w:sz="4" w:space="0" w:color="auto"/>
            </w:tcBorders>
            <w:shd w:val="clear" w:color="auto" w:fill="auto"/>
            <w:noWrap/>
            <w:vAlign w:val="center"/>
            <w:hideMark/>
          </w:tcPr>
          <w:p w14:paraId="61FF1F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417" w:type="dxa"/>
            <w:tcBorders>
              <w:top w:val="nil"/>
              <w:left w:val="nil"/>
              <w:bottom w:val="single" w:sz="4" w:space="0" w:color="auto"/>
              <w:right w:val="single" w:sz="4" w:space="0" w:color="auto"/>
            </w:tcBorders>
            <w:shd w:val="clear" w:color="auto" w:fill="auto"/>
            <w:noWrap/>
            <w:vAlign w:val="center"/>
            <w:hideMark/>
          </w:tcPr>
          <w:p w14:paraId="136176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1D1224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559" w:type="dxa"/>
            <w:tcBorders>
              <w:top w:val="nil"/>
              <w:left w:val="nil"/>
              <w:bottom w:val="single" w:sz="4" w:space="0" w:color="auto"/>
              <w:right w:val="single" w:sz="4" w:space="0" w:color="auto"/>
            </w:tcBorders>
            <w:shd w:val="clear" w:color="auto" w:fill="auto"/>
            <w:noWrap/>
            <w:vAlign w:val="center"/>
            <w:hideMark/>
          </w:tcPr>
          <w:p w14:paraId="5C0E82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559" w:type="dxa"/>
            <w:tcBorders>
              <w:top w:val="nil"/>
              <w:left w:val="nil"/>
              <w:bottom w:val="single" w:sz="4" w:space="0" w:color="auto"/>
              <w:right w:val="single" w:sz="4" w:space="0" w:color="auto"/>
            </w:tcBorders>
            <w:shd w:val="clear" w:color="auto" w:fill="auto"/>
            <w:noWrap/>
            <w:vAlign w:val="center"/>
            <w:hideMark/>
          </w:tcPr>
          <w:p w14:paraId="33C010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£11.96</w:t>
            </w:r>
          </w:p>
        </w:tc>
      </w:tr>
      <w:tr w:rsidR="004433D7" w:rsidRPr="004433D7" w14:paraId="2902B5D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D0220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559" w:type="dxa"/>
            <w:tcBorders>
              <w:top w:val="nil"/>
              <w:left w:val="nil"/>
              <w:bottom w:val="single" w:sz="4" w:space="0" w:color="auto"/>
              <w:right w:val="single" w:sz="4" w:space="0" w:color="auto"/>
            </w:tcBorders>
            <w:shd w:val="clear" w:color="auto" w:fill="auto"/>
            <w:noWrap/>
            <w:vAlign w:val="center"/>
            <w:hideMark/>
          </w:tcPr>
          <w:p w14:paraId="34B67F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£4,865.46</w:t>
            </w:r>
          </w:p>
        </w:tc>
        <w:tc>
          <w:tcPr>
            <w:tcW w:w="1560" w:type="dxa"/>
            <w:tcBorders>
              <w:top w:val="nil"/>
              <w:left w:val="nil"/>
              <w:bottom w:val="single" w:sz="4" w:space="0" w:color="auto"/>
              <w:right w:val="single" w:sz="4" w:space="0" w:color="auto"/>
            </w:tcBorders>
            <w:shd w:val="clear" w:color="auto" w:fill="auto"/>
            <w:noWrap/>
            <w:vAlign w:val="center"/>
            <w:hideMark/>
          </w:tcPr>
          <w:p w14:paraId="5833D5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£1,216.36</w:t>
            </w:r>
          </w:p>
        </w:tc>
        <w:tc>
          <w:tcPr>
            <w:tcW w:w="1417" w:type="dxa"/>
            <w:tcBorders>
              <w:top w:val="nil"/>
              <w:left w:val="nil"/>
              <w:bottom w:val="single" w:sz="4" w:space="0" w:color="auto"/>
              <w:right w:val="single" w:sz="4" w:space="0" w:color="auto"/>
            </w:tcBorders>
            <w:shd w:val="clear" w:color="auto" w:fill="auto"/>
            <w:noWrap/>
            <w:vAlign w:val="center"/>
            <w:hideMark/>
          </w:tcPr>
          <w:p w14:paraId="578820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£1,216.36</w:t>
            </w:r>
          </w:p>
        </w:tc>
        <w:tc>
          <w:tcPr>
            <w:tcW w:w="1418" w:type="dxa"/>
            <w:tcBorders>
              <w:top w:val="nil"/>
              <w:left w:val="nil"/>
              <w:bottom w:val="single" w:sz="4" w:space="0" w:color="auto"/>
              <w:right w:val="single" w:sz="4" w:space="0" w:color="auto"/>
            </w:tcBorders>
            <w:shd w:val="clear" w:color="auto" w:fill="auto"/>
            <w:noWrap/>
            <w:vAlign w:val="center"/>
            <w:hideMark/>
          </w:tcPr>
          <w:p w14:paraId="1C4B60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£1,216.36</w:t>
            </w:r>
          </w:p>
        </w:tc>
        <w:tc>
          <w:tcPr>
            <w:tcW w:w="1559" w:type="dxa"/>
            <w:tcBorders>
              <w:top w:val="nil"/>
              <w:left w:val="nil"/>
              <w:bottom w:val="single" w:sz="4" w:space="0" w:color="auto"/>
              <w:right w:val="single" w:sz="4" w:space="0" w:color="auto"/>
            </w:tcBorders>
            <w:shd w:val="clear" w:color="auto" w:fill="auto"/>
            <w:noWrap/>
            <w:vAlign w:val="center"/>
            <w:hideMark/>
          </w:tcPr>
          <w:p w14:paraId="12D1ED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£1,216.36</w:t>
            </w:r>
          </w:p>
        </w:tc>
        <w:tc>
          <w:tcPr>
            <w:tcW w:w="1559" w:type="dxa"/>
            <w:tcBorders>
              <w:top w:val="nil"/>
              <w:left w:val="nil"/>
              <w:bottom w:val="single" w:sz="4" w:space="0" w:color="auto"/>
              <w:right w:val="single" w:sz="4" w:space="0" w:color="auto"/>
            </w:tcBorders>
            <w:shd w:val="clear" w:color="auto" w:fill="auto"/>
            <w:noWrap/>
            <w:vAlign w:val="center"/>
            <w:hideMark/>
          </w:tcPr>
          <w:p w14:paraId="1A8CDC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£4,865.44</w:t>
            </w:r>
          </w:p>
        </w:tc>
      </w:tr>
      <w:tr w:rsidR="004433D7" w:rsidRPr="004433D7" w14:paraId="662E77E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07275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Together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757C0D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£2,517.38</w:t>
            </w:r>
          </w:p>
        </w:tc>
        <w:tc>
          <w:tcPr>
            <w:tcW w:w="1560" w:type="dxa"/>
            <w:tcBorders>
              <w:top w:val="nil"/>
              <w:left w:val="nil"/>
              <w:bottom w:val="single" w:sz="4" w:space="0" w:color="auto"/>
              <w:right w:val="single" w:sz="4" w:space="0" w:color="auto"/>
            </w:tcBorders>
            <w:shd w:val="clear" w:color="auto" w:fill="auto"/>
            <w:noWrap/>
            <w:vAlign w:val="center"/>
            <w:hideMark/>
          </w:tcPr>
          <w:p w14:paraId="333097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£629.35</w:t>
            </w:r>
          </w:p>
        </w:tc>
        <w:tc>
          <w:tcPr>
            <w:tcW w:w="1417" w:type="dxa"/>
            <w:tcBorders>
              <w:top w:val="nil"/>
              <w:left w:val="nil"/>
              <w:bottom w:val="single" w:sz="4" w:space="0" w:color="auto"/>
              <w:right w:val="single" w:sz="4" w:space="0" w:color="auto"/>
            </w:tcBorders>
            <w:shd w:val="clear" w:color="auto" w:fill="auto"/>
            <w:noWrap/>
            <w:vAlign w:val="center"/>
            <w:hideMark/>
          </w:tcPr>
          <w:p w14:paraId="6A3B2E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£629.35</w:t>
            </w:r>
          </w:p>
        </w:tc>
        <w:tc>
          <w:tcPr>
            <w:tcW w:w="1418" w:type="dxa"/>
            <w:tcBorders>
              <w:top w:val="nil"/>
              <w:left w:val="nil"/>
              <w:bottom w:val="single" w:sz="4" w:space="0" w:color="auto"/>
              <w:right w:val="single" w:sz="4" w:space="0" w:color="auto"/>
            </w:tcBorders>
            <w:shd w:val="clear" w:color="auto" w:fill="auto"/>
            <w:noWrap/>
            <w:vAlign w:val="center"/>
            <w:hideMark/>
          </w:tcPr>
          <w:p w14:paraId="7B7C0D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£629.35</w:t>
            </w:r>
          </w:p>
        </w:tc>
        <w:tc>
          <w:tcPr>
            <w:tcW w:w="1559" w:type="dxa"/>
            <w:tcBorders>
              <w:top w:val="nil"/>
              <w:left w:val="nil"/>
              <w:bottom w:val="single" w:sz="4" w:space="0" w:color="auto"/>
              <w:right w:val="single" w:sz="4" w:space="0" w:color="auto"/>
            </w:tcBorders>
            <w:shd w:val="clear" w:color="auto" w:fill="auto"/>
            <w:noWrap/>
            <w:vAlign w:val="center"/>
            <w:hideMark/>
          </w:tcPr>
          <w:p w14:paraId="6123A9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£629.35</w:t>
            </w:r>
          </w:p>
        </w:tc>
        <w:tc>
          <w:tcPr>
            <w:tcW w:w="1559" w:type="dxa"/>
            <w:tcBorders>
              <w:top w:val="nil"/>
              <w:left w:val="nil"/>
              <w:bottom w:val="single" w:sz="4" w:space="0" w:color="auto"/>
              <w:right w:val="single" w:sz="4" w:space="0" w:color="auto"/>
            </w:tcBorders>
            <w:shd w:val="clear" w:color="auto" w:fill="auto"/>
            <w:noWrap/>
            <w:vAlign w:val="center"/>
            <w:hideMark/>
          </w:tcPr>
          <w:p w14:paraId="302DC0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£2,517.40</w:t>
            </w:r>
          </w:p>
        </w:tc>
      </w:tr>
      <w:tr w:rsidR="004433D7" w:rsidRPr="004433D7" w14:paraId="59292DF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FBB0BC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65BF748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£678.06</w:t>
            </w:r>
          </w:p>
        </w:tc>
        <w:tc>
          <w:tcPr>
            <w:tcW w:w="1560" w:type="dxa"/>
            <w:tcBorders>
              <w:top w:val="nil"/>
              <w:left w:val="nil"/>
              <w:bottom w:val="single" w:sz="4" w:space="0" w:color="auto"/>
              <w:right w:val="single" w:sz="4" w:space="0" w:color="auto"/>
            </w:tcBorders>
            <w:shd w:val="clear" w:color="auto" w:fill="auto"/>
            <w:noWrap/>
            <w:vAlign w:val="center"/>
            <w:hideMark/>
          </w:tcPr>
          <w:p w14:paraId="7CE587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£169.51</w:t>
            </w:r>
          </w:p>
        </w:tc>
        <w:tc>
          <w:tcPr>
            <w:tcW w:w="1417" w:type="dxa"/>
            <w:tcBorders>
              <w:top w:val="nil"/>
              <w:left w:val="nil"/>
              <w:bottom w:val="single" w:sz="4" w:space="0" w:color="auto"/>
              <w:right w:val="single" w:sz="4" w:space="0" w:color="auto"/>
            </w:tcBorders>
            <w:shd w:val="clear" w:color="auto" w:fill="auto"/>
            <w:noWrap/>
            <w:vAlign w:val="center"/>
            <w:hideMark/>
          </w:tcPr>
          <w:p w14:paraId="0C847A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£169.51</w:t>
            </w:r>
          </w:p>
        </w:tc>
        <w:tc>
          <w:tcPr>
            <w:tcW w:w="1418" w:type="dxa"/>
            <w:tcBorders>
              <w:top w:val="nil"/>
              <w:left w:val="nil"/>
              <w:bottom w:val="single" w:sz="4" w:space="0" w:color="auto"/>
              <w:right w:val="single" w:sz="4" w:space="0" w:color="auto"/>
            </w:tcBorders>
            <w:shd w:val="clear" w:color="auto" w:fill="auto"/>
            <w:noWrap/>
            <w:vAlign w:val="center"/>
            <w:hideMark/>
          </w:tcPr>
          <w:p w14:paraId="5153BF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£169.51</w:t>
            </w:r>
          </w:p>
        </w:tc>
        <w:tc>
          <w:tcPr>
            <w:tcW w:w="1559" w:type="dxa"/>
            <w:tcBorders>
              <w:top w:val="nil"/>
              <w:left w:val="nil"/>
              <w:bottom w:val="single" w:sz="4" w:space="0" w:color="auto"/>
              <w:right w:val="single" w:sz="4" w:space="0" w:color="auto"/>
            </w:tcBorders>
            <w:shd w:val="clear" w:color="auto" w:fill="auto"/>
            <w:noWrap/>
            <w:vAlign w:val="center"/>
            <w:hideMark/>
          </w:tcPr>
          <w:p w14:paraId="14E467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£169.51</w:t>
            </w:r>
          </w:p>
        </w:tc>
        <w:tc>
          <w:tcPr>
            <w:tcW w:w="1559" w:type="dxa"/>
            <w:tcBorders>
              <w:top w:val="nil"/>
              <w:left w:val="nil"/>
              <w:bottom w:val="single" w:sz="4" w:space="0" w:color="auto"/>
              <w:right w:val="single" w:sz="4" w:space="0" w:color="auto"/>
            </w:tcBorders>
            <w:shd w:val="clear" w:color="auto" w:fill="auto"/>
            <w:noWrap/>
            <w:vAlign w:val="center"/>
            <w:hideMark/>
          </w:tcPr>
          <w:p w14:paraId="1961D4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£678.04</w:t>
            </w:r>
          </w:p>
        </w:tc>
      </w:tr>
      <w:tr w:rsidR="004433D7" w:rsidRPr="004433D7" w14:paraId="4BB81F3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BD5484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559" w:type="dxa"/>
            <w:tcBorders>
              <w:top w:val="nil"/>
              <w:left w:val="nil"/>
              <w:bottom w:val="single" w:sz="4" w:space="0" w:color="auto"/>
              <w:right w:val="single" w:sz="4" w:space="0" w:color="auto"/>
            </w:tcBorders>
            <w:shd w:val="clear" w:color="auto" w:fill="auto"/>
            <w:noWrap/>
            <w:vAlign w:val="center"/>
            <w:hideMark/>
          </w:tcPr>
          <w:p w14:paraId="6041B2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£103,733.03</w:t>
            </w:r>
          </w:p>
        </w:tc>
        <w:tc>
          <w:tcPr>
            <w:tcW w:w="1560" w:type="dxa"/>
            <w:tcBorders>
              <w:top w:val="nil"/>
              <w:left w:val="nil"/>
              <w:bottom w:val="single" w:sz="4" w:space="0" w:color="auto"/>
              <w:right w:val="single" w:sz="4" w:space="0" w:color="auto"/>
            </w:tcBorders>
            <w:shd w:val="clear" w:color="auto" w:fill="auto"/>
            <w:noWrap/>
            <w:vAlign w:val="center"/>
            <w:hideMark/>
          </w:tcPr>
          <w:p w14:paraId="535DCD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£25,933.26</w:t>
            </w:r>
          </w:p>
        </w:tc>
        <w:tc>
          <w:tcPr>
            <w:tcW w:w="1417" w:type="dxa"/>
            <w:tcBorders>
              <w:top w:val="nil"/>
              <w:left w:val="nil"/>
              <w:bottom w:val="single" w:sz="4" w:space="0" w:color="auto"/>
              <w:right w:val="single" w:sz="4" w:space="0" w:color="auto"/>
            </w:tcBorders>
            <w:shd w:val="clear" w:color="auto" w:fill="auto"/>
            <w:noWrap/>
            <w:vAlign w:val="center"/>
            <w:hideMark/>
          </w:tcPr>
          <w:p w14:paraId="50A94C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£25,933.26</w:t>
            </w:r>
          </w:p>
        </w:tc>
        <w:tc>
          <w:tcPr>
            <w:tcW w:w="1418" w:type="dxa"/>
            <w:tcBorders>
              <w:top w:val="nil"/>
              <w:left w:val="nil"/>
              <w:bottom w:val="single" w:sz="4" w:space="0" w:color="auto"/>
              <w:right w:val="single" w:sz="4" w:space="0" w:color="auto"/>
            </w:tcBorders>
            <w:shd w:val="clear" w:color="auto" w:fill="auto"/>
            <w:noWrap/>
            <w:vAlign w:val="center"/>
            <w:hideMark/>
          </w:tcPr>
          <w:p w14:paraId="09E124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£25,933.26</w:t>
            </w:r>
          </w:p>
        </w:tc>
        <w:tc>
          <w:tcPr>
            <w:tcW w:w="1559" w:type="dxa"/>
            <w:tcBorders>
              <w:top w:val="nil"/>
              <w:left w:val="nil"/>
              <w:bottom w:val="single" w:sz="4" w:space="0" w:color="auto"/>
              <w:right w:val="single" w:sz="4" w:space="0" w:color="auto"/>
            </w:tcBorders>
            <w:shd w:val="clear" w:color="auto" w:fill="auto"/>
            <w:noWrap/>
            <w:vAlign w:val="center"/>
            <w:hideMark/>
          </w:tcPr>
          <w:p w14:paraId="1D5460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£25,933.26</w:t>
            </w:r>
          </w:p>
        </w:tc>
        <w:tc>
          <w:tcPr>
            <w:tcW w:w="1559" w:type="dxa"/>
            <w:tcBorders>
              <w:top w:val="nil"/>
              <w:left w:val="nil"/>
              <w:bottom w:val="single" w:sz="4" w:space="0" w:color="auto"/>
              <w:right w:val="single" w:sz="4" w:space="0" w:color="auto"/>
            </w:tcBorders>
            <w:shd w:val="clear" w:color="auto" w:fill="auto"/>
            <w:noWrap/>
            <w:vAlign w:val="center"/>
            <w:hideMark/>
          </w:tcPr>
          <w:p w14:paraId="48F720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£103,733.04</w:t>
            </w:r>
          </w:p>
        </w:tc>
      </w:tr>
      <w:tr w:rsidR="004433D7" w:rsidRPr="004433D7" w14:paraId="4CB54F9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931E8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TOTO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34072A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£1,081.76</w:t>
            </w:r>
          </w:p>
        </w:tc>
        <w:tc>
          <w:tcPr>
            <w:tcW w:w="1560" w:type="dxa"/>
            <w:tcBorders>
              <w:top w:val="nil"/>
              <w:left w:val="nil"/>
              <w:bottom w:val="single" w:sz="4" w:space="0" w:color="auto"/>
              <w:right w:val="single" w:sz="4" w:space="0" w:color="auto"/>
            </w:tcBorders>
            <w:shd w:val="clear" w:color="auto" w:fill="auto"/>
            <w:noWrap/>
            <w:vAlign w:val="center"/>
            <w:hideMark/>
          </w:tcPr>
          <w:p w14:paraId="11E950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£270.44</w:t>
            </w:r>
          </w:p>
        </w:tc>
        <w:tc>
          <w:tcPr>
            <w:tcW w:w="1417" w:type="dxa"/>
            <w:tcBorders>
              <w:top w:val="nil"/>
              <w:left w:val="nil"/>
              <w:bottom w:val="single" w:sz="4" w:space="0" w:color="auto"/>
              <w:right w:val="single" w:sz="4" w:space="0" w:color="auto"/>
            </w:tcBorders>
            <w:shd w:val="clear" w:color="auto" w:fill="auto"/>
            <w:noWrap/>
            <w:vAlign w:val="center"/>
            <w:hideMark/>
          </w:tcPr>
          <w:p w14:paraId="3EBB23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C3D35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34389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0FCC8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£270.44</w:t>
            </w:r>
          </w:p>
        </w:tc>
      </w:tr>
      <w:tr w:rsidR="004433D7" w:rsidRPr="004433D7" w14:paraId="160C63A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BB3AB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Usio</w:t>
            </w:r>
            <w:proofErr w:type="spellEnd"/>
            <w:r w:rsidRPr="004433D7">
              <w:rPr>
                <w:rFonts w:eastAsia="Times New Roman" w:cs="Times New Roman"/>
                <w:color w:val="000000"/>
                <w:sz w:val="16"/>
                <w:szCs w:val="16"/>
              </w:rPr>
              <w:t xml:space="preserve"> Energy Supply Limited</w:t>
            </w:r>
          </w:p>
        </w:tc>
        <w:tc>
          <w:tcPr>
            <w:tcW w:w="1559" w:type="dxa"/>
            <w:tcBorders>
              <w:top w:val="nil"/>
              <w:left w:val="nil"/>
              <w:bottom w:val="single" w:sz="4" w:space="0" w:color="auto"/>
              <w:right w:val="single" w:sz="4" w:space="0" w:color="auto"/>
            </w:tcBorders>
            <w:shd w:val="clear" w:color="auto" w:fill="auto"/>
            <w:noWrap/>
            <w:vAlign w:val="center"/>
            <w:hideMark/>
          </w:tcPr>
          <w:p w14:paraId="43C900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£7.00</w:t>
            </w:r>
          </w:p>
        </w:tc>
        <w:tc>
          <w:tcPr>
            <w:tcW w:w="1560" w:type="dxa"/>
            <w:tcBorders>
              <w:top w:val="nil"/>
              <w:left w:val="nil"/>
              <w:bottom w:val="single" w:sz="4" w:space="0" w:color="auto"/>
              <w:right w:val="single" w:sz="4" w:space="0" w:color="auto"/>
            </w:tcBorders>
            <w:shd w:val="clear" w:color="auto" w:fill="auto"/>
            <w:noWrap/>
            <w:vAlign w:val="center"/>
            <w:hideMark/>
          </w:tcPr>
          <w:p w14:paraId="1131D0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F1CB3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B199D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0B174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2CFB98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1D2C72D5"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456E23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w:t>
            </w:r>
          </w:p>
        </w:tc>
        <w:tc>
          <w:tcPr>
            <w:tcW w:w="1559" w:type="dxa"/>
            <w:tcBorders>
              <w:top w:val="nil"/>
              <w:left w:val="nil"/>
              <w:bottom w:val="single" w:sz="4" w:space="0" w:color="auto"/>
              <w:right w:val="single" w:sz="4" w:space="0" w:color="auto"/>
            </w:tcBorders>
            <w:shd w:val="clear" w:color="auto" w:fill="auto"/>
            <w:noWrap/>
            <w:vAlign w:val="center"/>
            <w:hideMark/>
          </w:tcPr>
          <w:p w14:paraId="44304F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£29,400.79</w:t>
            </w:r>
          </w:p>
        </w:tc>
        <w:tc>
          <w:tcPr>
            <w:tcW w:w="1560" w:type="dxa"/>
            <w:tcBorders>
              <w:top w:val="nil"/>
              <w:left w:val="nil"/>
              <w:bottom w:val="single" w:sz="4" w:space="0" w:color="auto"/>
              <w:right w:val="single" w:sz="4" w:space="0" w:color="auto"/>
            </w:tcBorders>
            <w:shd w:val="clear" w:color="auto" w:fill="auto"/>
            <w:noWrap/>
            <w:vAlign w:val="center"/>
            <w:hideMark/>
          </w:tcPr>
          <w:p w14:paraId="0C5F7D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£7,350.20</w:t>
            </w:r>
          </w:p>
        </w:tc>
        <w:tc>
          <w:tcPr>
            <w:tcW w:w="1417" w:type="dxa"/>
            <w:tcBorders>
              <w:top w:val="nil"/>
              <w:left w:val="nil"/>
              <w:bottom w:val="single" w:sz="4" w:space="0" w:color="auto"/>
              <w:right w:val="single" w:sz="4" w:space="0" w:color="auto"/>
            </w:tcBorders>
            <w:shd w:val="clear" w:color="auto" w:fill="auto"/>
            <w:noWrap/>
            <w:vAlign w:val="center"/>
            <w:hideMark/>
          </w:tcPr>
          <w:p w14:paraId="466E49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£7,350.20</w:t>
            </w:r>
          </w:p>
        </w:tc>
        <w:tc>
          <w:tcPr>
            <w:tcW w:w="1418" w:type="dxa"/>
            <w:tcBorders>
              <w:top w:val="nil"/>
              <w:left w:val="nil"/>
              <w:bottom w:val="single" w:sz="4" w:space="0" w:color="auto"/>
              <w:right w:val="single" w:sz="4" w:space="0" w:color="auto"/>
            </w:tcBorders>
            <w:shd w:val="clear" w:color="auto" w:fill="auto"/>
            <w:noWrap/>
            <w:vAlign w:val="center"/>
            <w:hideMark/>
          </w:tcPr>
          <w:p w14:paraId="0FFE2F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£7,350.20</w:t>
            </w:r>
          </w:p>
        </w:tc>
        <w:tc>
          <w:tcPr>
            <w:tcW w:w="1559" w:type="dxa"/>
            <w:tcBorders>
              <w:top w:val="nil"/>
              <w:left w:val="nil"/>
              <w:bottom w:val="single" w:sz="4" w:space="0" w:color="auto"/>
              <w:right w:val="single" w:sz="4" w:space="0" w:color="auto"/>
            </w:tcBorders>
            <w:shd w:val="clear" w:color="auto" w:fill="auto"/>
            <w:noWrap/>
            <w:vAlign w:val="center"/>
            <w:hideMark/>
          </w:tcPr>
          <w:p w14:paraId="257A44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£7,350.20</w:t>
            </w:r>
          </w:p>
        </w:tc>
        <w:tc>
          <w:tcPr>
            <w:tcW w:w="1559" w:type="dxa"/>
            <w:tcBorders>
              <w:top w:val="nil"/>
              <w:left w:val="nil"/>
              <w:bottom w:val="single" w:sz="4" w:space="0" w:color="auto"/>
              <w:right w:val="single" w:sz="4" w:space="0" w:color="auto"/>
            </w:tcBorders>
            <w:shd w:val="clear" w:color="auto" w:fill="auto"/>
            <w:noWrap/>
            <w:vAlign w:val="center"/>
            <w:hideMark/>
          </w:tcPr>
          <w:p w14:paraId="5EA93A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£29,400.80</w:t>
            </w:r>
          </w:p>
        </w:tc>
      </w:tr>
      <w:tr w:rsidR="004433D7" w:rsidRPr="004433D7" w14:paraId="4955D03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3E171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Utility Point Limited</w:t>
            </w:r>
          </w:p>
        </w:tc>
        <w:tc>
          <w:tcPr>
            <w:tcW w:w="1559" w:type="dxa"/>
            <w:tcBorders>
              <w:top w:val="nil"/>
              <w:left w:val="nil"/>
              <w:bottom w:val="single" w:sz="4" w:space="0" w:color="auto"/>
              <w:right w:val="single" w:sz="4" w:space="0" w:color="auto"/>
            </w:tcBorders>
            <w:shd w:val="clear" w:color="auto" w:fill="auto"/>
            <w:noWrap/>
            <w:vAlign w:val="center"/>
            <w:hideMark/>
          </w:tcPr>
          <w:p w14:paraId="6208B2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£25.13</w:t>
            </w:r>
          </w:p>
        </w:tc>
        <w:tc>
          <w:tcPr>
            <w:tcW w:w="1560" w:type="dxa"/>
            <w:tcBorders>
              <w:top w:val="nil"/>
              <w:left w:val="nil"/>
              <w:bottom w:val="single" w:sz="4" w:space="0" w:color="auto"/>
              <w:right w:val="single" w:sz="4" w:space="0" w:color="auto"/>
            </w:tcBorders>
            <w:shd w:val="clear" w:color="auto" w:fill="auto"/>
            <w:noWrap/>
            <w:vAlign w:val="center"/>
            <w:hideMark/>
          </w:tcPr>
          <w:p w14:paraId="02BAC7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£25.13</w:t>
            </w:r>
          </w:p>
        </w:tc>
        <w:tc>
          <w:tcPr>
            <w:tcW w:w="1417" w:type="dxa"/>
            <w:tcBorders>
              <w:top w:val="nil"/>
              <w:left w:val="nil"/>
              <w:bottom w:val="single" w:sz="4" w:space="0" w:color="auto"/>
              <w:right w:val="single" w:sz="4" w:space="0" w:color="auto"/>
            </w:tcBorders>
            <w:shd w:val="clear" w:color="auto" w:fill="auto"/>
            <w:noWrap/>
            <w:vAlign w:val="center"/>
            <w:hideMark/>
          </w:tcPr>
          <w:p w14:paraId="527306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1C97E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A0ABA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8B3EB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£25.13</w:t>
            </w:r>
          </w:p>
        </w:tc>
      </w:tr>
      <w:tr w:rsidR="004433D7" w:rsidRPr="004433D7" w14:paraId="4DAE76C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20D9F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Vattenfall Energy Trading GmbH </w:t>
            </w:r>
          </w:p>
        </w:tc>
        <w:tc>
          <w:tcPr>
            <w:tcW w:w="1559" w:type="dxa"/>
            <w:tcBorders>
              <w:top w:val="nil"/>
              <w:left w:val="nil"/>
              <w:bottom w:val="single" w:sz="4" w:space="0" w:color="auto"/>
              <w:right w:val="single" w:sz="4" w:space="0" w:color="auto"/>
            </w:tcBorders>
            <w:shd w:val="clear" w:color="auto" w:fill="auto"/>
            <w:noWrap/>
            <w:vAlign w:val="center"/>
            <w:hideMark/>
          </w:tcPr>
          <w:p w14:paraId="1357B8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£20.60</w:t>
            </w:r>
          </w:p>
        </w:tc>
        <w:tc>
          <w:tcPr>
            <w:tcW w:w="1560" w:type="dxa"/>
            <w:tcBorders>
              <w:top w:val="nil"/>
              <w:left w:val="nil"/>
              <w:bottom w:val="single" w:sz="4" w:space="0" w:color="auto"/>
              <w:right w:val="single" w:sz="4" w:space="0" w:color="auto"/>
            </w:tcBorders>
            <w:shd w:val="clear" w:color="auto" w:fill="auto"/>
            <w:noWrap/>
            <w:vAlign w:val="center"/>
            <w:hideMark/>
          </w:tcPr>
          <w:p w14:paraId="274319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£32.60</w:t>
            </w:r>
          </w:p>
        </w:tc>
        <w:tc>
          <w:tcPr>
            <w:tcW w:w="1417" w:type="dxa"/>
            <w:tcBorders>
              <w:top w:val="nil"/>
              <w:left w:val="nil"/>
              <w:bottom w:val="single" w:sz="4" w:space="0" w:color="auto"/>
              <w:right w:val="single" w:sz="4" w:space="0" w:color="auto"/>
            </w:tcBorders>
            <w:shd w:val="clear" w:color="auto" w:fill="auto"/>
            <w:noWrap/>
            <w:vAlign w:val="center"/>
            <w:hideMark/>
          </w:tcPr>
          <w:p w14:paraId="5429D5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63F336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47AEA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A87FA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£32.60</w:t>
            </w:r>
          </w:p>
        </w:tc>
      </w:tr>
      <w:tr w:rsidR="004433D7" w:rsidRPr="004433D7" w14:paraId="53E5CA07"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0F692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Zebra Power Limited (previously </w:t>
            </w:r>
            <w:proofErr w:type="spellStart"/>
            <w:r w:rsidRPr="004433D7">
              <w:rPr>
                <w:rFonts w:eastAsia="Times New Roman" w:cs="Times New Roman"/>
                <w:color w:val="000000"/>
                <w:sz w:val="16"/>
                <w:szCs w:val="16"/>
              </w:rPr>
              <w:t>Bor</w:t>
            </w:r>
            <w:proofErr w:type="spellEnd"/>
            <w:r w:rsidRPr="004433D7">
              <w:rPr>
                <w:rFonts w:eastAsia="Times New Roman" w:cs="Times New Roman"/>
                <w:color w:val="000000"/>
                <w:sz w:val="16"/>
                <w:szCs w:val="16"/>
              </w:rPr>
              <w:t xml:space="preserve"> Energy)</w:t>
            </w:r>
          </w:p>
        </w:tc>
        <w:tc>
          <w:tcPr>
            <w:tcW w:w="1559" w:type="dxa"/>
            <w:tcBorders>
              <w:top w:val="nil"/>
              <w:left w:val="nil"/>
              <w:bottom w:val="single" w:sz="4" w:space="0" w:color="auto"/>
              <w:right w:val="single" w:sz="4" w:space="0" w:color="auto"/>
            </w:tcBorders>
            <w:shd w:val="clear" w:color="auto" w:fill="auto"/>
            <w:noWrap/>
            <w:vAlign w:val="center"/>
            <w:hideMark/>
          </w:tcPr>
          <w:p w14:paraId="1F4244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£173.02</w:t>
            </w:r>
          </w:p>
        </w:tc>
        <w:tc>
          <w:tcPr>
            <w:tcW w:w="1560" w:type="dxa"/>
            <w:tcBorders>
              <w:top w:val="nil"/>
              <w:left w:val="nil"/>
              <w:bottom w:val="single" w:sz="4" w:space="0" w:color="auto"/>
              <w:right w:val="single" w:sz="4" w:space="0" w:color="auto"/>
            </w:tcBorders>
            <w:shd w:val="clear" w:color="auto" w:fill="auto"/>
            <w:noWrap/>
            <w:vAlign w:val="center"/>
            <w:hideMark/>
          </w:tcPr>
          <w:p w14:paraId="4C5B1B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£173.02</w:t>
            </w:r>
          </w:p>
        </w:tc>
        <w:tc>
          <w:tcPr>
            <w:tcW w:w="1417" w:type="dxa"/>
            <w:tcBorders>
              <w:top w:val="nil"/>
              <w:left w:val="nil"/>
              <w:bottom w:val="single" w:sz="4" w:space="0" w:color="auto"/>
              <w:right w:val="single" w:sz="4" w:space="0" w:color="auto"/>
            </w:tcBorders>
            <w:shd w:val="clear" w:color="auto" w:fill="auto"/>
            <w:noWrap/>
            <w:vAlign w:val="center"/>
            <w:hideMark/>
          </w:tcPr>
          <w:p w14:paraId="5E41A5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176598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F88CF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E92E1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£173.02</w:t>
            </w:r>
          </w:p>
        </w:tc>
      </w:tr>
      <w:tr w:rsidR="004433D7" w:rsidRPr="004433D7" w14:paraId="5FC8168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2363AF"/>
            <w:vAlign w:val="center"/>
            <w:hideMark/>
          </w:tcPr>
          <w:p w14:paraId="31845CC4"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559" w:type="dxa"/>
            <w:tcBorders>
              <w:top w:val="nil"/>
              <w:left w:val="nil"/>
              <w:bottom w:val="single" w:sz="4" w:space="0" w:color="auto"/>
              <w:right w:val="single" w:sz="4" w:space="0" w:color="auto"/>
            </w:tcBorders>
            <w:shd w:val="clear" w:color="auto" w:fill="2363AF"/>
            <w:noWrap/>
            <w:vAlign w:val="center"/>
            <w:hideMark/>
          </w:tcPr>
          <w:p w14:paraId="3DE78619" w14:textId="2CFB44C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£4,418,118.8</w:t>
            </w:r>
            <w:r w:rsidR="00734C0D">
              <w:rPr>
                <w:rFonts w:eastAsia="Times New Roman" w:cs="Times New Roman"/>
                <w:color w:val="FFFFFF"/>
                <w:sz w:val="16"/>
                <w:szCs w:val="16"/>
              </w:rPr>
              <w:t>5</w:t>
            </w:r>
          </w:p>
        </w:tc>
        <w:tc>
          <w:tcPr>
            <w:tcW w:w="1560" w:type="dxa"/>
            <w:tcBorders>
              <w:top w:val="nil"/>
              <w:left w:val="nil"/>
              <w:bottom w:val="single" w:sz="4" w:space="0" w:color="auto"/>
              <w:right w:val="single" w:sz="4" w:space="0" w:color="auto"/>
            </w:tcBorders>
            <w:shd w:val="clear" w:color="auto" w:fill="2363AF"/>
            <w:noWrap/>
            <w:vAlign w:val="center"/>
            <w:hideMark/>
          </w:tcPr>
          <w:p w14:paraId="76103E1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£1,104,436.59</w:t>
            </w:r>
          </w:p>
        </w:tc>
        <w:tc>
          <w:tcPr>
            <w:tcW w:w="1417" w:type="dxa"/>
            <w:tcBorders>
              <w:top w:val="nil"/>
              <w:left w:val="nil"/>
              <w:bottom w:val="single" w:sz="4" w:space="0" w:color="auto"/>
              <w:right w:val="single" w:sz="4" w:space="0" w:color="auto"/>
            </w:tcBorders>
            <w:shd w:val="clear" w:color="auto" w:fill="2363AF"/>
            <w:noWrap/>
            <w:vAlign w:val="center"/>
            <w:hideMark/>
          </w:tcPr>
          <w:p w14:paraId="682A6CA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£1,106,184.94</w:t>
            </w:r>
          </w:p>
        </w:tc>
        <w:tc>
          <w:tcPr>
            <w:tcW w:w="1418" w:type="dxa"/>
            <w:tcBorders>
              <w:top w:val="nil"/>
              <w:left w:val="nil"/>
              <w:bottom w:val="single" w:sz="4" w:space="0" w:color="auto"/>
              <w:right w:val="single" w:sz="4" w:space="0" w:color="auto"/>
            </w:tcBorders>
            <w:shd w:val="clear" w:color="auto" w:fill="2363AF"/>
            <w:noWrap/>
            <w:vAlign w:val="center"/>
            <w:hideMark/>
          </w:tcPr>
          <w:p w14:paraId="3E97A91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£1,098,120.03</w:t>
            </w:r>
          </w:p>
        </w:tc>
        <w:tc>
          <w:tcPr>
            <w:tcW w:w="1559" w:type="dxa"/>
            <w:tcBorders>
              <w:top w:val="nil"/>
              <w:left w:val="nil"/>
              <w:bottom w:val="single" w:sz="4" w:space="0" w:color="auto"/>
              <w:right w:val="single" w:sz="4" w:space="0" w:color="auto"/>
            </w:tcBorders>
            <w:shd w:val="clear" w:color="auto" w:fill="2363AF"/>
            <w:noWrap/>
            <w:vAlign w:val="center"/>
            <w:hideMark/>
          </w:tcPr>
          <w:p w14:paraId="5B3E064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£1,101,784.05</w:t>
            </w:r>
          </w:p>
        </w:tc>
        <w:tc>
          <w:tcPr>
            <w:tcW w:w="1559" w:type="dxa"/>
            <w:tcBorders>
              <w:top w:val="nil"/>
              <w:left w:val="nil"/>
              <w:bottom w:val="single" w:sz="4" w:space="0" w:color="auto"/>
              <w:right w:val="single" w:sz="4" w:space="0" w:color="auto"/>
            </w:tcBorders>
            <w:shd w:val="clear" w:color="auto" w:fill="2363AF"/>
            <w:noWrap/>
            <w:vAlign w:val="center"/>
            <w:hideMark/>
          </w:tcPr>
          <w:p w14:paraId="7583E3D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£4,410,525.61</w:t>
            </w:r>
          </w:p>
        </w:tc>
      </w:tr>
    </w:tbl>
    <w:p w14:paraId="53A9D15E" w14:textId="77777777" w:rsidR="004433D7" w:rsidRDefault="004433D7" w:rsidP="00EE4D96">
      <w:pPr>
        <w:spacing w:line="288" w:lineRule="auto"/>
        <w:rPr>
          <w:rFonts w:eastAsiaTheme="minorEastAsia"/>
          <w:b/>
          <w:color w:val="000000" w:themeColor="text1"/>
        </w:rPr>
      </w:pPr>
    </w:p>
    <w:p w14:paraId="6FEBB654" w14:textId="77777777" w:rsidR="004433D7" w:rsidRDefault="004433D7">
      <w:pPr>
        <w:spacing w:line="276" w:lineRule="auto"/>
        <w:rPr>
          <w:rFonts w:eastAsiaTheme="minorEastAsia"/>
          <w:b/>
          <w:color w:val="000000" w:themeColor="text1"/>
        </w:rPr>
      </w:pPr>
      <w:r>
        <w:rPr>
          <w:rFonts w:eastAsiaTheme="minorEastAsia"/>
          <w:b/>
          <w:color w:val="000000" w:themeColor="text1"/>
        </w:rPr>
        <w:br w:type="page"/>
      </w:r>
    </w:p>
    <w:p w14:paraId="0DFE68CC" w14:textId="4231147C" w:rsidR="00EE4D96" w:rsidRDefault="00EE4D96" w:rsidP="00EE4D96">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3</w:t>
      </w:r>
      <w:r w:rsidRPr="006B3AC6">
        <w:rPr>
          <w:rFonts w:eastAsiaTheme="minorEastAsia"/>
          <w:b/>
          <w:color w:val="000000" w:themeColor="text1"/>
        </w:rPr>
        <w:t xml:space="preserve">: </w:t>
      </w:r>
      <w:r>
        <w:rPr>
          <w:rFonts w:eastAsiaTheme="minorEastAsia"/>
          <w:b/>
          <w:color w:val="000000" w:themeColor="text1"/>
        </w:rPr>
        <w:t>RO mutualisation payments received</w:t>
      </w:r>
      <w:r w:rsidR="00F741F5">
        <w:rPr>
          <w:rStyle w:val="FootnoteReference"/>
          <w:rFonts w:eastAsiaTheme="minorEastAsia"/>
          <w:b/>
          <w:color w:val="000000" w:themeColor="text1"/>
        </w:rPr>
        <w:footnoteReference w:id="106"/>
      </w:r>
      <w:r>
        <w:rPr>
          <w:rFonts w:eastAsiaTheme="minorEastAsia"/>
          <w:b/>
          <w:color w:val="000000" w:themeColor="text1"/>
        </w:rPr>
        <w:t xml:space="preserve"> 2018-19</w:t>
      </w:r>
    </w:p>
    <w:tbl>
      <w:tblPr>
        <w:tblW w:w="10697" w:type="dxa"/>
        <w:tblInd w:w="-289" w:type="dxa"/>
        <w:tblLook w:val="04A0" w:firstRow="1" w:lastRow="0" w:firstColumn="1" w:lastColumn="0" w:noHBand="0" w:noVBand="1"/>
      </w:tblPr>
      <w:tblGrid>
        <w:gridCol w:w="1560"/>
        <w:gridCol w:w="1510"/>
        <w:gridCol w:w="1510"/>
        <w:gridCol w:w="1510"/>
        <w:gridCol w:w="1510"/>
        <w:gridCol w:w="1510"/>
        <w:gridCol w:w="1587"/>
      </w:tblGrid>
      <w:tr w:rsidR="004433D7" w:rsidRPr="004433D7" w14:paraId="45959AEB" w14:textId="77777777" w:rsidTr="00780608">
        <w:trPr>
          <w:trHeight w:val="420"/>
          <w:tblHeader/>
        </w:trPr>
        <w:tc>
          <w:tcPr>
            <w:tcW w:w="1560"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5A983390"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1BFEFDD9"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Amount due</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205D1BD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Q1</w:t>
            </w:r>
            <w:r w:rsidRPr="004433D7">
              <w:rPr>
                <w:rFonts w:eastAsia="Times New Roman" w:cs="Times New Roman"/>
                <w:color w:val="FFFFFF"/>
                <w:sz w:val="16"/>
                <w:szCs w:val="16"/>
              </w:rPr>
              <w:br/>
              <w:t>Payment received</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2F01CED0"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Q2</w:t>
            </w:r>
            <w:r w:rsidRPr="004433D7">
              <w:rPr>
                <w:rFonts w:eastAsia="Times New Roman" w:cs="Times New Roman"/>
                <w:color w:val="FFFFFF"/>
                <w:sz w:val="16"/>
                <w:szCs w:val="16"/>
              </w:rPr>
              <w:br/>
              <w:t>Payment received</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7367D4E1"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Q3</w:t>
            </w:r>
            <w:r w:rsidRPr="004433D7">
              <w:rPr>
                <w:rFonts w:eastAsia="Times New Roman" w:cs="Times New Roman"/>
                <w:color w:val="FFFFFF"/>
                <w:sz w:val="16"/>
                <w:szCs w:val="16"/>
              </w:rPr>
              <w:br/>
              <w:t>Payment received</w:t>
            </w:r>
          </w:p>
        </w:tc>
        <w:tc>
          <w:tcPr>
            <w:tcW w:w="1510" w:type="dxa"/>
            <w:tcBorders>
              <w:top w:val="single" w:sz="4" w:space="0" w:color="auto"/>
              <w:left w:val="nil"/>
              <w:bottom w:val="single" w:sz="4" w:space="0" w:color="auto"/>
              <w:right w:val="single" w:sz="4" w:space="0" w:color="auto"/>
            </w:tcBorders>
            <w:shd w:val="clear" w:color="auto" w:fill="2363AF"/>
            <w:vAlign w:val="center"/>
            <w:hideMark/>
          </w:tcPr>
          <w:p w14:paraId="715EBB5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Q4</w:t>
            </w:r>
            <w:r w:rsidRPr="004433D7">
              <w:rPr>
                <w:rFonts w:eastAsia="Times New Roman" w:cs="Times New Roman"/>
                <w:color w:val="FFFFFF"/>
                <w:sz w:val="16"/>
                <w:szCs w:val="16"/>
              </w:rPr>
              <w:br/>
              <w:t>Payment received</w:t>
            </w:r>
          </w:p>
        </w:tc>
        <w:tc>
          <w:tcPr>
            <w:tcW w:w="1587" w:type="dxa"/>
            <w:tcBorders>
              <w:top w:val="single" w:sz="4" w:space="0" w:color="auto"/>
              <w:left w:val="nil"/>
              <w:bottom w:val="single" w:sz="4" w:space="0" w:color="auto"/>
              <w:right w:val="single" w:sz="4" w:space="0" w:color="auto"/>
            </w:tcBorders>
            <w:shd w:val="clear" w:color="auto" w:fill="2363AF"/>
            <w:vAlign w:val="center"/>
            <w:hideMark/>
          </w:tcPr>
          <w:p w14:paraId="5A45DF55"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w:t>
            </w:r>
            <w:r w:rsidRPr="004433D7">
              <w:rPr>
                <w:rFonts w:eastAsia="Times New Roman" w:cs="Times New Roman"/>
                <w:color w:val="FFFFFF"/>
                <w:sz w:val="16"/>
                <w:szCs w:val="16"/>
              </w:rPr>
              <w:br/>
              <w:t>Total received</w:t>
            </w:r>
          </w:p>
        </w:tc>
      </w:tr>
      <w:tr w:rsidR="004433D7" w:rsidRPr="004433D7" w14:paraId="299A0DE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64F77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Affect Energy Ltd</w:t>
            </w:r>
          </w:p>
        </w:tc>
        <w:tc>
          <w:tcPr>
            <w:tcW w:w="1510" w:type="dxa"/>
            <w:tcBorders>
              <w:top w:val="nil"/>
              <w:left w:val="nil"/>
              <w:bottom w:val="single" w:sz="4" w:space="0" w:color="auto"/>
              <w:right w:val="single" w:sz="4" w:space="0" w:color="auto"/>
            </w:tcBorders>
            <w:shd w:val="clear" w:color="auto" w:fill="auto"/>
            <w:noWrap/>
            <w:vAlign w:val="center"/>
            <w:hideMark/>
          </w:tcPr>
          <w:p w14:paraId="1775B4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£39,139.33</w:t>
            </w:r>
          </w:p>
        </w:tc>
        <w:tc>
          <w:tcPr>
            <w:tcW w:w="1510" w:type="dxa"/>
            <w:tcBorders>
              <w:top w:val="nil"/>
              <w:left w:val="nil"/>
              <w:bottom w:val="single" w:sz="4" w:space="0" w:color="auto"/>
              <w:right w:val="single" w:sz="4" w:space="0" w:color="auto"/>
            </w:tcBorders>
            <w:shd w:val="clear" w:color="auto" w:fill="auto"/>
            <w:noWrap/>
            <w:vAlign w:val="center"/>
            <w:hideMark/>
          </w:tcPr>
          <w:p w14:paraId="199DFF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£9,784.83</w:t>
            </w:r>
          </w:p>
        </w:tc>
        <w:tc>
          <w:tcPr>
            <w:tcW w:w="1510" w:type="dxa"/>
            <w:tcBorders>
              <w:top w:val="nil"/>
              <w:left w:val="nil"/>
              <w:bottom w:val="single" w:sz="4" w:space="0" w:color="auto"/>
              <w:right w:val="single" w:sz="4" w:space="0" w:color="auto"/>
            </w:tcBorders>
            <w:shd w:val="clear" w:color="auto" w:fill="auto"/>
            <w:noWrap/>
            <w:vAlign w:val="center"/>
            <w:hideMark/>
          </w:tcPr>
          <w:p w14:paraId="5D5D4B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£9,784.83</w:t>
            </w:r>
          </w:p>
        </w:tc>
        <w:tc>
          <w:tcPr>
            <w:tcW w:w="1510" w:type="dxa"/>
            <w:tcBorders>
              <w:top w:val="nil"/>
              <w:left w:val="nil"/>
              <w:bottom w:val="single" w:sz="4" w:space="0" w:color="auto"/>
              <w:right w:val="single" w:sz="4" w:space="0" w:color="auto"/>
            </w:tcBorders>
            <w:shd w:val="clear" w:color="auto" w:fill="auto"/>
            <w:noWrap/>
            <w:vAlign w:val="center"/>
            <w:hideMark/>
          </w:tcPr>
          <w:p w14:paraId="5F3292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£9,784.83</w:t>
            </w:r>
          </w:p>
        </w:tc>
        <w:tc>
          <w:tcPr>
            <w:tcW w:w="1510" w:type="dxa"/>
            <w:tcBorders>
              <w:top w:val="nil"/>
              <w:left w:val="nil"/>
              <w:bottom w:val="single" w:sz="4" w:space="0" w:color="auto"/>
              <w:right w:val="single" w:sz="4" w:space="0" w:color="auto"/>
            </w:tcBorders>
            <w:shd w:val="clear" w:color="auto" w:fill="auto"/>
            <w:noWrap/>
            <w:vAlign w:val="center"/>
            <w:hideMark/>
          </w:tcPr>
          <w:p w14:paraId="32388D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£9,784.83</w:t>
            </w:r>
          </w:p>
        </w:tc>
        <w:tc>
          <w:tcPr>
            <w:tcW w:w="1587" w:type="dxa"/>
            <w:tcBorders>
              <w:top w:val="nil"/>
              <w:left w:val="nil"/>
              <w:bottom w:val="single" w:sz="4" w:space="0" w:color="auto"/>
              <w:right w:val="single" w:sz="4" w:space="0" w:color="auto"/>
            </w:tcBorders>
            <w:shd w:val="clear" w:color="auto" w:fill="auto"/>
            <w:noWrap/>
            <w:vAlign w:val="center"/>
            <w:hideMark/>
          </w:tcPr>
          <w:p w14:paraId="3EA060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£39,139.32</w:t>
            </w:r>
          </w:p>
        </w:tc>
      </w:tr>
      <w:tr w:rsidR="004433D7" w:rsidRPr="004433D7" w14:paraId="40573E6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6146B2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Ampoweruk</w:t>
            </w:r>
            <w:proofErr w:type="spellEnd"/>
            <w:r w:rsidRPr="004433D7">
              <w:rPr>
                <w:rFonts w:eastAsia="Times New Roman" w:cs="Times New Roman"/>
                <w:color w:val="000000"/>
                <w:sz w:val="16"/>
                <w:szCs w:val="16"/>
              </w:rPr>
              <w:t xml:space="preserve"> Ltd</w:t>
            </w:r>
          </w:p>
        </w:tc>
        <w:tc>
          <w:tcPr>
            <w:tcW w:w="1510" w:type="dxa"/>
            <w:tcBorders>
              <w:top w:val="nil"/>
              <w:left w:val="nil"/>
              <w:bottom w:val="single" w:sz="4" w:space="0" w:color="auto"/>
              <w:right w:val="single" w:sz="4" w:space="0" w:color="auto"/>
            </w:tcBorders>
            <w:shd w:val="clear" w:color="auto" w:fill="auto"/>
            <w:noWrap/>
            <w:vAlign w:val="center"/>
            <w:hideMark/>
          </w:tcPr>
          <w:p w14:paraId="285E8F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£11,054.43</w:t>
            </w:r>
          </w:p>
        </w:tc>
        <w:tc>
          <w:tcPr>
            <w:tcW w:w="1510" w:type="dxa"/>
            <w:tcBorders>
              <w:top w:val="nil"/>
              <w:left w:val="nil"/>
              <w:bottom w:val="single" w:sz="4" w:space="0" w:color="auto"/>
              <w:right w:val="single" w:sz="4" w:space="0" w:color="auto"/>
            </w:tcBorders>
            <w:shd w:val="clear" w:color="auto" w:fill="auto"/>
            <w:noWrap/>
            <w:vAlign w:val="center"/>
            <w:hideMark/>
          </w:tcPr>
          <w:p w14:paraId="4EB048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£2,763.61</w:t>
            </w:r>
          </w:p>
        </w:tc>
        <w:tc>
          <w:tcPr>
            <w:tcW w:w="1510" w:type="dxa"/>
            <w:tcBorders>
              <w:top w:val="nil"/>
              <w:left w:val="nil"/>
              <w:bottom w:val="single" w:sz="4" w:space="0" w:color="auto"/>
              <w:right w:val="single" w:sz="4" w:space="0" w:color="auto"/>
            </w:tcBorders>
            <w:shd w:val="clear" w:color="auto" w:fill="auto"/>
            <w:noWrap/>
            <w:vAlign w:val="center"/>
            <w:hideMark/>
          </w:tcPr>
          <w:p w14:paraId="5BC7CD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£2,763.61</w:t>
            </w:r>
          </w:p>
        </w:tc>
        <w:tc>
          <w:tcPr>
            <w:tcW w:w="1510" w:type="dxa"/>
            <w:tcBorders>
              <w:top w:val="nil"/>
              <w:left w:val="nil"/>
              <w:bottom w:val="single" w:sz="4" w:space="0" w:color="auto"/>
              <w:right w:val="single" w:sz="4" w:space="0" w:color="auto"/>
            </w:tcBorders>
            <w:shd w:val="clear" w:color="auto" w:fill="auto"/>
            <w:noWrap/>
            <w:vAlign w:val="center"/>
            <w:hideMark/>
          </w:tcPr>
          <w:p w14:paraId="1B1D87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£2,763.61</w:t>
            </w:r>
          </w:p>
        </w:tc>
        <w:tc>
          <w:tcPr>
            <w:tcW w:w="1510" w:type="dxa"/>
            <w:tcBorders>
              <w:top w:val="nil"/>
              <w:left w:val="nil"/>
              <w:bottom w:val="single" w:sz="4" w:space="0" w:color="auto"/>
              <w:right w:val="single" w:sz="4" w:space="0" w:color="auto"/>
            </w:tcBorders>
            <w:shd w:val="clear" w:color="auto" w:fill="auto"/>
            <w:noWrap/>
            <w:vAlign w:val="center"/>
            <w:hideMark/>
          </w:tcPr>
          <w:p w14:paraId="56E528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£2,763.61</w:t>
            </w:r>
          </w:p>
        </w:tc>
        <w:tc>
          <w:tcPr>
            <w:tcW w:w="1587" w:type="dxa"/>
            <w:tcBorders>
              <w:top w:val="nil"/>
              <w:left w:val="nil"/>
              <w:bottom w:val="single" w:sz="4" w:space="0" w:color="auto"/>
              <w:right w:val="single" w:sz="4" w:space="0" w:color="auto"/>
            </w:tcBorders>
            <w:shd w:val="clear" w:color="auto" w:fill="auto"/>
            <w:noWrap/>
            <w:vAlign w:val="center"/>
            <w:hideMark/>
          </w:tcPr>
          <w:p w14:paraId="305823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£11,054.44</w:t>
            </w:r>
          </w:p>
        </w:tc>
      </w:tr>
      <w:tr w:rsidR="004433D7" w:rsidRPr="004433D7" w14:paraId="5E0F55B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0262F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Avid Energy Limited </w:t>
            </w:r>
          </w:p>
        </w:tc>
        <w:tc>
          <w:tcPr>
            <w:tcW w:w="1510" w:type="dxa"/>
            <w:tcBorders>
              <w:top w:val="nil"/>
              <w:left w:val="nil"/>
              <w:bottom w:val="single" w:sz="4" w:space="0" w:color="auto"/>
              <w:right w:val="single" w:sz="4" w:space="0" w:color="auto"/>
            </w:tcBorders>
            <w:shd w:val="clear" w:color="auto" w:fill="auto"/>
            <w:noWrap/>
            <w:vAlign w:val="center"/>
            <w:hideMark/>
          </w:tcPr>
          <w:p w14:paraId="6C9A89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£8,226.37</w:t>
            </w:r>
          </w:p>
        </w:tc>
        <w:tc>
          <w:tcPr>
            <w:tcW w:w="1510" w:type="dxa"/>
            <w:tcBorders>
              <w:top w:val="nil"/>
              <w:left w:val="nil"/>
              <w:bottom w:val="single" w:sz="4" w:space="0" w:color="auto"/>
              <w:right w:val="single" w:sz="4" w:space="0" w:color="auto"/>
            </w:tcBorders>
            <w:shd w:val="clear" w:color="auto" w:fill="auto"/>
            <w:noWrap/>
            <w:vAlign w:val="center"/>
            <w:hideMark/>
          </w:tcPr>
          <w:p w14:paraId="7FA348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£8,226.37</w:t>
            </w:r>
          </w:p>
        </w:tc>
        <w:tc>
          <w:tcPr>
            <w:tcW w:w="1510" w:type="dxa"/>
            <w:tcBorders>
              <w:top w:val="nil"/>
              <w:left w:val="nil"/>
              <w:bottom w:val="single" w:sz="4" w:space="0" w:color="auto"/>
              <w:right w:val="single" w:sz="4" w:space="0" w:color="auto"/>
            </w:tcBorders>
            <w:shd w:val="clear" w:color="auto" w:fill="auto"/>
            <w:noWrap/>
            <w:vAlign w:val="center"/>
            <w:hideMark/>
          </w:tcPr>
          <w:p w14:paraId="361837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A1587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70407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0A6E7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£8,226.37</w:t>
            </w:r>
          </w:p>
        </w:tc>
      </w:tr>
      <w:tr w:rsidR="004433D7" w:rsidRPr="004433D7" w14:paraId="371EB66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58EAE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Avro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2737B4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£350,013.75</w:t>
            </w:r>
          </w:p>
        </w:tc>
        <w:tc>
          <w:tcPr>
            <w:tcW w:w="1510" w:type="dxa"/>
            <w:tcBorders>
              <w:top w:val="nil"/>
              <w:left w:val="nil"/>
              <w:bottom w:val="single" w:sz="4" w:space="0" w:color="auto"/>
              <w:right w:val="single" w:sz="4" w:space="0" w:color="auto"/>
            </w:tcBorders>
            <w:shd w:val="clear" w:color="auto" w:fill="auto"/>
            <w:noWrap/>
            <w:vAlign w:val="center"/>
            <w:hideMark/>
          </w:tcPr>
          <w:p w14:paraId="1F248C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£87,503.44</w:t>
            </w:r>
          </w:p>
        </w:tc>
        <w:tc>
          <w:tcPr>
            <w:tcW w:w="1510" w:type="dxa"/>
            <w:tcBorders>
              <w:top w:val="nil"/>
              <w:left w:val="nil"/>
              <w:bottom w:val="single" w:sz="4" w:space="0" w:color="auto"/>
              <w:right w:val="single" w:sz="4" w:space="0" w:color="auto"/>
            </w:tcBorders>
            <w:shd w:val="clear" w:color="auto" w:fill="auto"/>
            <w:noWrap/>
            <w:vAlign w:val="center"/>
            <w:hideMark/>
          </w:tcPr>
          <w:p w14:paraId="583DC1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£87,503.44</w:t>
            </w:r>
          </w:p>
        </w:tc>
        <w:tc>
          <w:tcPr>
            <w:tcW w:w="1510" w:type="dxa"/>
            <w:tcBorders>
              <w:top w:val="nil"/>
              <w:left w:val="nil"/>
              <w:bottom w:val="single" w:sz="4" w:space="0" w:color="auto"/>
              <w:right w:val="single" w:sz="4" w:space="0" w:color="auto"/>
            </w:tcBorders>
            <w:shd w:val="clear" w:color="auto" w:fill="auto"/>
            <w:noWrap/>
            <w:vAlign w:val="center"/>
            <w:hideMark/>
          </w:tcPr>
          <w:p w14:paraId="543227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£87,503.44</w:t>
            </w:r>
          </w:p>
        </w:tc>
        <w:tc>
          <w:tcPr>
            <w:tcW w:w="1510" w:type="dxa"/>
            <w:tcBorders>
              <w:top w:val="nil"/>
              <w:left w:val="nil"/>
              <w:bottom w:val="single" w:sz="4" w:space="0" w:color="auto"/>
              <w:right w:val="single" w:sz="4" w:space="0" w:color="auto"/>
            </w:tcBorders>
            <w:shd w:val="clear" w:color="auto" w:fill="auto"/>
            <w:noWrap/>
            <w:vAlign w:val="center"/>
            <w:hideMark/>
          </w:tcPr>
          <w:p w14:paraId="232AB5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£87,503.44</w:t>
            </w:r>
          </w:p>
        </w:tc>
        <w:tc>
          <w:tcPr>
            <w:tcW w:w="1587" w:type="dxa"/>
            <w:tcBorders>
              <w:top w:val="nil"/>
              <w:left w:val="nil"/>
              <w:bottom w:val="single" w:sz="4" w:space="0" w:color="auto"/>
              <w:right w:val="single" w:sz="4" w:space="0" w:color="auto"/>
            </w:tcBorders>
            <w:shd w:val="clear" w:color="auto" w:fill="auto"/>
            <w:noWrap/>
            <w:vAlign w:val="center"/>
            <w:hideMark/>
          </w:tcPr>
          <w:p w14:paraId="388A92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£350,013.76</w:t>
            </w:r>
          </w:p>
        </w:tc>
      </w:tr>
      <w:tr w:rsidR="004433D7" w:rsidRPr="004433D7" w14:paraId="476D0A1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498B5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Axis Telecom Limited</w:t>
            </w:r>
          </w:p>
        </w:tc>
        <w:tc>
          <w:tcPr>
            <w:tcW w:w="1510" w:type="dxa"/>
            <w:tcBorders>
              <w:top w:val="nil"/>
              <w:left w:val="nil"/>
              <w:bottom w:val="single" w:sz="4" w:space="0" w:color="auto"/>
              <w:right w:val="single" w:sz="4" w:space="0" w:color="auto"/>
            </w:tcBorders>
            <w:shd w:val="clear" w:color="auto" w:fill="auto"/>
            <w:noWrap/>
            <w:vAlign w:val="center"/>
            <w:hideMark/>
          </w:tcPr>
          <w:p w14:paraId="1072E8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£9,124.80</w:t>
            </w:r>
          </w:p>
        </w:tc>
        <w:tc>
          <w:tcPr>
            <w:tcW w:w="1510" w:type="dxa"/>
            <w:tcBorders>
              <w:top w:val="nil"/>
              <w:left w:val="nil"/>
              <w:bottom w:val="single" w:sz="4" w:space="0" w:color="auto"/>
              <w:right w:val="single" w:sz="4" w:space="0" w:color="auto"/>
            </w:tcBorders>
            <w:shd w:val="clear" w:color="auto" w:fill="auto"/>
            <w:noWrap/>
            <w:vAlign w:val="center"/>
            <w:hideMark/>
          </w:tcPr>
          <w:p w14:paraId="234FB3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£9,124.80</w:t>
            </w:r>
          </w:p>
        </w:tc>
        <w:tc>
          <w:tcPr>
            <w:tcW w:w="1510" w:type="dxa"/>
            <w:tcBorders>
              <w:top w:val="nil"/>
              <w:left w:val="nil"/>
              <w:bottom w:val="single" w:sz="4" w:space="0" w:color="auto"/>
              <w:right w:val="single" w:sz="4" w:space="0" w:color="auto"/>
            </w:tcBorders>
            <w:shd w:val="clear" w:color="auto" w:fill="auto"/>
            <w:noWrap/>
            <w:vAlign w:val="center"/>
            <w:hideMark/>
          </w:tcPr>
          <w:p w14:paraId="43A606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34B7D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22AC6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0E0A97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£9,124.80</w:t>
            </w:r>
          </w:p>
        </w:tc>
      </w:tr>
      <w:tr w:rsidR="004433D7" w:rsidRPr="004433D7" w14:paraId="7563AE1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286C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510" w:type="dxa"/>
            <w:tcBorders>
              <w:top w:val="nil"/>
              <w:left w:val="nil"/>
              <w:bottom w:val="single" w:sz="4" w:space="0" w:color="auto"/>
              <w:right w:val="single" w:sz="4" w:space="0" w:color="auto"/>
            </w:tcBorders>
            <w:shd w:val="clear" w:color="auto" w:fill="auto"/>
            <w:noWrap/>
            <w:vAlign w:val="center"/>
            <w:hideMark/>
          </w:tcPr>
          <w:p w14:paraId="52E565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£260,844.50</w:t>
            </w:r>
          </w:p>
        </w:tc>
        <w:tc>
          <w:tcPr>
            <w:tcW w:w="1510" w:type="dxa"/>
            <w:tcBorders>
              <w:top w:val="nil"/>
              <w:left w:val="nil"/>
              <w:bottom w:val="single" w:sz="4" w:space="0" w:color="auto"/>
              <w:right w:val="single" w:sz="4" w:space="0" w:color="auto"/>
            </w:tcBorders>
            <w:shd w:val="clear" w:color="auto" w:fill="auto"/>
            <w:noWrap/>
            <w:vAlign w:val="center"/>
            <w:hideMark/>
          </w:tcPr>
          <w:p w14:paraId="45628C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£65,211.12</w:t>
            </w:r>
          </w:p>
        </w:tc>
        <w:tc>
          <w:tcPr>
            <w:tcW w:w="1510" w:type="dxa"/>
            <w:tcBorders>
              <w:top w:val="nil"/>
              <w:left w:val="nil"/>
              <w:bottom w:val="single" w:sz="4" w:space="0" w:color="auto"/>
              <w:right w:val="single" w:sz="4" w:space="0" w:color="auto"/>
            </w:tcBorders>
            <w:shd w:val="clear" w:color="auto" w:fill="auto"/>
            <w:noWrap/>
            <w:vAlign w:val="center"/>
            <w:hideMark/>
          </w:tcPr>
          <w:p w14:paraId="70C234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£65,211.12</w:t>
            </w:r>
          </w:p>
        </w:tc>
        <w:tc>
          <w:tcPr>
            <w:tcW w:w="1510" w:type="dxa"/>
            <w:tcBorders>
              <w:top w:val="nil"/>
              <w:left w:val="nil"/>
              <w:bottom w:val="single" w:sz="4" w:space="0" w:color="auto"/>
              <w:right w:val="single" w:sz="4" w:space="0" w:color="auto"/>
            </w:tcBorders>
            <w:shd w:val="clear" w:color="auto" w:fill="auto"/>
            <w:noWrap/>
            <w:vAlign w:val="center"/>
            <w:hideMark/>
          </w:tcPr>
          <w:p w14:paraId="6568D4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£65,211.12</w:t>
            </w:r>
          </w:p>
        </w:tc>
        <w:tc>
          <w:tcPr>
            <w:tcW w:w="1510" w:type="dxa"/>
            <w:tcBorders>
              <w:top w:val="nil"/>
              <w:left w:val="nil"/>
              <w:bottom w:val="single" w:sz="4" w:space="0" w:color="auto"/>
              <w:right w:val="single" w:sz="4" w:space="0" w:color="auto"/>
            </w:tcBorders>
            <w:shd w:val="clear" w:color="auto" w:fill="auto"/>
            <w:noWrap/>
            <w:vAlign w:val="center"/>
            <w:hideMark/>
          </w:tcPr>
          <w:p w14:paraId="01B218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£65,211.12</w:t>
            </w:r>
          </w:p>
        </w:tc>
        <w:tc>
          <w:tcPr>
            <w:tcW w:w="1587" w:type="dxa"/>
            <w:tcBorders>
              <w:top w:val="nil"/>
              <w:left w:val="nil"/>
              <w:bottom w:val="single" w:sz="4" w:space="0" w:color="auto"/>
              <w:right w:val="single" w:sz="4" w:space="0" w:color="auto"/>
            </w:tcBorders>
            <w:shd w:val="clear" w:color="auto" w:fill="auto"/>
            <w:noWrap/>
            <w:vAlign w:val="center"/>
            <w:hideMark/>
          </w:tcPr>
          <w:p w14:paraId="287040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£260,844.48</w:t>
            </w:r>
          </w:p>
        </w:tc>
      </w:tr>
      <w:tr w:rsidR="004433D7" w:rsidRPr="004433D7" w14:paraId="44D08B0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C1BD20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510" w:type="dxa"/>
            <w:tcBorders>
              <w:top w:val="nil"/>
              <w:left w:val="nil"/>
              <w:bottom w:val="single" w:sz="4" w:space="0" w:color="auto"/>
              <w:right w:val="single" w:sz="4" w:space="0" w:color="auto"/>
            </w:tcBorders>
            <w:shd w:val="clear" w:color="auto" w:fill="auto"/>
            <w:noWrap/>
            <w:vAlign w:val="center"/>
            <w:hideMark/>
          </w:tcPr>
          <w:p w14:paraId="225506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£154,789.21</w:t>
            </w:r>
          </w:p>
        </w:tc>
        <w:tc>
          <w:tcPr>
            <w:tcW w:w="1510" w:type="dxa"/>
            <w:tcBorders>
              <w:top w:val="nil"/>
              <w:left w:val="nil"/>
              <w:bottom w:val="single" w:sz="4" w:space="0" w:color="auto"/>
              <w:right w:val="single" w:sz="4" w:space="0" w:color="auto"/>
            </w:tcBorders>
            <w:shd w:val="clear" w:color="auto" w:fill="auto"/>
            <w:noWrap/>
            <w:vAlign w:val="center"/>
            <w:hideMark/>
          </w:tcPr>
          <w:p w14:paraId="32DE79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£38,697.30</w:t>
            </w:r>
          </w:p>
        </w:tc>
        <w:tc>
          <w:tcPr>
            <w:tcW w:w="1510" w:type="dxa"/>
            <w:tcBorders>
              <w:top w:val="nil"/>
              <w:left w:val="nil"/>
              <w:bottom w:val="single" w:sz="4" w:space="0" w:color="auto"/>
              <w:right w:val="single" w:sz="4" w:space="0" w:color="auto"/>
            </w:tcBorders>
            <w:shd w:val="clear" w:color="auto" w:fill="auto"/>
            <w:noWrap/>
            <w:vAlign w:val="center"/>
            <w:hideMark/>
          </w:tcPr>
          <w:p w14:paraId="1BF96D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£38,697.30</w:t>
            </w:r>
          </w:p>
        </w:tc>
        <w:tc>
          <w:tcPr>
            <w:tcW w:w="1510" w:type="dxa"/>
            <w:tcBorders>
              <w:top w:val="nil"/>
              <w:left w:val="nil"/>
              <w:bottom w:val="single" w:sz="4" w:space="0" w:color="auto"/>
              <w:right w:val="single" w:sz="4" w:space="0" w:color="auto"/>
            </w:tcBorders>
            <w:shd w:val="clear" w:color="auto" w:fill="auto"/>
            <w:noWrap/>
            <w:vAlign w:val="center"/>
            <w:hideMark/>
          </w:tcPr>
          <w:p w14:paraId="4AE1AB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£38,697.30</w:t>
            </w:r>
          </w:p>
        </w:tc>
        <w:tc>
          <w:tcPr>
            <w:tcW w:w="1510" w:type="dxa"/>
            <w:tcBorders>
              <w:top w:val="nil"/>
              <w:left w:val="nil"/>
              <w:bottom w:val="single" w:sz="4" w:space="0" w:color="auto"/>
              <w:right w:val="single" w:sz="4" w:space="0" w:color="auto"/>
            </w:tcBorders>
            <w:shd w:val="clear" w:color="auto" w:fill="auto"/>
            <w:noWrap/>
            <w:vAlign w:val="center"/>
            <w:hideMark/>
          </w:tcPr>
          <w:p w14:paraId="4E7F6F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£38,697.30</w:t>
            </w:r>
          </w:p>
        </w:tc>
        <w:tc>
          <w:tcPr>
            <w:tcW w:w="1587" w:type="dxa"/>
            <w:tcBorders>
              <w:top w:val="nil"/>
              <w:left w:val="nil"/>
              <w:bottom w:val="single" w:sz="4" w:space="0" w:color="auto"/>
              <w:right w:val="single" w:sz="4" w:space="0" w:color="auto"/>
            </w:tcBorders>
            <w:shd w:val="clear" w:color="auto" w:fill="auto"/>
            <w:noWrap/>
            <w:vAlign w:val="center"/>
            <w:hideMark/>
          </w:tcPr>
          <w:p w14:paraId="09DED6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£154,789.20</w:t>
            </w:r>
          </w:p>
        </w:tc>
      </w:tr>
      <w:tr w:rsidR="004433D7" w:rsidRPr="004433D7" w14:paraId="6390249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F71C4A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Breeze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1A9267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£32,351.84</w:t>
            </w:r>
          </w:p>
        </w:tc>
        <w:tc>
          <w:tcPr>
            <w:tcW w:w="1510" w:type="dxa"/>
            <w:tcBorders>
              <w:top w:val="nil"/>
              <w:left w:val="nil"/>
              <w:bottom w:val="single" w:sz="4" w:space="0" w:color="auto"/>
              <w:right w:val="single" w:sz="4" w:space="0" w:color="auto"/>
            </w:tcBorders>
            <w:shd w:val="clear" w:color="auto" w:fill="auto"/>
            <w:noWrap/>
            <w:vAlign w:val="center"/>
            <w:hideMark/>
          </w:tcPr>
          <w:p w14:paraId="7DA041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7F7C3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716F3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6800E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09B0ED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330B7C52"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D89A1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2F9C00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£104,538.76</w:t>
            </w:r>
          </w:p>
        </w:tc>
        <w:tc>
          <w:tcPr>
            <w:tcW w:w="1510" w:type="dxa"/>
            <w:tcBorders>
              <w:top w:val="nil"/>
              <w:left w:val="nil"/>
              <w:bottom w:val="single" w:sz="4" w:space="0" w:color="auto"/>
              <w:right w:val="single" w:sz="4" w:space="0" w:color="auto"/>
            </w:tcBorders>
            <w:shd w:val="clear" w:color="auto" w:fill="auto"/>
            <w:noWrap/>
            <w:vAlign w:val="center"/>
            <w:hideMark/>
          </w:tcPr>
          <w:p w14:paraId="0ED2E0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£26,134.69</w:t>
            </w:r>
          </w:p>
        </w:tc>
        <w:tc>
          <w:tcPr>
            <w:tcW w:w="1510" w:type="dxa"/>
            <w:tcBorders>
              <w:top w:val="nil"/>
              <w:left w:val="nil"/>
              <w:bottom w:val="single" w:sz="4" w:space="0" w:color="auto"/>
              <w:right w:val="single" w:sz="4" w:space="0" w:color="auto"/>
            </w:tcBorders>
            <w:shd w:val="clear" w:color="auto" w:fill="auto"/>
            <w:noWrap/>
            <w:vAlign w:val="center"/>
            <w:hideMark/>
          </w:tcPr>
          <w:p w14:paraId="4AE8B3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£26,134.69</w:t>
            </w:r>
          </w:p>
        </w:tc>
        <w:tc>
          <w:tcPr>
            <w:tcW w:w="1510" w:type="dxa"/>
            <w:tcBorders>
              <w:top w:val="nil"/>
              <w:left w:val="nil"/>
              <w:bottom w:val="single" w:sz="4" w:space="0" w:color="auto"/>
              <w:right w:val="single" w:sz="4" w:space="0" w:color="auto"/>
            </w:tcBorders>
            <w:shd w:val="clear" w:color="auto" w:fill="auto"/>
            <w:noWrap/>
            <w:vAlign w:val="center"/>
            <w:hideMark/>
          </w:tcPr>
          <w:p w14:paraId="5C4A4C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£26,134.69</w:t>
            </w:r>
          </w:p>
        </w:tc>
        <w:tc>
          <w:tcPr>
            <w:tcW w:w="1510" w:type="dxa"/>
            <w:tcBorders>
              <w:top w:val="nil"/>
              <w:left w:val="nil"/>
              <w:bottom w:val="single" w:sz="4" w:space="0" w:color="auto"/>
              <w:right w:val="single" w:sz="4" w:space="0" w:color="auto"/>
            </w:tcBorders>
            <w:shd w:val="clear" w:color="auto" w:fill="auto"/>
            <w:noWrap/>
            <w:vAlign w:val="center"/>
            <w:hideMark/>
          </w:tcPr>
          <w:p w14:paraId="295681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£26,134.69</w:t>
            </w:r>
          </w:p>
        </w:tc>
        <w:tc>
          <w:tcPr>
            <w:tcW w:w="1587" w:type="dxa"/>
            <w:tcBorders>
              <w:top w:val="nil"/>
              <w:left w:val="nil"/>
              <w:bottom w:val="single" w:sz="4" w:space="0" w:color="auto"/>
              <w:right w:val="single" w:sz="4" w:space="0" w:color="auto"/>
            </w:tcBorders>
            <w:shd w:val="clear" w:color="auto" w:fill="auto"/>
            <w:noWrap/>
            <w:vAlign w:val="center"/>
            <w:hideMark/>
          </w:tcPr>
          <w:p w14:paraId="76B5AF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£104,538.76</w:t>
            </w:r>
          </w:p>
        </w:tc>
      </w:tr>
      <w:tr w:rsidR="004433D7" w:rsidRPr="004433D7" w14:paraId="6B8BB0F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AD23A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510" w:type="dxa"/>
            <w:tcBorders>
              <w:top w:val="nil"/>
              <w:left w:val="nil"/>
              <w:bottom w:val="single" w:sz="4" w:space="0" w:color="auto"/>
              <w:right w:val="single" w:sz="4" w:space="0" w:color="auto"/>
            </w:tcBorders>
            <w:shd w:val="clear" w:color="auto" w:fill="auto"/>
            <w:noWrap/>
            <w:vAlign w:val="center"/>
            <w:hideMark/>
          </w:tcPr>
          <w:p w14:paraId="3F3D19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£9,371,472.15</w:t>
            </w:r>
          </w:p>
        </w:tc>
        <w:tc>
          <w:tcPr>
            <w:tcW w:w="1510" w:type="dxa"/>
            <w:tcBorders>
              <w:top w:val="nil"/>
              <w:left w:val="nil"/>
              <w:bottom w:val="single" w:sz="4" w:space="0" w:color="auto"/>
              <w:right w:val="single" w:sz="4" w:space="0" w:color="auto"/>
            </w:tcBorders>
            <w:shd w:val="clear" w:color="auto" w:fill="auto"/>
            <w:noWrap/>
            <w:vAlign w:val="center"/>
            <w:hideMark/>
          </w:tcPr>
          <w:p w14:paraId="2615A0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£2,342,868.04</w:t>
            </w:r>
          </w:p>
        </w:tc>
        <w:tc>
          <w:tcPr>
            <w:tcW w:w="1510" w:type="dxa"/>
            <w:tcBorders>
              <w:top w:val="nil"/>
              <w:left w:val="nil"/>
              <w:bottom w:val="single" w:sz="4" w:space="0" w:color="auto"/>
              <w:right w:val="single" w:sz="4" w:space="0" w:color="auto"/>
            </w:tcBorders>
            <w:shd w:val="clear" w:color="auto" w:fill="auto"/>
            <w:noWrap/>
            <w:vAlign w:val="center"/>
            <w:hideMark/>
          </w:tcPr>
          <w:p w14:paraId="26C5D1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£2,342,868.04</w:t>
            </w:r>
          </w:p>
        </w:tc>
        <w:tc>
          <w:tcPr>
            <w:tcW w:w="1510" w:type="dxa"/>
            <w:tcBorders>
              <w:top w:val="nil"/>
              <w:left w:val="nil"/>
              <w:bottom w:val="single" w:sz="4" w:space="0" w:color="auto"/>
              <w:right w:val="single" w:sz="4" w:space="0" w:color="auto"/>
            </w:tcBorders>
            <w:shd w:val="clear" w:color="auto" w:fill="auto"/>
            <w:noWrap/>
            <w:vAlign w:val="center"/>
            <w:hideMark/>
          </w:tcPr>
          <w:p w14:paraId="0DFB5D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£2,342,868.04</w:t>
            </w:r>
          </w:p>
        </w:tc>
        <w:tc>
          <w:tcPr>
            <w:tcW w:w="1510" w:type="dxa"/>
            <w:tcBorders>
              <w:top w:val="nil"/>
              <w:left w:val="nil"/>
              <w:bottom w:val="single" w:sz="4" w:space="0" w:color="auto"/>
              <w:right w:val="single" w:sz="4" w:space="0" w:color="auto"/>
            </w:tcBorders>
            <w:shd w:val="clear" w:color="auto" w:fill="auto"/>
            <w:noWrap/>
            <w:vAlign w:val="center"/>
            <w:hideMark/>
          </w:tcPr>
          <w:p w14:paraId="7F2F78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£2,342,868.04</w:t>
            </w:r>
          </w:p>
        </w:tc>
        <w:tc>
          <w:tcPr>
            <w:tcW w:w="1587" w:type="dxa"/>
            <w:tcBorders>
              <w:top w:val="nil"/>
              <w:left w:val="nil"/>
              <w:bottom w:val="single" w:sz="4" w:space="0" w:color="auto"/>
              <w:right w:val="single" w:sz="4" w:space="0" w:color="auto"/>
            </w:tcBorders>
            <w:shd w:val="clear" w:color="auto" w:fill="auto"/>
            <w:noWrap/>
            <w:vAlign w:val="center"/>
            <w:hideMark/>
          </w:tcPr>
          <w:p w14:paraId="5B1C66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£9,371,472.16</w:t>
            </w:r>
          </w:p>
        </w:tc>
      </w:tr>
      <w:tr w:rsidR="004433D7" w:rsidRPr="004433D7" w14:paraId="2AF27DE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911D0E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510" w:type="dxa"/>
            <w:tcBorders>
              <w:top w:val="nil"/>
              <w:left w:val="nil"/>
              <w:bottom w:val="single" w:sz="4" w:space="0" w:color="auto"/>
              <w:right w:val="single" w:sz="4" w:space="0" w:color="auto"/>
            </w:tcBorders>
            <w:shd w:val="clear" w:color="auto" w:fill="auto"/>
            <w:noWrap/>
            <w:vAlign w:val="center"/>
            <w:hideMark/>
          </w:tcPr>
          <w:p w14:paraId="6B87CC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£165,837.43</w:t>
            </w:r>
          </w:p>
        </w:tc>
        <w:tc>
          <w:tcPr>
            <w:tcW w:w="1510" w:type="dxa"/>
            <w:tcBorders>
              <w:top w:val="nil"/>
              <w:left w:val="nil"/>
              <w:bottom w:val="single" w:sz="4" w:space="0" w:color="auto"/>
              <w:right w:val="single" w:sz="4" w:space="0" w:color="auto"/>
            </w:tcBorders>
            <w:shd w:val="clear" w:color="auto" w:fill="auto"/>
            <w:noWrap/>
            <w:vAlign w:val="center"/>
            <w:hideMark/>
          </w:tcPr>
          <w:p w14:paraId="53AE56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£41,459.36</w:t>
            </w:r>
          </w:p>
        </w:tc>
        <w:tc>
          <w:tcPr>
            <w:tcW w:w="1510" w:type="dxa"/>
            <w:tcBorders>
              <w:top w:val="nil"/>
              <w:left w:val="nil"/>
              <w:bottom w:val="single" w:sz="4" w:space="0" w:color="auto"/>
              <w:right w:val="single" w:sz="4" w:space="0" w:color="auto"/>
            </w:tcBorders>
            <w:shd w:val="clear" w:color="auto" w:fill="auto"/>
            <w:noWrap/>
            <w:vAlign w:val="center"/>
            <w:hideMark/>
          </w:tcPr>
          <w:p w14:paraId="62299D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£41,459.36</w:t>
            </w:r>
          </w:p>
        </w:tc>
        <w:tc>
          <w:tcPr>
            <w:tcW w:w="1510" w:type="dxa"/>
            <w:tcBorders>
              <w:top w:val="nil"/>
              <w:left w:val="nil"/>
              <w:bottom w:val="single" w:sz="4" w:space="0" w:color="auto"/>
              <w:right w:val="single" w:sz="4" w:space="0" w:color="auto"/>
            </w:tcBorders>
            <w:shd w:val="clear" w:color="auto" w:fill="auto"/>
            <w:noWrap/>
            <w:vAlign w:val="center"/>
            <w:hideMark/>
          </w:tcPr>
          <w:p w14:paraId="718750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£41,459.36</w:t>
            </w:r>
          </w:p>
        </w:tc>
        <w:tc>
          <w:tcPr>
            <w:tcW w:w="1510" w:type="dxa"/>
            <w:tcBorders>
              <w:top w:val="nil"/>
              <w:left w:val="nil"/>
              <w:bottom w:val="single" w:sz="4" w:space="0" w:color="auto"/>
              <w:right w:val="single" w:sz="4" w:space="0" w:color="auto"/>
            </w:tcBorders>
            <w:shd w:val="clear" w:color="auto" w:fill="auto"/>
            <w:noWrap/>
            <w:vAlign w:val="center"/>
            <w:hideMark/>
          </w:tcPr>
          <w:p w14:paraId="6F30DC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£41,459.36</w:t>
            </w:r>
          </w:p>
        </w:tc>
        <w:tc>
          <w:tcPr>
            <w:tcW w:w="1587" w:type="dxa"/>
            <w:tcBorders>
              <w:top w:val="nil"/>
              <w:left w:val="nil"/>
              <w:bottom w:val="single" w:sz="4" w:space="0" w:color="auto"/>
              <w:right w:val="single" w:sz="4" w:space="0" w:color="auto"/>
            </w:tcBorders>
            <w:shd w:val="clear" w:color="auto" w:fill="auto"/>
            <w:noWrap/>
            <w:vAlign w:val="center"/>
            <w:hideMark/>
          </w:tcPr>
          <w:p w14:paraId="407A32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£165,837.44</w:t>
            </w:r>
          </w:p>
        </w:tc>
      </w:tr>
      <w:tr w:rsidR="004433D7" w:rsidRPr="004433D7" w14:paraId="621CE9C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D5CF1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Bruntwood</w:t>
            </w:r>
            <w:proofErr w:type="spellEnd"/>
            <w:r w:rsidRPr="004433D7">
              <w:rPr>
                <w:rFonts w:eastAsia="Times New Roman" w:cs="Times New Roman"/>
                <w:color w:val="000000"/>
                <w:sz w:val="16"/>
                <w:szCs w:val="16"/>
              </w:rPr>
              <w:t xml:space="preserve"> Energy Services Limited</w:t>
            </w:r>
          </w:p>
        </w:tc>
        <w:tc>
          <w:tcPr>
            <w:tcW w:w="1510" w:type="dxa"/>
            <w:tcBorders>
              <w:top w:val="nil"/>
              <w:left w:val="nil"/>
              <w:bottom w:val="single" w:sz="4" w:space="0" w:color="auto"/>
              <w:right w:val="single" w:sz="4" w:space="0" w:color="auto"/>
            </w:tcBorders>
            <w:shd w:val="clear" w:color="auto" w:fill="auto"/>
            <w:noWrap/>
            <w:vAlign w:val="center"/>
            <w:hideMark/>
          </w:tcPr>
          <w:p w14:paraId="2C7708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£23,929.78</w:t>
            </w:r>
          </w:p>
        </w:tc>
        <w:tc>
          <w:tcPr>
            <w:tcW w:w="1510" w:type="dxa"/>
            <w:tcBorders>
              <w:top w:val="nil"/>
              <w:left w:val="nil"/>
              <w:bottom w:val="single" w:sz="4" w:space="0" w:color="auto"/>
              <w:right w:val="single" w:sz="4" w:space="0" w:color="auto"/>
            </w:tcBorders>
            <w:shd w:val="clear" w:color="auto" w:fill="auto"/>
            <w:noWrap/>
            <w:vAlign w:val="center"/>
            <w:hideMark/>
          </w:tcPr>
          <w:p w14:paraId="6D9805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£5,982.45</w:t>
            </w:r>
          </w:p>
        </w:tc>
        <w:tc>
          <w:tcPr>
            <w:tcW w:w="1510" w:type="dxa"/>
            <w:tcBorders>
              <w:top w:val="nil"/>
              <w:left w:val="nil"/>
              <w:bottom w:val="single" w:sz="4" w:space="0" w:color="auto"/>
              <w:right w:val="single" w:sz="4" w:space="0" w:color="auto"/>
            </w:tcBorders>
            <w:shd w:val="clear" w:color="auto" w:fill="auto"/>
            <w:noWrap/>
            <w:vAlign w:val="center"/>
            <w:hideMark/>
          </w:tcPr>
          <w:p w14:paraId="7C13C4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£5,982.45</w:t>
            </w:r>
          </w:p>
        </w:tc>
        <w:tc>
          <w:tcPr>
            <w:tcW w:w="1510" w:type="dxa"/>
            <w:tcBorders>
              <w:top w:val="nil"/>
              <w:left w:val="nil"/>
              <w:bottom w:val="single" w:sz="4" w:space="0" w:color="auto"/>
              <w:right w:val="single" w:sz="4" w:space="0" w:color="auto"/>
            </w:tcBorders>
            <w:shd w:val="clear" w:color="auto" w:fill="auto"/>
            <w:noWrap/>
            <w:vAlign w:val="center"/>
            <w:hideMark/>
          </w:tcPr>
          <w:p w14:paraId="1D61FB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£11,964.90</w:t>
            </w:r>
          </w:p>
        </w:tc>
        <w:tc>
          <w:tcPr>
            <w:tcW w:w="1510" w:type="dxa"/>
            <w:tcBorders>
              <w:top w:val="nil"/>
              <w:left w:val="nil"/>
              <w:bottom w:val="single" w:sz="4" w:space="0" w:color="auto"/>
              <w:right w:val="single" w:sz="4" w:space="0" w:color="auto"/>
            </w:tcBorders>
            <w:shd w:val="clear" w:color="auto" w:fill="auto"/>
            <w:noWrap/>
            <w:vAlign w:val="center"/>
            <w:hideMark/>
          </w:tcPr>
          <w:p w14:paraId="530ABD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5E2590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£23,929.80</w:t>
            </w:r>
          </w:p>
        </w:tc>
      </w:tr>
      <w:tr w:rsidR="004433D7" w:rsidRPr="004433D7" w14:paraId="536C4B4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A4260E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2F8C21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£214,270.06</w:t>
            </w:r>
          </w:p>
        </w:tc>
        <w:tc>
          <w:tcPr>
            <w:tcW w:w="1510" w:type="dxa"/>
            <w:tcBorders>
              <w:top w:val="nil"/>
              <w:left w:val="nil"/>
              <w:bottom w:val="single" w:sz="4" w:space="0" w:color="auto"/>
              <w:right w:val="single" w:sz="4" w:space="0" w:color="auto"/>
            </w:tcBorders>
            <w:shd w:val="clear" w:color="auto" w:fill="auto"/>
            <w:noWrap/>
            <w:vAlign w:val="center"/>
            <w:hideMark/>
          </w:tcPr>
          <w:p w14:paraId="2DFF9C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£53,567.52</w:t>
            </w:r>
          </w:p>
        </w:tc>
        <w:tc>
          <w:tcPr>
            <w:tcW w:w="1510" w:type="dxa"/>
            <w:tcBorders>
              <w:top w:val="nil"/>
              <w:left w:val="nil"/>
              <w:bottom w:val="single" w:sz="4" w:space="0" w:color="auto"/>
              <w:right w:val="single" w:sz="4" w:space="0" w:color="auto"/>
            </w:tcBorders>
            <w:shd w:val="clear" w:color="auto" w:fill="auto"/>
            <w:noWrap/>
            <w:vAlign w:val="center"/>
            <w:hideMark/>
          </w:tcPr>
          <w:p w14:paraId="4210B0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£53,567.52</w:t>
            </w:r>
          </w:p>
        </w:tc>
        <w:tc>
          <w:tcPr>
            <w:tcW w:w="1510" w:type="dxa"/>
            <w:tcBorders>
              <w:top w:val="nil"/>
              <w:left w:val="nil"/>
              <w:bottom w:val="single" w:sz="4" w:space="0" w:color="auto"/>
              <w:right w:val="single" w:sz="4" w:space="0" w:color="auto"/>
            </w:tcBorders>
            <w:shd w:val="clear" w:color="auto" w:fill="auto"/>
            <w:noWrap/>
            <w:vAlign w:val="center"/>
            <w:hideMark/>
          </w:tcPr>
          <w:p w14:paraId="155790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£53,567.52</w:t>
            </w:r>
          </w:p>
        </w:tc>
        <w:tc>
          <w:tcPr>
            <w:tcW w:w="1510" w:type="dxa"/>
            <w:tcBorders>
              <w:top w:val="nil"/>
              <w:left w:val="nil"/>
              <w:bottom w:val="single" w:sz="4" w:space="0" w:color="auto"/>
              <w:right w:val="single" w:sz="4" w:space="0" w:color="auto"/>
            </w:tcBorders>
            <w:shd w:val="clear" w:color="auto" w:fill="auto"/>
            <w:noWrap/>
            <w:vAlign w:val="center"/>
            <w:hideMark/>
          </w:tcPr>
          <w:p w14:paraId="5B5AF7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£53,567.52</w:t>
            </w:r>
          </w:p>
        </w:tc>
        <w:tc>
          <w:tcPr>
            <w:tcW w:w="1587" w:type="dxa"/>
            <w:tcBorders>
              <w:top w:val="nil"/>
              <w:left w:val="nil"/>
              <w:bottom w:val="single" w:sz="4" w:space="0" w:color="auto"/>
              <w:right w:val="single" w:sz="4" w:space="0" w:color="auto"/>
            </w:tcBorders>
            <w:shd w:val="clear" w:color="auto" w:fill="auto"/>
            <w:noWrap/>
            <w:vAlign w:val="center"/>
            <w:hideMark/>
          </w:tcPr>
          <w:p w14:paraId="4BC804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£214,270.08</w:t>
            </w:r>
          </w:p>
        </w:tc>
      </w:tr>
      <w:tr w:rsidR="004433D7" w:rsidRPr="004433D7" w14:paraId="7B9889B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913F8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510" w:type="dxa"/>
            <w:tcBorders>
              <w:top w:val="nil"/>
              <w:left w:val="nil"/>
              <w:bottom w:val="single" w:sz="4" w:space="0" w:color="auto"/>
              <w:right w:val="single" w:sz="4" w:space="0" w:color="auto"/>
            </w:tcBorders>
            <w:shd w:val="clear" w:color="auto" w:fill="auto"/>
            <w:noWrap/>
            <w:vAlign w:val="center"/>
            <w:hideMark/>
          </w:tcPr>
          <w:p w14:paraId="6B3F22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£1,017,190.89</w:t>
            </w:r>
          </w:p>
        </w:tc>
        <w:tc>
          <w:tcPr>
            <w:tcW w:w="1510" w:type="dxa"/>
            <w:tcBorders>
              <w:top w:val="nil"/>
              <w:left w:val="nil"/>
              <w:bottom w:val="single" w:sz="4" w:space="0" w:color="auto"/>
              <w:right w:val="single" w:sz="4" w:space="0" w:color="auto"/>
            </w:tcBorders>
            <w:shd w:val="clear" w:color="auto" w:fill="auto"/>
            <w:noWrap/>
            <w:vAlign w:val="center"/>
            <w:hideMark/>
          </w:tcPr>
          <w:p w14:paraId="701EE1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£254,297.72</w:t>
            </w:r>
          </w:p>
        </w:tc>
        <w:tc>
          <w:tcPr>
            <w:tcW w:w="1510" w:type="dxa"/>
            <w:tcBorders>
              <w:top w:val="nil"/>
              <w:left w:val="nil"/>
              <w:bottom w:val="single" w:sz="4" w:space="0" w:color="auto"/>
              <w:right w:val="single" w:sz="4" w:space="0" w:color="auto"/>
            </w:tcBorders>
            <w:shd w:val="clear" w:color="auto" w:fill="auto"/>
            <w:noWrap/>
            <w:vAlign w:val="center"/>
            <w:hideMark/>
          </w:tcPr>
          <w:p w14:paraId="6BAFAC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£254,297.72</w:t>
            </w:r>
          </w:p>
        </w:tc>
        <w:tc>
          <w:tcPr>
            <w:tcW w:w="1510" w:type="dxa"/>
            <w:tcBorders>
              <w:top w:val="nil"/>
              <w:left w:val="nil"/>
              <w:bottom w:val="single" w:sz="4" w:space="0" w:color="auto"/>
              <w:right w:val="single" w:sz="4" w:space="0" w:color="auto"/>
            </w:tcBorders>
            <w:shd w:val="clear" w:color="auto" w:fill="auto"/>
            <w:noWrap/>
            <w:vAlign w:val="center"/>
            <w:hideMark/>
          </w:tcPr>
          <w:p w14:paraId="4D8A80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£254,297.72</w:t>
            </w:r>
          </w:p>
        </w:tc>
        <w:tc>
          <w:tcPr>
            <w:tcW w:w="1510" w:type="dxa"/>
            <w:tcBorders>
              <w:top w:val="nil"/>
              <w:left w:val="nil"/>
              <w:bottom w:val="single" w:sz="4" w:space="0" w:color="auto"/>
              <w:right w:val="single" w:sz="4" w:space="0" w:color="auto"/>
            </w:tcBorders>
            <w:shd w:val="clear" w:color="auto" w:fill="auto"/>
            <w:noWrap/>
            <w:vAlign w:val="center"/>
            <w:hideMark/>
          </w:tcPr>
          <w:p w14:paraId="556DBE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£254,297.72</w:t>
            </w:r>
          </w:p>
        </w:tc>
        <w:tc>
          <w:tcPr>
            <w:tcW w:w="1587" w:type="dxa"/>
            <w:tcBorders>
              <w:top w:val="nil"/>
              <w:left w:val="nil"/>
              <w:bottom w:val="single" w:sz="4" w:space="0" w:color="auto"/>
              <w:right w:val="single" w:sz="4" w:space="0" w:color="auto"/>
            </w:tcBorders>
            <w:shd w:val="clear" w:color="auto" w:fill="auto"/>
            <w:noWrap/>
            <w:vAlign w:val="center"/>
            <w:hideMark/>
          </w:tcPr>
          <w:p w14:paraId="6E34D3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£1,017,190.88</w:t>
            </w:r>
          </w:p>
        </w:tc>
      </w:tr>
      <w:tr w:rsidR="004433D7" w:rsidRPr="004433D7" w14:paraId="7350381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E871D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Business Power and Gas Limited</w:t>
            </w:r>
          </w:p>
        </w:tc>
        <w:tc>
          <w:tcPr>
            <w:tcW w:w="1510" w:type="dxa"/>
            <w:tcBorders>
              <w:top w:val="nil"/>
              <w:left w:val="nil"/>
              <w:bottom w:val="single" w:sz="4" w:space="0" w:color="auto"/>
              <w:right w:val="single" w:sz="4" w:space="0" w:color="auto"/>
            </w:tcBorders>
            <w:shd w:val="clear" w:color="auto" w:fill="auto"/>
            <w:noWrap/>
            <w:vAlign w:val="center"/>
            <w:hideMark/>
          </w:tcPr>
          <w:p w14:paraId="616369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£75,182.71</w:t>
            </w:r>
          </w:p>
        </w:tc>
        <w:tc>
          <w:tcPr>
            <w:tcW w:w="1510" w:type="dxa"/>
            <w:tcBorders>
              <w:top w:val="nil"/>
              <w:left w:val="nil"/>
              <w:bottom w:val="single" w:sz="4" w:space="0" w:color="auto"/>
              <w:right w:val="single" w:sz="4" w:space="0" w:color="auto"/>
            </w:tcBorders>
            <w:shd w:val="clear" w:color="auto" w:fill="auto"/>
            <w:noWrap/>
            <w:vAlign w:val="center"/>
            <w:hideMark/>
          </w:tcPr>
          <w:p w14:paraId="3DD7B4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£18,795.68</w:t>
            </w:r>
          </w:p>
        </w:tc>
        <w:tc>
          <w:tcPr>
            <w:tcW w:w="1510" w:type="dxa"/>
            <w:tcBorders>
              <w:top w:val="nil"/>
              <w:left w:val="nil"/>
              <w:bottom w:val="single" w:sz="4" w:space="0" w:color="auto"/>
              <w:right w:val="single" w:sz="4" w:space="0" w:color="auto"/>
            </w:tcBorders>
            <w:shd w:val="clear" w:color="auto" w:fill="auto"/>
            <w:noWrap/>
            <w:vAlign w:val="center"/>
            <w:hideMark/>
          </w:tcPr>
          <w:p w14:paraId="173683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£18,795.68</w:t>
            </w:r>
          </w:p>
        </w:tc>
        <w:tc>
          <w:tcPr>
            <w:tcW w:w="1510" w:type="dxa"/>
            <w:tcBorders>
              <w:top w:val="nil"/>
              <w:left w:val="nil"/>
              <w:bottom w:val="single" w:sz="4" w:space="0" w:color="auto"/>
              <w:right w:val="single" w:sz="4" w:space="0" w:color="auto"/>
            </w:tcBorders>
            <w:shd w:val="clear" w:color="auto" w:fill="auto"/>
            <w:noWrap/>
            <w:vAlign w:val="center"/>
            <w:hideMark/>
          </w:tcPr>
          <w:p w14:paraId="215EBB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£18,795.68</w:t>
            </w:r>
          </w:p>
        </w:tc>
        <w:tc>
          <w:tcPr>
            <w:tcW w:w="1510" w:type="dxa"/>
            <w:tcBorders>
              <w:top w:val="nil"/>
              <w:left w:val="nil"/>
              <w:bottom w:val="single" w:sz="4" w:space="0" w:color="auto"/>
              <w:right w:val="single" w:sz="4" w:space="0" w:color="auto"/>
            </w:tcBorders>
            <w:shd w:val="clear" w:color="auto" w:fill="auto"/>
            <w:noWrap/>
            <w:vAlign w:val="center"/>
            <w:hideMark/>
          </w:tcPr>
          <w:p w14:paraId="4A5107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£18,795.68</w:t>
            </w:r>
          </w:p>
        </w:tc>
        <w:tc>
          <w:tcPr>
            <w:tcW w:w="1587" w:type="dxa"/>
            <w:tcBorders>
              <w:top w:val="nil"/>
              <w:left w:val="nil"/>
              <w:bottom w:val="single" w:sz="4" w:space="0" w:color="auto"/>
              <w:right w:val="single" w:sz="4" w:space="0" w:color="auto"/>
            </w:tcBorders>
            <w:shd w:val="clear" w:color="auto" w:fill="auto"/>
            <w:noWrap/>
            <w:vAlign w:val="center"/>
            <w:hideMark/>
          </w:tcPr>
          <w:p w14:paraId="2191D9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£75,182.72</w:t>
            </w:r>
          </w:p>
        </w:tc>
      </w:tr>
      <w:tr w:rsidR="004433D7" w:rsidRPr="004433D7" w14:paraId="7B68CCB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784BB5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CNG Electricity Limited</w:t>
            </w:r>
          </w:p>
        </w:tc>
        <w:tc>
          <w:tcPr>
            <w:tcW w:w="1510" w:type="dxa"/>
            <w:tcBorders>
              <w:top w:val="nil"/>
              <w:left w:val="nil"/>
              <w:bottom w:val="single" w:sz="4" w:space="0" w:color="auto"/>
              <w:right w:val="single" w:sz="4" w:space="0" w:color="auto"/>
            </w:tcBorders>
            <w:shd w:val="clear" w:color="auto" w:fill="auto"/>
            <w:noWrap/>
            <w:vAlign w:val="center"/>
            <w:hideMark/>
          </w:tcPr>
          <w:p w14:paraId="6A141B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£1,277.36</w:t>
            </w:r>
          </w:p>
        </w:tc>
        <w:tc>
          <w:tcPr>
            <w:tcW w:w="1510" w:type="dxa"/>
            <w:tcBorders>
              <w:top w:val="nil"/>
              <w:left w:val="nil"/>
              <w:bottom w:val="single" w:sz="4" w:space="0" w:color="auto"/>
              <w:right w:val="single" w:sz="4" w:space="0" w:color="auto"/>
            </w:tcBorders>
            <w:shd w:val="clear" w:color="auto" w:fill="auto"/>
            <w:noWrap/>
            <w:vAlign w:val="center"/>
            <w:hideMark/>
          </w:tcPr>
          <w:p w14:paraId="207E32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£319.34</w:t>
            </w:r>
          </w:p>
        </w:tc>
        <w:tc>
          <w:tcPr>
            <w:tcW w:w="1510" w:type="dxa"/>
            <w:tcBorders>
              <w:top w:val="nil"/>
              <w:left w:val="nil"/>
              <w:bottom w:val="single" w:sz="4" w:space="0" w:color="auto"/>
              <w:right w:val="single" w:sz="4" w:space="0" w:color="auto"/>
            </w:tcBorders>
            <w:shd w:val="clear" w:color="auto" w:fill="auto"/>
            <w:noWrap/>
            <w:vAlign w:val="center"/>
            <w:hideMark/>
          </w:tcPr>
          <w:p w14:paraId="245E4F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£319.34</w:t>
            </w:r>
          </w:p>
        </w:tc>
        <w:tc>
          <w:tcPr>
            <w:tcW w:w="1510" w:type="dxa"/>
            <w:tcBorders>
              <w:top w:val="nil"/>
              <w:left w:val="nil"/>
              <w:bottom w:val="single" w:sz="4" w:space="0" w:color="auto"/>
              <w:right w:val="single" w:sz="4" w:space="0" w:color="auto"/>
            </w:tcBorders>
            <w:shd w:val="clear" w:color="auto" w:fill="auto"/>
            <w:noWrap/>
            <w:vAlign w:val="center"/>
            <w:hideMark/>
          </w:tcPr>
          <w:p w14:paraId="51126E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£319.34</w:t>
            </w:r>
          </w:p>
        </w:tc>
        <w:tc>
          <w:tcPr>
            <w:tcW w:w="1510" w:type="dxa"/>
            <w:tcBorders>
              <w:top w:val="nil"/>
              <w:left w:val="nil"/>
              <w:bottom w:val="single" w:sz="4" w:space="0" w:color="auto"/>
              <w:right w:val="single" w:sz="4" w:space="0" w:color="auto"/>
            </w:tcBorders>
            <w:shd w:val="clear" w:color="auto" w:fill="auto"/>
            <w:noWrap/>
            <w:vAlign w:val="center"/>
            <w:hideMark/>
          </w:tcPr>
          <w:p w14:paraId="4B2771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£319.34</w:t>
            </w:r>
          </w:p>
        </w:tc>
        <w:tc>
          <w:tcPr>
            <w:tcW w:w="1587" w:type="dxa"/>
            <w:tcBorders>
              <w:top w:val="nil"/>
              <w:left w:val="nil"/>
              <w:bottom w:val="single" w:sz="4" w:space="0" w:color="auto"/>
              <w:right w:val="single" w:sz="4" w:space="0" w:color="auto"/>
            </w:tcBorders>
            <w:shd w:val="clear" w:color="auto" w:fill="auto"/>
            <w:noWrap/>
            <w:vAlign w:val="center"/>
            <w:hideMark/>
          </w:tcPr>
          <w:p w14:paraId="4335A0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£1,277.36</w:t>
            </w:r>
          </w:p>
        </w:tc>
      </w:tr>
      <w:tr w:rsidR="004433D7" w:rsidRPr="004433D7" w14:paraId="05F52AE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83976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1953FF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£410,747.89</w:t>
            </w:r>
          </w:p>
        </w:tc>
        <w:tc>
          <w:tcPr>
            <w:tcW w:w="1510" w:type="dxa"/>
            <w:tcBorders>
              <w:top w:val="nil"/>
              <w:left w:val="nil"/>
              <w:bottom w:val="single" w:sz="4" w:space="0" w:color="auto"/>
              <w:right w:val="single" w:sz="4" w:space="0" w:color="auto"/>
            </w:tcBorders>
            <w:shd w:val="clear" w:color="auto" w:fill="auto"/>
            <w:noWrap/>
            <w:vAlign w:val="center"/>
            <w:hideMark/>
          </w:tcPr>
          <w:p w14:paraId="469088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c>
          <w:tcPr>
            <w:tcW w:w="1510" w:type="dxa"/>
            <w:tcBorders>
              <w:top w:val="nil"/>
              <w:left w:val="nil"/>
              <w:bottom w:val="single" w:sz="4" w:space="0" w:color="auto"/>
              <w:right w:val="single" w:sz="4" w:space="0" w:color="auto"/>
            </w:tcBorders>
            <w:shd w:val="clear" w:color="auto" w:fill="auto"/>
            <w:noWrap/>
            <w:vAlign w:val="center"/>
            <w:hideMark/>
          </w:tcPr>
          <w:p w14:paraId="31CA6B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c>
          <w:tcPr>
            <w:tcW w:w="1510" w:type="dxa"/>
            <w:tcBorders>
              <w:top w:val="nil"/>
              <w:left w:val="nil"/>
              <w:bottom w:val="single" w:sz="4" w:space="0" w:color="auto"/>
              <w:right w:val="single" w:sz="4" w:space="0" w:color="auto"/>
            </w:tcBorders>
            <w:shd w:val="clear" w:color="auto" w:fill="auto"/>
            <w:noWrap/>
            <w:vAlign w:val="center"/>
            <w:hideMark/>
          </w:tcPr>
          <w:p w14:paraId="3D8A48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c>
          <w:tcPr>
            <w:tcW w:w="1510" w:type="dxa"/>
            <w:tcBorders>
              <w:top w:val="nil"/>
              <w:left w:val="nil"/>
              <w:bottom w:val="single" w:sz="4" w:space="0" w:color="auto"/>
              <w:right w:val="single" w:sz="4" w:space="0" w:color="auto"/>
            </w:tcBorders>
            <w:shd w:val="clear" w:color="auto" w:fill="auto"/>
            <w:noWrap/>
            <w:vAlign w:val="center"/>
            <w:hideMark/>
          </w:tcPr>
          <w:p w14:paraId="7D1198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c>
          <w:tcPr>
            <w:tcW w:w="1587" w:type="dxa"/>
            <w:tcBorders>
              <w:top w:val="nil"/>
              <w:left w:val="nil"/>
              <w:bottom w:val="single" w:sz="4" w:space="0" w:color="auto"/>
              <w:right w:val="single" w:sz="4" w:space="0" w:color="auto"/>
            </w:tcBorders>
            <w:shd w:val="clear" w:color="auto" w:fill="auto"/>
            <w:noWrap/>
            <w:vAlign w:val="center"/>
            <w:hideMark/>
          </w:tcPr>
          <w:p w14:paraId="270856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£555,833.80</w:t>
            </w:r>
          </w:p>
        </w:tc>
      </w:tr>
      <w:tr w:rsidR="004433D7" w:rsidRPr="004433D7" w14:paraId="50FEE7B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97C361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4 Limited</w:t>
            </w:r>
          </w:p>
        </w:tc>
        <w:tc>
          <w:tcPr>
            <w:tcW w:w="1510" w:type="dxa"/>
            <w:tcBorders>
              <w:top w:val="nil"/>
              <w:left w:val="nil"/>
              <w:bottom w:val="single" w:sz="4" w:space="0" w:color="auto"/>
              <w:right w:val="single" w:sz="4" w:space="0" w:color="auto"/>
            </w:tcBorders>
            <w:shd w:val="clear" w:color="auto" w:fill="auto"/>
            <w:noWrap/>
            <w:vAlign w:val="center"/>
            <w:hideMark/>
          </w:tcPr>
          <w:p w14:paraId="1D32E2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£133,613.72</w:t>
            </w:r>
          </w:p>
        </w:tc>
        <w:tc>
          <w:tcPr>
            <w:tcW w:w="1510" w:type="dxa"/>
            <w:tcBorders>
              <w:top w:val="nil"/>
              <w:left w:val="nil"/>
              <w:bottom w:val="single" w:sz="4" w:space="0" w:color="auto"/>
              <w:right w:val="single" w:sz="4" w:space="0" w:color="auto"/>
            </w:tcBorders>
            <w:shd w:val="clear" w:color="auto" w:fill="auto"/>
            <w:noWrap/>
            <w:vAlign w:val="center"/>
            <w:hideMark/>
          </w:tcPr>
          <w:p w14:paraId="442BD8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£33,403.43</w:t>
            </w:r>
          </w:p>
        </w:tc>
        <w:tc>
          <w:tcPr>
            <w:tcW w:w="1510" w:type="dxa"/>
            <w:tcBorders>
              <w:top w:val="nil"/>
              <w:left w:val="nil"/>
              <w:bottom w:val="single" w:sz="4" w:space="0" w:color="auto"/>
              <w:right w:val="single" w:sz="4" w:space="0" w:color="auto"/>
            </w:tcBorders>
            <w:shd w:val="clear" w:color="auto" w:fill="auto"/>
            <w:noWrap/>
            <w:vAlign w:val="center"/>
            <w:hideMark/>
          </w:tcPr>
          <w:p w14:paraId="61292C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£33,403.43</w:t>
            </w:r>
          </w:p>
        </w:tc>
        <w:tc>
          <w:tcPr>
            <w:tcW w:w="1510" w:type="dxa"/>
            <w:tcBorders>
              <w:top w:val="nil"/>
              <w:left w:val="nil"/>
              <w:bottom w:val="single" w:sz="4" w:space="0" w:color="auto"/>
              <w:right w:val="single" w:sz="4" w:space="0" w:color="auto"/>
            </w:tcBorders>
            <w:shd w:val="clear" w:color="auto" w:fill="auto"/>
            <w:noWrap/>
            <w:vAlign w:val="center"/>
            <w:hideMark/>
          </w:tcPr>
          <w:p w14:paraId="03A7B5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£33,403.43</w:t>
            </w:r>
          </w:p>
        </w:tc>
        <w:tc>
          <w:tcPr>
            <w:tcW w:w="1510" w:type="dxa"/>
            <w:tcBorders>
              <w:top w:val="nil"/>
              <w:left w:val="nil"/>
              <w:bottom w:val="single" w:sz="4" w:space="0" w:color="auto"/>
              <w:right w:val="single" w:sz="4" w:space="0" w:color="auto"/>
            </w:tcBorders>
            <w:shd w:val="clear" w:color="auto" w:fill="auto"/>
            <w:noWrap/>
            <w:vAlign w:val="center"/>
            <w:hideMark/>
          </w:tcPr>
          <w:p w14:paraId="53E0FB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£33,403.40</w:t>
            </w:r>
          </w:p>
        </w:tc>
        <w:tc>
          <w:tcPr>
            <w:tcW w:w="1587" w:type="dxa"/>
            <w:tcBorders>
              <w:top w:val="nil"/>
              <w:left w:val="nil"/>
              <w:bottom w:val="single" w:sz="4" w:space="0" w:color="auto"/>
              <w:right w:val="single" w:sz="4" w:space="0" w:color="auto"/>
            </w:tcBorders>
            <w:shd w:val="clear" w:color="auto" w:fill="auto"/>
            <w:noWrap/>
            <w:vAlign w:val="center"/>
            <w:hideMark/>
          </w:tcPr>
          <w:p w14:paraId="79190C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£133,613.69</w:t>
            </w:r>
          </w:p>
        </w:tc>
      </w:tr>
      <w:tr w:rsidR="004433D7" w:rsidRPr="004433D7" w14:paraId="37DE4974"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0D7A1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Coulomb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461230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£21,346.33</w:t>
            </w:r>
          </w:p>
        </w:tc>
        <w:tc>
          <w:tcPr>
            <w:tcW w:w="1510" w:type="dxa"/>
            <w:tcBorders>
              <w:top w:val="nil"/>
              <w:left w:val="nil"/>
              <w:bottom w:val="single" w:sz="4" w:space="0" w:color="auto"/>
              <w:right w:val="single" w:sz="4" w:space="0" w:color="auto"/>
            </w:tcBorders>
            <w:shd w:val="clear" w:color="auto" w:fill="auto"/>
            <w:noWrap/>
            <w:vAlign w:val="center"/>
            <w:hideMark/>
          </w:tcPr>
          <w:p w14:paraId="42EDD8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£5,336.58</w:t>
            </w:r>
          </w:p>
        </w:tc>
        <w:tc>
          <w:tcPr>
            <w:tcW w:w="1510" w:type="dxa"/>
            <w:tcBorders>
              <w:top w:val="nil"/>
              <w:left w:val="nil"/>
              <w:bottom w:val="single" w:sz="4" w:space="0" w:color="auto"/>
              <w:right w:val="single" w:sz="4" w:space="0" w:color="auto"/>
            </w:tcBorders>
            <w:shd w:val="clear" w:color="auto" w:fill="auto"/>
            <w:noWrap/>
            <w:vAlign w:val="center"/>
            <w:hideMark/>
          </w:tcPr>
          <w:p w14:paraId="3996FB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£5,336.58</w:t>
            </w:r>
          </w:p>
        </w:tc>
        <w:tc>
          <w:tcPr>
            <w:tcW w:w="1510" w:type="dxa"/>
            <w:tcBorders>
              <w:top w:val="nil"/>
              <w:left w:val="nil"/>
              <w:bottom w:val="single" w:sz="4" w:space="0" w:color="auto"/>
              <w:right w:val="single" w:sz="4" w:space="0" w:color="auto"/>
            </w:tcBorders>
            <w:shd w:val="clear" w:color="auto" w:fill="auto"/>
            <w:noWrap/>
            <w:vAlign w:val="center"/>
            <w:hideMark/>
          </w:tcPr>
          <w:p w14:paraId="704C1F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£5,336.58</w:t>
            </w:r>
          </w:p>
        </w:tc>
        <w:tc>
          <w:tcPr>
            <w:tcW w:w="1510" w:type="dxa"/>
            <w:tcBorders>
              <w:top w:val="nil"/>
              <w:left w:val="nil"/>
              <w:bottom w:val="single" w:sz="4" w:space="0" w:color="auto"/>
              <w:right w:val="single" w:sz="4" w:space="0" w:color="auto"/>
            </w:tcBorders>
            <w:shd w:val="clear" w:color="auto" w:fill="auto"/>
            <w:noWrap/>
            <w:vAlign w:val="center"/>
            <w:hideMark/>
          </w:tcPr>
          <w:p w14:paraId="336CA7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£5,336.58</w:t>
            </w:r>
          </w:p>
        </w:tc>
        <w:tc>
          <w:tcPr>
            <w:tcW w:w="1587" w:type="dxa"/>
            <w:tcBorders>
              <w:top w:val="nil"/>
              <w:left w:val="nil"/>
              <w:bottom w:val="single" w:sz="4" w:space="0" w:color="auto"/>
              <w:right w:val="single" w:sz="4" w:space="0" w:color="auto"/>
            </w:tcBorders>
            <w:shd w:val="clear" w:color="auto" w:fill="auto"/>
            <w:noWrap/>
            <w:vAlign w:val="center"/>
            <w:hideMark/>
          </w:tcPr>
          <w:p w14:paraId="6A5E1F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£21,346.32</w:t>
            </w:r>
          </w:p>
        </w:tc>
      </w:tr>
      <w:tr w:rsidR="004433D7" w:rsidRPr="004433D7" w14:paraId="040530D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5B4ADA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Daisy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5F7690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£14,065.75</w:t>
            </w:r>
          </w:p>
        </w:tc>
        <w:tc>
          <w:tcPr>
            <w:tcW w:w="1510" w:type="dxa"/>
            <w:tcBorders>
              <w:top w:val="nil"/>
              <w:left w:val="nil"/>
              <w:bottom w:val="single" w:sz="4" w:space="0" w:color="auto"/>
              <w:right w:val="single" w:sz="4" w:space="0" w:color="auto"/>
            </w:tcBorders>
            <w:shd w:val="clear" w:color="auto" w:fill="auto"/>
            <w:noWrap/>
            <w:vAlign w:val="center"/>
            <w:hideMark/>
          </w:tcPr>
          <w:p w14:paraId="6287A9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£3,516.44</w:t>
            </w:r>
          </w:p>
        </w:tc>
        <w:tc>
          <w:tcPr>
            <w:tcW w:w="1510" w:type="dxa"/>
            <w:tcBorders>
              <w:top w:val="nil"/>
              <w:left w:val="nil"/>
              <w:bottom w:val="single" w:sz="4" w:space="0" w:color="auto"/>
              <w:right w:val="single" w:sz="4" w:space="0" w:color="auto"/>
            </w:tcBorders>
            <w:shd w:val="clear" w:color="auto" w:fill="auto"/>
            <w:noWrap/>
            <w:vAlign w:val="center"/>
            <w:hideMark/>
          </w:tcPr>
          <w:p w14:paraId="097144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£3,516.44</w:t>
            </w:r>
          </w:p>
        </w:tc>
        <w:tc>
          <w:tcPr>
            <w:tcW w:w="1510" w:type="dxa"/>
            <w:tcBorders>
              <w:top w:val="nil"/>
              <w:left w:val="nil"/>
              <w:bottom w:val="single" w:sz="4" w:space="0" w:color="auto"/>
              <w:right w:val="single" w:sz="4" w:space="0" w:color="auto"/>
            </w:tcBorders>
            <w:shd w:val="clear" w:color="auto" w:fill="auto"/>
            <w:noWrap/>
            <w:vAlign w:val="center"/>
            <w:hideMark/>
          </w:tcPr>
          <w:p w14:paraId="5951CB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1F583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32C328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£7,032.88</w:t>
            </w:r>
          </w:p>
        </w:tc>
      </w:tr>
      <w:tr w:rsidR="004433D7" w:rsidRPr="004433D7" w14:paraId="71BE1A6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62F527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Delta Gas and Power Limited </w:t>
            </w:r>
          </w:p>
        </w:tc>
        <w:tc>
          <w:tcPr>
            <w:tcW w:w="1510" w:type="dxa"/>
            <w:tcBorders>
              <w:top w:val="nil"/>
              <w:left w:val="nil"/>
              <w:bottom w:val="single" w:sz="4" w:space="0" w:color="auto"/>
              <w:right w:val="single" w:sz="4" w:space="0" w:color="auto"/>
            </w:tcBorders>
            <w:shd w:val="clear" w:color="auto" w:fill="auto"/>
            <w:noWrap/>
            <w:vAlign w:val="center"/>
            <w:hideMark/>
          </w:tcPr>
          <w:p w14:paraId="707A84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£1,348.03</w:t>
            </w:r>
          </w:p>
        </w:tc>
        <w:tc>
          <w:tcPr>
            <w:tcW w:w="1510" w:type="dxa"/>
            <w:tcBorders>
              <w:top w:val="nil"/>
              <w:left w:val="nil"/>
              <w:bottom w:val="single" w:sz="4" w:space="0" w:color="auto"/>
              <w:right w:val="single" w:sz="4" w:space="0" w:color="auto"/>
            </w:tcBorders>
            <w:shd w:val="clear" w:color="auto" w:fill="auto"/>
            <w:noWrap/>
            <w:vAlign w:val="center"/>
            <w:hideMark/>
          </w:tcPr>
          <w:p w14:paraId="273CFF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£337.01</w:t>
            </w:r>
          </w:p>
        </w:tc>
        <w:tc>
          <w:tcPr>
            <w:tcW w:w="1510" w:type="dxa"/>
            <w:tcBorders>
              <w:top w:val="nil"/>
              <w:left w:val="nil"/>
              <w:bottom w:val="single" w:sz="4" w:space="0" w:color="auto"/>
              <w:right w:val="single" w:sz="4" w:space="0" w:color="auto"/>
            </w:tcBorders>
            <w:shd w:val="clear" w:color="auto" w:fill="auto"/>
            <w:noWrap/>
            <w:vAlign w:val="center"/>
            <w:hideMark/>
          </w:tcPr>
          <w:p w14:paraId="6A1734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£337.01</w:t>
            </w:r>
          </w:p>
        </w:tc>
        <w:tc>
          <w:tcPr>
            <w:tcW w:w="1510" w:type="dxa"/>
            <w:tcBorders>
              <w:top w:val="nil"/>
              <w:left w:val="nil"/>
              <w:bottom w:val="single" w:sz="4" w:space="0" w:color="auto"/>
              <w:right w:val="single" w:sz="4" w:space="0" w:color="auto"/>
            </w:tcBorders>
            <w:shd w:val="clear" w:color="auto" w:fill="auto"/>
            <w:noWrap/>
            <w:vAlign w:val="center"/>
            <w:hideMark/>
          </w:tcPr>
          <w:p w14:paraId="175343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£398.85</w:t>
            </w:r>
          </w:p>
        </w:tc>
        <w:tc>
          <w:tcPr>
            <w:tcW w:w="1510" w:type="dxa"/>
            <w:tcBorders>
              <w:top w:val="nil"/>
              <w:left w:val="nil"/>
              <w:bottom w:val="single" w:sz="4" w:space="0" w:color="auto"/>
              <w:right w:val="single" w:sz="4" w:space="0" w:color="auto"/>
            </w:tcBorders>
            <w:shd w:val="clear" w:color="auto" w:fill="auto"/>
            <w:noWrap/>
            <w:vAlign w:val="center"/>
            <w:hideMark/>
          </w:tcPr>
          <w:p w14:paraId="7045B1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£337.01</w:t>
            </w:r>
          </w:p>
        </w:tc>
        <w:tc>
          <w:tcPr>
            <w:tcW w:w="1587" w:type="dxa"/>
            <w:tcBorders>
              <w:top w:val="nil"/>
              <w:left w:val="nil"/>
              <w:bottom w:val="single" w:sz="4" w:space="0" w:color="auto"/>
              <w:right w:val="single" w:sz="4" w:space="0" w:color="auto"/>
            </w:tcBorders>
            <w:shd w:val="clear" w:color="auto" w:fill="auto"/>
            <w:noWrap/>
            <w:vAlign w:val="center"/>
            <w:hideMark/>
          </w:tcPr>
          <w:p w14:paraId="3CADC7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£1,409.88</w:t>
            </w:r>
          </w:p>
        </w:tc>
      </w:tr>
      <w:tr w:rsidR="004433D7" w:rsidRPr="004433D7" w14:paraId="3C1BF3B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06D4B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510" w:type="dxa"/>
            <w:tcBorders>
              <w:top w:val="nil"/>
              <w:left w:val="nil"/>
              <w:bottom w:val="single" w:sz="4" w:space="0" w:color="auto"/>
              <w:right w:val="single" w:sz="4" w:space="0" w:color="auto"/>
            </w:tcBorders>
            <w:shd w:val="clear" w:color="auto" w:fill="auto"/>
            <w:noWrap/>
            <w:vAlign w:val="center"/>
            <w:hideMark/>
          </w:tcPr>
          <w:p w14:paraId="121AD2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£194,222.06</w:t>
            </w:r>
          </w:p>
        </w:tc>
        <w:tc>
          <w:tcPr>
            <w:tcW w:w="1510" w:type="dxa"/>
            <w:tcBorders>
              <w:top w:val="nil"/>
              <w:left w:val="nil"/>
              <w:bottom w:val="single" w:sz="4" w:space="0" w:color="auto"/>
              <w:right w:val="single" w:sz="4" w:space="0" w:color="auto"/>
            </w:tcBorders>
            <w:shd w:val="clear" w:color="auto" w:fill="auto"/>
            <w:noWrap/>
            <w:vAlign w:val="center"/>
            <w:hideMark/>
          </w:tcPr>
          <w:p w14:paraId="2A134B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£48,555.52</w:t>
            </w:r>
          </w:p>
        </w:tc>
        <w:tc>
          <w:tcPr>
            <w:tcW w:w="1510" w:type="dxa"/>
            <w:tcBorders>
              <w:top w:val="nil"/>
              <w:left w:val="nil"/>
              <w:bottom w:val="single" w:sz="4" w:space="0" w:color="auto"/>
              <w:right w:val="single" w:sz="4" w:space="0" w:color="auto"/>
            </w:tcBorders>
            <w:shd w:val="clear" w:color="auto" w:fill="auto"/>
            <w:noWrap/>
            <w:vAlign w:val="center"/>
            <w:hideMark/>
          </w:tcPr>
          <w:p w14:paraId="415247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£48,555.52</w:t>
            </w:r>
          </w:p>
        </w:tc>
        <w:tc>
          <w:tcPr>
            <w:tcW w:w="1510" w:type="dxa"/>
            <w:tcBorders>
              <w:top w:val="nil"/>
              <w:left w:val="nil"/>
              <w:bottom w:val="single" w:sz="4" w:space="0" w:color="auto"/>
              <w:right w:val="single" w:sz="4" w:space="0" w:color="auto"/>
            </w:tcBorders>
            <w:shd w:val="clear" w:color="auto" w:fill="auto"/>
            <w:noWrap/>
            <w:vAlign w:val="center"/>
            <w:hideMark/>
          </w:tcPr>
          <w:p w14:paraId="0C97BB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£48,555.52</w:t>
            </w:r>
          </w:p>
        </w:tc>
        <w:tc>
          <w:tcPr>
            <w:tcW w:w="1510" w:type="dxa"/>
            <w:tcBorders>
              <w:top w:val="nil"/>
              <w:left w:val="nil"/>
              <w:bottom w:val="single" w:sz="4" w:space="0" w:color="auto"/>
              <w:right w:val="single" w:sz="4" w:space="0" w:color="auto"/>
            </w:tcBorders>
            <w:shd w:val="clear" w:color="auto" w:fill="auto"/>
            <w:noWrap/>
            <w:vAlign w:val="center"/>
            <w:hideMark/>
          </w:tcPr>
          <w:p w14:paraId="340448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£48,555.52</w:t>
            </w:r>
          </w:p>
        </w:tc>
        <w:tc>
          <w:tcPr>
            <w:tcW w:w="1587" w:type="dxa"/>
            <w:tcBorders>
              <w:top w:val="nil"/>
              <w:left w:val="nil"/>
              <w:bottom w:val="single" w:sz="4" w:space="0" w:color="auto"/>
              <w:right w:val="single" w:sz="4" w:space="0" w:color="auto"/>
            </w:tcBorders>
            <w:shd w:val="clear" w:color="auto" w:fill="auto"/>
            <w:noWrap/>
            <w:vAlign w:val="center"/>
            <w:hideMark/>
          </w:tcPr>
          <w:p w14:paraId="2366DC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£194,222.08</w:t>
            </w:r>
          </w:p>
        </w:tc>
      </w:tr>
      <w:tr w:rsidR="004433D7" w:rsidRPr="004433D7" w14:paraId="0235A02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6282D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 (Gas and Electricity) Limited</w:t>
            </w:r>
          </w:p>
        </w:tc>
        <w:tc>
          <w:tcPr>
            <w:tcW w:w="1510" w:type="dxa"/>
            <w:tcBorders>
              <w:top w:val="nil"/>
              <w:left w:val="nil"/>
              <w:bottom w:val="single" w:sz="4" w:space="0" w:color="auto"/>
              <w:right w:val="single" w:sz="4" w:space="0" w:color="auto"/>
            </w:tcBorders>
            <w:shd w:val="clear" w:color="auto" w:fill="auto"/>
            <w:noWrap/>
            <w:vAlign w:val="center"/>
            <w:hideMark/>
          </w:tcPr>
          <w:p w14:paraId="39430C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£175,297.68</w:t>
            </w:r>
          </w:p>
        </w:tc>
        <w:tc>
          <w:tcPr>
            <w:tcW w:w="1510" w:type="dxa"/>
            <w:tcBorders>
              <w:top w:val="nil"/>
              <w:left w:val="nil"/>
              <w:bottom w:val="single" w:sz="4" w:space="0" w:color="auto"/>
              <w:right w:val="single" w:sz="4" w:space="0" w:color="auto"/>
            </w:tcBorders>
            <w:shd w:val="clear" w:color="auto" w:fill="auto"/>
            <w:noWrap/>
            <w:vAlign w:val="center"/>
            <w:hideMark/>
          </w:tcPr>
          <w:p w14:paraId="5C4987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£43,824.42</w:t>
            </w:r>
          </w:p>
        </w:tc>
        <w:tc>
          <w:tcPr>
            <w:tcW w:w="1510" w:type="dxa"/>
            <w:tcBorders>
              <w:top w:val="nil"/>
              <w:left w:val="nil"/>
              <w:bottom w:val="single" w:sz="4" w:space="0" w:color="auto"/>
              <w:right w:val="single" w:sz="4" w:space="0" w:color="auto"/>
            </w:tcBorders>
            <w:shd w:val="clear" w:color="auto" w:fill="auto"/>
            <w:noWrap/>
            <w:vAlign w:val="center"/>
            <w:hideMark/>
          </w:tcPr>
          <w:p w14:paraId="0BF1B6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£43,824.42</w:t>
            </w:r>
          </w:p>
        </w:tc>
        <w:tc>
          <w:tcPr>
            <w:tcW w:w="1510" w:type="dxa"/>
            <w:tcBorders>
              <w:top w:val="nil"/>
              <w:left w:val="nil"/>
              <w:bottom w:val="single" w:sz="4" w:space="0" w:color="auto"/>
              <w:right w:val="single" w:sz="4" w:space="0" w:color="auto"/>
            </w:tcBorders>
            <w:shd w:val="clear" w:color="auto" w:fill="auto"/>
            <w:noWrap/>
            <w:vAlign w:val="center"/>
            <w:hideMark/>
          </w:tcPr>
          <w:p w14:paraId="52F990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£43,824.42</w:t>
            </w:r>
          </w:p>
        </w:tc>
        <w:tc>
          <w:tcPr>
            <w:tcW w:w="1510" w:type="dxa"/>
            <w:tcBorders>
              <w:top w:val="nil"/>
              <w:left w:val="nil"/>
              <w:bottom w:val="single" w:sz="4" w:space="0" w:color="auto"/>
              <w:right w:val="single" w:sz="4" w:space="0" w:color="auto"/>
            </w:tcBorders>
            <w:shd w:val="clear" w:color="auto" w:fill="auto"/>
            <w:noWrap/>
            <w:vAlign w:val="center"/>
            <w:hideMark/>
          </w:tcPr>
          <w:p w14:paraId="4B3676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£43,824.42</w:t>
            </w:r>
          </w:p>
        </w:tc>
        <w:tc>
          <w:tcPr>
            <w:tcW w:w="1587" w:type="dxa"/>
            <w:tcBorders>
              <w:top w:val="nil"/>
              <w:left w:val="nil"/>
              <w:bottom w:val="single" w:sz="4" w:space="0" w:color="auto"/>
              <w:right w:val="single" w:sz="4" w:space="0" w:color="auto"/>
            </w:tcBorders>
            <w:shd w:val="clear" w:color="auto" w:fill="auto"/>
            <w:noWrap/>
            <w:vAlign w:val="center"/>
            <w:hideMark/>
          </w:tcPr>
          <w:p w14:paraId="03662F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£175,297.68</w:t>
            </w:r>
          </w:p>
        </w:tc>
      </w:tr>
      <w:tr w:rsidR="004433D7" w:rsidRPr="004433D7" w14:paraId="73CAFB0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4D6C7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510" w:type="dxa"/>
            <w:tcBorders>
              <w:top w:val="nil"/>
              <w:left w:val="nil"/>
              <w:bottom w:val="single" w:sz="4" w:space="0" w:color="auto"/>
              <w:right w:val="single" w:sz="4" w:space="0" w:color="auto"/>
            </w:tcBorders>
            <w:shd w:val="clear" w:color="auto" w:fill="auto"/>
            <w:noWrap/>
            <w:vAlign w:val="center"/>
            <w:hideMark/>
          </w:tcPr>
          <w:p w14:paraId="5B4777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£5,819,324.62</w:t>
            </w:r>
          </w:p>
        </w:tc>
        <w:tc>
          <w:tcPr>
            <w:tcW w:w="1510" w:type="dxa"/>
            <w:tcBorders>
              <w:top w:val="nil"/>
              <w:left w:val="nil"/>
              <w:bottom w:val="single" w:sz="4" w:space="0" w:color="auto"/>
              <w:right w:val="single" w:sz="4" w:space="0" w:color="auto"/>
            </w:tcBorders>
            <w:shd w:val="clear" w:color="auto" w:fill="auto"/>
            <w:noWrap/>
            <w:vAlign w:val="center"/>
            <w:hideMark/>
          </w:tcPr>
          <w:p w14:paraId="5FC587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£1,454,831.16</w:t>
            </w:r>
          </w:p>
        </w:tc>
        <w:tc>
          <w:tcPr>
            <w:tcW w:w="1510" w:type="dxa"/>
            <w:tcBorders>
              <w:top w:val="nil"/>
              <w:left w:val="nil"/>
              <w:bottom w:val="single" w:sz="4" w:space="0" w:color="auto"/>
              <w:right w:val="single" w:sz="4" w:space="0" w:color="auto"/>
            </w:tcBorders>
            <w:shd w:val="clear" w:color="auto" w:fill="auto"/>
            <w:noWrap/>
            <w:vAlign w:val="center"/>
            <w:hideMark/>
          </w:tcPr>
          <w:p w14:paraId="37EFDB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£1,454,831.16</w:t>
            </w:r>
          </w:p>
        </w:tc>
        <w:tc>
          <w:tcPr>
            <w:tcW w:w="1510" w:type="dxa"/>
            <w:tcBorders>
              <w:top w:val="nil"/>
              <w:left w:val="nil"/>
              <w:bottom w:val="single" w:sz="4" w:space="0" w:color="auto"/>
              <w:right w:val="single" w:sz="4" w:space="0" w:color="auto"/>
            </w:tcBorders>
            <w:shd w:val="clear" w:color="auto" w:fill="auto"/>
            <w:noWrap/>
            <w:vAlign w:val="center"/>
            <w:hideMark/>
          </w:tcPr>
          <w:p w14:paraId="07B89B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£1,454,831.16</w:t>
            </w:r>
          </w:p>
        </w:tc>
        <w:tc>
          <w:tcPr>
            <w:tcW w:w="1510" w:type="dxa"/>
            <w:tcBorders>
              <w:top w:val="nil"/>
              <w:left w:val="nil"/>
              <w:bottom w:val="single" w:sz="4" w:space="0" w:color="auto"/>
              <w:right w:val="single" w:sz="4" w:space="0" w:color="auto"/>
            </w:tcBorders>
            <w:shd w:val="clear" w:color="auto" w:fill="auto"/>
            <w:noWrap/>
            <w:vAlign w:val="center"/>
            <w:hideMark/>
          </w:tcPr>
          <w:p w14:paraId="503CE4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£1,454,831.16</w:t>
            </w:r>
          </w:p>
        </w:tc>
        <w:tc>
          <w:tcPr>
            <w:tcW w:w="1587" w:type="dxa"/>
            <w:tcBorders>
              <w:top w:val="nil"/>
              <w:left w:val="nil"/>
              <w:bottom w:val="single" w:sz="4" w:space="0" w:color="auto"/>
              <w:right w:val="single" w:sz="4" w:space="0" w:color="auto"/>
            </w:tcBorders>
            <w:shd w:val="clear" w:color="auto" w:fill="auto"/>
            <w:noWrap/>
            <w:vAlign w:val="center"/>
            <w:hideMark/>
          </w:tcPr>
          <w:p w14:paraId="4B255F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£5,819,324.62</w:t>
            </w:r>
          </w:p>
        </w:tc>
      </w:tr>
      <w:tr w:rsidR="004433D7" w:rsidRPr="004433D7" w14:paraId="12BA0F1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0DA70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510" w:type="dxa"/>
            <w:tcBorders>
              <w:top w:val="nil"/>
              <w:left w:val="nil"/>
              <w:bottom w:val="single" w:sz="4" w:space="0" w:color="auto"/>
              <w:right w:val="single" w:sz="4" w:space="0" w:color="auto"/>
            </w:tcBorders>
            <w:shd w:val="clear" w:color="auto" w:fill="auto"/>
            <w:noWrap/>
            <w:vAlign w:val="center"/>
            <w:hideMark/>
          </w:tcPr>
          <w:p w14:paraId="1FCE26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£4,180,286.28</w:t>
            </w:r>
          </w:p>
        </w:tc>
        <w:tc>
          <w:tcPr>
            <w:tcW w:w="1510" w:type="dxa"/>
            <w:tcBorders>
              <w:top w:val="nil"/>
              <w:left w:val="nil"/>
              <w:bottom w:val="single" w:sz="4" w:space="0" w:color="auto"/>
              <w:right w:val="single" w:sz="4" w:space="0" w:color="auto"/>
            </w:tcBorders>
            <w:shd w:val="clear" w:color="auto" w:fill="auto"/>
            <w:noWrap/>
            <w:vAlign w:val="center"/>
            <w:hideMark/>
          </w:tcPr>
          <w:p w14:paraId="42B8AC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£1,045,071.57</w:t>
            </w:r>
          </w:p>
        </w:tc>
        <w:tc>
          <w:tcPr>
            <w:tcW w:w="1510" w:type="dxa"/>
            <w:tcBorders>
              <w:top w:val="nil"/>
              <w:left w:val="nil"/>
              <w:bottom w:val="single" w:sz="4" w:space="0" w:color="auto"/>
              <w:right w:val="single" w:sz="4" w:space="0" w:color="auto"/>
            </w:tcBorders>
            <w:shd w:val="clear" w:color="auto" w:fill="auto"/>
            <w:noWrap/>
            <w:vAlign w:val="center"/>
            <w:hideMark/>
          </w:tcPr>
          <w:p w14:paraId="41B0AA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£1,045,071.57</w:t>
            </w:r>
          </w:p>
        </w:tc>
        <w:tc>
          <w:tcPr>
            <w:tcW w:w="1510" w:type="dxa"/>
            <w:tcBorders>
              <w:top w:val="nil"/>
              <w:left w:val="nil"/>
              <w:bottom w:val="single" w:sz="4" w:space="0" w:color="auto"/>
              <w:right w:val="single" w:sz="4" w:space="0" w:color="auto"/>
            </w:tcBorders>
            <w:shd w:val="clear" w:color="auto" w:fill="auto"/>
            <w:noWrap/>
            <w:vAlign w:val="center"/>
            <w:hideMark/>
          </w:tcPr>
          <w:p w14:paraId="318CF7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£1,045,071.57</w:t>
            </w:r>
          </w:p>
        </w:tc>
        <w:tc>
          <w:tcPr>
            <w:tcW w:w="1510" w:type="dxa"/>
            <w:tcBorders>
              <w:top w:val="nil"/>
              <w:left w:val="nil"/>
              <w:bottom w:val="single" w:sz="4" w:space="0" w:color="auto"/>
              <w:right w:val="single" w:sz="4" w:space="0" w:color="auto"/>
            </w:tcBorders>
            <w:shd w:val="clear" w:color="auto" w:fill="auto"/>
            <w:noWrap/>
            <w:vAlign w:val="center"/>
            <w:hideMark/>
          </w:tcPr>
          <w:p w14:paraId="07F5A2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£1,045,071.57</w:t>
            </w:r>
          </w:p>
        </w:tc>
        <w:tc>
          <w:tcPr>
            <w:tcW w:w="1587" w:type="dxa"/>
            <w:tcBorders>
              <w:top w:val="nil"/>
              <w:left w:val="nil"/>
              <w:bottom w:val="single" w:sz="4" w:space="0" w:color="auto"/>
              <w:right w:val="single" w:sz="4" w:space="0" w:color="auto"/>
            </w:tcBorders>
            <w:shd w:val="clear" w:color="auto" w:fill="auto"/>
            <w:noWrap/>
            <w:vAlign w:val="center"/>
            <w:hideMark/>
          </w:tcPr>
          <w:p w14:paraId="755D2D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£4,180,286.28</w:t>
            </w:r>
          </w:p>
        </w:tc>
      </w:tr>
      <w:tr w:rsidR="004433D7" w:rsidRPr="004433D7" w14:paraId="751D26F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E29B0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510" w:type="dxa"/>
            <w:tcBorders>
              <w:top w:val="nil"/>
              <w:left w:val="nil"/>
              <w:bottom w:val="single" w:sz="4" w:space="0" w:color="auto"/>
              <w:right w:val="single" w:sz="4" w:space="0" w:color="auto"/>
            </w:tcBorders>
            <w:shd w:val="clear" w:color="auto" w:fill="auto"/>
            <w:noWrap/>
            <w:vAlign w:val="center"/>
            <w:hideMark/>
          </w:tcPr>
          <w:p w14:paraId="3E6277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£10,239.09</w:t>
            </w:r>
          </w:p>
        </w:tc>
        <w:tc>
          <w:tcPr>
            <w:tcW w:w="1510" w:type="dxa"/>
            <w:tcBorders>
              <w:top w:val="nil"/>
              <w:left w:val="nil"/>
              <w:bottom w:val="single" w:sz="4" w:space="0" w:color="auto"/>
              <w:right w:val="single" w:sz="4" w:space="0" w:color="auto"/>
            </w:tcBorders>
            <w:shd w:val="clear" w:color="auto" w:fill="auto"/>
            <w:noWrap/>
            <w:vAlign w:val="center"/>
            <w:hideMark/>
          </w:tcPr>
          <w:p w14:paraId="628B30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£2,559.77</w:t>
            </w:r>
          </w:p>
        </w:tc>
        <w:tc>
          <w:tcPr>
            <w:tcW w:w="1510" w:type="dxa"/>
            <w:tcBorders>
              <w:top w:val="nil"/>
              <w:left w:val="nil"/>
              <w:bottom w:val="single" w:sz="4" w:space="0" w:color="auto"/>
              <w:right w:val="single" w:sz="4" w:space="0" w:color="auto"/>
            </w:tcBorders>
            <w:shd w:val="clear" w:color="auto" w:fill="auto"/>
            <w:noWrap/>
            <w:vAlign w:val="center"/>
            <w:hideMark/>
          </w:tcPr>
          <w:p w14:paraId="10CA3A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£2,559.77</w:t>
            </w:r>
          </w:p>
        </w:tc>
        <w:tc>
          <w:tcPr>
            <w:tcW w:w="1510" w:type="dxa"/>
            <w:tcBorders>
              <w:top w:val="nil"/>
              <w:left w:val="nil"/>
              <w:bottom w:val="single" w:sz="4" w:space="0" w:color="auto"/>
              <w:right w:val="single" w:sz="4" w:space="0" w:color="auto"/>
            </w:tcBorders>
            <w:shd w:val="clear" w:color="auto" w:fill="auto"/>
            <w:noWrap/>
            <w:vAlign w:val="center"/>
            <w:hideMark/>
          </w:tcPr>
          <w:p w14:paraId="3932D9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£2,559.77</w:t>
            </w:r>
          </w:p>
        </w:tc>
        <w:tc>
          <w:tcPr>
            <w:tcW w:w="1510" w:type="dxa"/>
            <w:tcBorders>
              <w:top w:val="nil"/>
              <w:left w:val="nil"/>
              <w:bottom w:val="single" w:sz="4" w:space="0" w:color="auto"/>
              <w:right w:val="single" w:sz="4" w:space="0" w:color="auto"/>
            </w:tcBorders>
            <w:shd w:val="clear" w:color="auto" w:fill="auto"/>
            <w:noWrap/>
            <w:vAlign w:val="center"/>
            <w:hideMark/>
          </w:tcPr>
          <w:p w14:paraId="6EC17D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£2,559.77</w:t>
            </w:r>
          </w:p>
        </w:tc>
        <w:tc>
          <w:tcPr>
            <w:tcW w:w="1587" w:type="dxa"/>
            <w:tcBorders>
              <w:top w:val="nil"/>
              <w:left w:val="nil"/>
              <w:bottom w:val="single" w:sz="4" w:space="0" w:color="auto"/>
              <w:right w:val="single" w:sz="4" w:space="0" w:color="auto"/>
            </w:tcBorders>
            <w:shd w:val="clear" w:color="auto" w:fill="auto"/>
            <w:noWrap/>
            <w:vAlign w:val="center"/>
            <w:hideMark/>
          </w:tcPr>
          <w:p w14:paraId="100399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£10,239.08</w:t>
            </w:r>
          </w:p>
        </w:tc>
      </w:tr>
      <w:tr w:rsidR="004433D7" w:rsidRPr="004433D7" w14:paraId="159B75E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A6CC59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Eddington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39E444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£91,740.28</w:t>
            </w:r>
          </w:p>
        </w:tc>
        <w:tc>
          <w:tcPr>
            <w:tcW w:w="1510" w:type="dxa"/>
            <w:tcBorders>
              <w:top w:val="nil"/>
              <w:left w:val="nil"/>
              <w:bottom w:val="single" w:sz="4" w:space="0" w:color="auto"/>
              <w:right w:val="single" w:sz="4" w:space="0" w:color="auto"/>
            </w:tcBorders>
            <w:shd w:val="clear" w:color="auto" w:fill="auto"/>
            <w:noWrap/>
            <w:vAlign w:val="center"/>
            <w:hideMark/>
          </w:tcPr>
          <w:p w14:paraId="053754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£22,935.07</w:t>
            </w:r>
          </w:p>
        </w:tc>
        <w:tc>
          <w:tcPr>
            <w:tcW w:w="1510" w:type="dxa"/>
            <w:tcBorders>
              <w:top w:val="nil"/>
              <w:left w:val="nil"/>
              <w:bottom w:val="single" w:sz="4" w:space="0" w:color="auto"/>
              <w:right w:val="single" w:sz="4" w:space="0" w:color="auto"/>
            </w:tcBorders>
            <w:shd w:val="clear" w:color="auto" w:fill="auto"/>
            <w:noWrap/>
            <w:vAlign w:val="center"/>
            <w:hideMark/>
          </w:tcPr>
          <w:p w14:paraId="36AD0F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£22,935.07</w:t>
            </w:r>
          </w:p>
        </w:tc>
        <w:tc>
          <w:tcPr>
            <w:tcW w:w="1510" w:type="dxa"/>
            <w:tcBorders>
              <w:top w:val="nil"/>
              <w:left w:val="nil"/>
              <w:bottom w:val="single" w:sz="4" w:space="0" w:color="auto"/>
              <w:right w:val="single" w:sz="4" w:space="0" w:color="auto"/>
            </w:tcBorders>
            <w:shd w:val="clear" w:color="auto" w:fill="auto"/>
            <w:noWrap/>
            <w:vAlign w:val="center"/>
            <w:hideMark/>
          </w:tcPr>
          <w:p w14:paraId="283716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£22,935.07</w:t>
            </w:r>
          </w:p>
        </w:tc>
        <w:tc>
          <w:tcPr>
            <w:tcW w:w="1510" w:type="dxa"/>
            <w:tcBorders>
              <w:top w:val="nil"/>
              <w:left w:val="nil"/>
              <w:bottom w:val="single" w:sz="4" w:space="0" w:color="auto"/>
              <w:right w:val="single" w:sz="4" w:space="0" w:color="auto"/>
            </w:tcBorders>
            <w:shd w:val="clear" w:color="auto" w:fill="auto"/>
            <w:noWrap/>
            <w:vAlign w:val="center"/>
            <w:hideMark/>
          </w:tcPr>
          <w:p w14:paraId="645CB2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£22,935.07</w:t>
            </w:r>
          </w:p>
        </w:tc>
        <w:tc>
          <w:tcPr>
            <w:tcW w:w="1587" w:type="dxa"/>
            <w:tcBorders>
              <w:top w:val="nil"/>
              <w:left w:val="nil"/>
              <w:bottom w:val="single" w:sz="4" w:space="0" w:color="auto"/>
              <w:right w:val="single" w:sz="4" w:space="0" w:color="auto"/>
            </w:tcBorders>
            <w:shd w:val="clear" w:color="auto" w:fill="auto"/>
            <w:noWrap/>
            <w:vAlign w:val="center"/>
            <w:hideMark/>
          </w:tcPr>
          <w:p w14:paraId="533E3C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£91,740.28</w:t>
            </w:r>
          </w:p>
        </w:tc>
      </w:tr>
      <w:tr w:rsidR="004433D7" w:rsidRPr="004433D7" w14:paraId="0735E64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07711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510" w:type="dxa"/>
            <w:tcBorders>
              <w:top w:val="nil"/>
              <w:left w:val="nil"/>
              <w:bottom w:val="single" w:sz="4" w:space="0" w:color="auto"/>
              <w:right w:val="single" w:sz="4" w:space="0" w:color="auto"/>
            </w:tcBorders>
            <w:shd w:val="clear" w:color="auto" w:fill="auto"/>
            <w:noWrap/>
            <w:vAlign w:val="center"/>
            <w:hideMark/>
          </w:tcPr>
          <w:p w14:paraId="208A6C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£14,042,328.69</w:t>
            </w:r>
          </w:p>
        </w:tc>
        <w:tc>
          <w:tcPr>
            <w:tcW w:w="1510" w:type="dxa"/>
            <w:tcBorders>
              <w:top w:val="nil"/>
              <w:left w:val="nil"/>
              <w:bottom w:val="single" w:sz="4" w:space="0" w:color="auto"/>
              <w:right w:val="single" w:sz="4" w:space="0" w:color="auto"/>
            </w:tcBorders>
            <w:shd w:val="clear" w:color="auto" w:fill="auto"/>
            <w:noWrap/>
            <w:vAlign w:val="center"/>
            <w:hideMark/>
          </w:tcPr>
          <w:p w14:paraId="796F63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£3,510,582.17</w:t>
            </w:r>
          </w:p>
        </w:tc>
        <w:tc>
          <w:tcPr>
            <w:tcW w:w="1510" w:type="dxa"/>
            <w:tcBorders>
              <w:top w:val="nil"/>
              <w:left w:val="nil"/>
              <w:bottom w:val="single" w:sz="4" w:space="0" w:color="auto"/>
              <w:right w:val="single" w:sz="4" w:space="0" w:color="auto"/>
            </w:tcBorders>
            <w:shd w:val="clear" w:color="auto" w:fill="auto"/>
            <w:noWrap/>
            <w:vAlign w:val="center"/>
            <w:hideMark/>
          </w:tcPr>
          <w:p w14:paraId="414CCD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£3,510,582.17</w:t>
            </w:r>
          </w:p>
        </w:tc>
        <w:tc>
          <w:tcPr>
            <w:tcW w:w="1510" w:type="dxa"/>
            <w:tcBorders>
              <w:top w:val="nil"/>
              <w:left w:val="nil"/>
              <w:bottom w:val="single" w:sz="4" w:space="0" w:color="auto"/>
              <w:right w:val="single" w:sz="4" w:space="0" w:color="auto"/>
            </w:tcBorders>
            <w:shd w:val="clear" w:color="auto" w:fill="auto"/>
            <w:noWrap/>
            <w:vAlign w:val="center"/>
            <w:hideMark/>
          </w:tcPr>
          <w:p w14:paraId="3A628D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£3,510,582.17</w:t>
            </w:r>
          </w:p>
        </w:tc>
        <w:tc>
          <w:tcPr>
            <w:tcW w:w="1510" w:type="dxa"/>
            <w:tcBorders>
              <w:top w:val="nil"/>
              <w:left w:val="nil"/>
              <w:bottom w:val="single" w:sz="4" w:space="0" w:color="auto"/>
              <w:right w:val="single" w:sz="4" w:space="0" w:color="auto"/>
            </w:tcBorders>
            <w:shd w:val="clear" w:color="auto" w:fill="auto"/>
            <w:noWrap/>
            <w:vAlign w:val="center"/>
            <w:hideMark/>
          </w:tcPr>
          <w:p w14:paraId="71E834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£3,510,582.17</w:t>
            </w:r>
          </w:p>
        </w:tc>
        <w:tc>
          <w:tcPr>
            <w:tcW w:w="1587" w:type="dxa"/>
            <w:tcBorders>
              <w:top w:val="nil"/>
              <w:left w:val="nil"/>
              <w:bottom w:val="single" w:sz="4" w:space="0" w:color="auto"/>
              <w:right w:val="single" w:sz="4" w:space="0" w:color="auto"/>
            </w:tcBorders>
            <w:shd w:val="clear" w:color="auto" w:fill="auto"/>
            <w:noWrap/>
            <w:vAlign w:val="center"/>
            <w:hideMark/>
          </w:tcPr>
          <w:p w14:paraId="74233F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£14,042,328.68</w:t>
            </w:r>
          </w:p>
        </w:tc>
      </w:tr>
      <w:tr w:rsidR="004433D7" w:rsidRPr="004433D7" w14:paraId="479BA61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D1146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Edgware Energy Limited </w:t>
            </w:r>
          </w:p>
        </w:tc>
        <w:tc>
          <w:tcPr>
            <w:tcW w:w="1510" w:type="dxa"/>
            <w:tcBorders>
              <w:top w:val="nil"/>
              <w:left w:val="nil"/>
              <w:bottom w:val="single" w:sz="4" w:space="0" w:color="auto"/>
              <w:right w:val="single" w:sz="4" w:space="0" w:color="auto"/>
            </w:tcBorders>
            <w:shd w:val="clear" w:color="auto" w:fill="auto"/>
            <w:noWrap/>
            <w:vAlign w:val="center"/>
            <w:hideMark/>
          </w:tcPr>
          <w:p w14:paraId="25098E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£14.75</w:t>
            </w:r>
          </w:p>
        </w:tc>
        <w:tc>
          <w:tcPr>
            <w:tcW w:w="1510" w:type="dxa"/>
            <w:tcBorders>
              <w:top w:val="nil"/>
              <w:left w:val="nil"/>
              <w:bottom w:val="single" w:sz="4" w:space="0" w:color="auto"/>
              <w:right w:val="single" w:sz="4" w:space="0" w:color="auto"/>
            </w:tcBorders>
            <w:shd w:val="clear" w:color="auto" w:fill="auto"/>
            <w:noWrap/>
            <w:vAlign w:val="center"/>
            <w:hideMark/>
          </w:tcPr>
          <w:p w14:paraId="7AAC12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w:t>
            </w:r>
          </w:p>
        </w:tc>
        <w:tc>
          <w:tcPr>
            <w:tcW w:w="1510" w:type="dxa"/>
            <w:tcBorders>
              <w:top w:val="nil"/>
              <w:left w:val="nil"/>
              <w:bottom w:val="single" w:sz="4" w:space="0" w:color="auto"/>
              <w:right w:val="single" w:sz="4" w:space="0" w:color="auto"/>
            </w:tcBorders>
            <w:shd w:val="clear" w:color="auto" w:fill="auto"/>
            <w:noWrap/>
            <w:vAlign w:val="center"/>
            <w:hideMark/>
          </w:tcPr>
          <w:p w14:paraId="365532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w:t>
            </w:r>
          </w:p>
        </w:tc>
        <w:tc>
          <w:tcPr>
            <w:tcW w:w="1510" w:type="dxa"/>
            <w:tcBorders>
              <w:top w:val="nil"/>
              <w:left w:val="nil"/>
              <w:bottom w:val="single" w:sz="4" w:space="0" w:color="auto"/>
              <w:right w:val="single" w:sz="4" w:space="0" w:color="auto"/>
            </w:tcBorders>
            <w:shd w:val="clear" w:color="auto" w:fill="auto"/>
            <w:noWrap/>
            <w:vAlign w:val="center"/>
            <w:hideMark/>
          </w:tcPr>
          <w:p w14:paraId="7D7916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w:t>
            </w:r>
          </w:p>
        </w:tc>
        <w:tc>
          <w:tcPr>
            <w:tcW w:w="1510" w:type="dxa"/>
            <w:tcBorders>
              <w:top w:val="nil"/>
              <w:left w:val="nil"/>
              <w:bottom w:val="single" w:sz="4" w:space="0" w:color="auto"/>
              <w:right w:val="single" w:sz="4" w:space="0" w:color="auto"/>
            </w:tcBorders>
            <w:shd w:val="clear" w:color="auto" w:fill="auto"/>
            <w:noWrap/>
            <w:vAlign w:val="center"/>
            <w:hideMark/>
          </w:tcPr>
          <w:p w14:paraId="295311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w:t>
            </w:r>
          </w:p>
        </w:tc>
        <w:tc>
          <w:tcPr>
            <w:tcW w:w="1587" w:type="dxa"/>
            <w:tcBorders>
              <w:top w:val="nil"/>
              <w:left w:val="nil"/>
              <w:bottom w:val="single" w:sz="4" w:space="0" w:color="auto"/>
              <w:right w:val="single" w:sz="4" w:space="0" w:color="auto"/>
            </w:tcBorders>
            <w:shd w:val="clear" w:color="auto" w:fill="auto"/>
            <w:noWrap/>
            <w:vAlign w:val="center"/>
            <w:hideMark/>
          </w:tcPr>
          <w:p w14:paraId="72C340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£14.76</w:t>
            </w:r>
          </w:p>
        </w:tc>
      </w:tr>
      <w:tr w:rsidR="004433D7" w:rsidRPr="004433D7" w14:paraId="44A2FD6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3F918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Effortless Energy Ltd.</w:t>
            </w:r>
          </w:p>
        </w:tc>
        <w:tc>
          <w:tcPr>
            <w:tcW w:w="1510" w:type="dxa"/>
            <w:tcBorders>
              <w:top w:val="nil"/>
              <w:left w:val="nil"/>
              <w:bottom w:val="single" w:sz="4" w:space="0" w:color="auto"/>
              <w:right w:val="single" w:sz="4" w:space="0" w:color="auto"/>
            </w:tcBorders>
            <w:shd w:val="clear" w:color="auto" w:fill="auto"/>
            <w:noWrap/>
            <w:vAlign w:val="center"/>
            <w:hideMark/>
          </w:tcPr>
          <w:p w14:paraId="56BDD0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£4,557.35</w:t>
            </w:r>
          </w:p>
        </w:tc>
        <w:tc>
          <w:tcPr>
            <w:tcW w:w="1510" w:type="dxa"/>
            <w:tcBorders>
              <w:top w:val="nil"/>
              <w:left w:val="nil"/>
              <w:bottom w:val="single" w:sz="4" w:space="0" w:color="auto"/>
              <w:right w:val="single" w:sz="4" w:space="0" w:color="auto"/>
            </w:tcBorders>
            <w:shd w:val="clear" w:color="auto" w:fill="auto"/>
            <w:noWrap/>
            <w:vAlign w:val="center"/>
            <w:hideMark/>
          </w:tcPr>
          <w:p w14:paraId="4B018C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583F7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2A9B8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4201C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1EE4A5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2FE0EF1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E1459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4C38A4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£709,229.95</w:t>
            </w:r>
          </w:p>
        </w:tc>
        <w:tc>
          <w:tcPr>
            <w:tcW w:w="1510" w:type="dxa"/>
            <w:tcBorders>
              <w:top w:val="nil"/>
              <w:left w:val="nil"/>
              <w:bottom w:val="single" w:sz="4" w:space="0" w:color="auto"/>
              <w:right w:val="single" w:sz="4" w:space="0" w:color="auto"/>
            </w:tcBorders>
            <w:shd w:val="clear" w:color="auto" w:fill="auto"/>
            <w:noWrap/>
            <w:vAlign w:val="center"/>
            <w:hideMark/>
          </w:tcPr>
          <w:p w14:paraId="3406D8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£177,307.49</w:t>
            </w:r>
          </w:p>
        </w:tc>
        <w:tc>
          <w:tcPr>
            <w:tcW w:w="1510" w:type="dxa"/>
            <w:tcBorders>
              <w:top w:val="nil"/>
              <w:left w:val="nil"/>
              <w:bottom w:val="single" w:sz="4" w:space="0" w:color="auto"/>
              <w:right w:val="single" w:sz="4" w:space="0" w:color="auto"/>
            </w:tcBorders>
            <w:shd w:val="clear" w:color="auto" w:fill="auto"/>
            <w:noWrap/>
            <w:vAlign w:val="center"/>
            <w:hideMark/>
          </w:tcPr>
          <w:p w14:paraId="05BB20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£177,307.49</w:t>
            </w:r>
          </w:p>
        </w:tc>
        <w:tc>
          <w:tcPr>
            <w:tcW w:w="1510" w:type="dxa"/>
            <w:tcBorders>
              <w:top w:val="nil"/>
              <w:left w:val="nil"/>
              <w:bottom w:val="single" w:sz="4" w:space="0" w:color="auto"/>
              <w:right w:val="single" w:sz="4" w:space="0" w:color="auto"/>
            </w:tcBorders>
            <w:shd w:val="clear" w:color="auto" w:fill="auto"/>
            <w:noWrap/>
            <w:vAlign w:val="center"/>
            <w:hideMark/>
          </w:tcPr>
          <w:p w14:paraId="76C99D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£177,307.49</w:t>
            </w:r>
          </w:p>
        </w:tc>
        <w:tc>
          <w:tcPr>
            <w:tcW w:w="1510" w:type="dxa"/>
            <w:tcBorders>
              <w:top w:val="nil"/>
              <w:left w:val="nil"/>
              <w:bottom w:val="single" w:sz="4" w:space="0" w:color="auto"/>
              <w:right w:val="single" w:sz="4" w:space="0" w:color="auto"/>
            </w:tcBorders>
            <w:shd w:val="clear" w:color="auto" w:fill="auto"/>
            <w:noWrap/>
            <w:vAlign w:val="center"/>
            <w:hideMark/>
          </w:tcPr>
          <w:p w14:paraId="2FB16D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£177,307.49</w:t>
            </w:r>
          </w:p>
        </w:tc>
        <w:tc>
          <w:tcPr>
            <w:tcW w:w="1587" w:type="dxa"/>
            <w:tcBorders>
              <w:top w:val="nil"/>
              <w:left w:val="nil"/>
              <w:bottom w:val="single" w:sz="4" w:space="0" w:color="auto"/>
              <w:right w:val="single" w:sz="4" w:space="0" w:color="auto"/>
            </w:tcBorders>
            <w:shd w:val="clear" w:color="auto" w:fill="auto"/>
            <w:noWrap/>
            <w:vAlign w:val="center"/>
            <w:hideMark/>
          </w:tcPr>
          <w:p w14:paraId="44BA08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£709,229.96</w:t>
            </w:r>
          </w:p>
        </w:tc>
      </w:tr>
      <w:tr w:rsidR="004433D7" w:rsidRPr="004433D7" w14:paraId="1006397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34154D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Electroroute</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5C60B6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£2,680.52</w:t>
            </w:r>
          </w:p>
        </w:tc>
        <w:tc>
          <w:tcPr>
            <w:tcW w:w="1510" w:type="dxa"/>
            <w:tcBorders>
              <w:top w:val="nil"/>
              <w:left w:val="nil"/>
              <w:bottom w:val="single" w:sz="4" w:space="0" w:color="auto"/>
              <w:right w:val="single" w:sz="4" w:space="0" w:color="auto"/>
            </w:tcBorders>
            <w:shd w:val="clear" w:color="auto" w:fill="auto"/>
            <w:noWrap/>
            <w:vAlign w:val="center"/>
            <w:hideMark/>
          </w:tcPr>
          <w:p w14:paraId="053C1E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£2,680.52</w:t>
            </w:r>
          </w:p>
        </w:tc>
        <w:tc>
          <w:tcPr>
            <w:tcW w:w="1510" w:type="dxa"/>
            <w:tcBorders>
              <w:top w:val="nil"/>
              <w:left w:val="nil"/>
              <w:bottom w:val="single" w:sz="4" w:space="0" w:color="auto"/>
              <w:right w:val="single" w:sz="4" w:space="0" w:color="auto"/>
            </w:tcBorders>
            <w:shd w:val="clear" w:color="auto" w:fill="auto"/>
            <w:noWrap/>
            <w:vAlign w:val="center"/>
            <w:hideMark/>
          </w:tcPr>
          <w:p w14:paraId="6E7838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52640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78DAF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118E02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£2,680.52</w:t>
            </w:r>
          </w:p>
        </w:tc>
      </w:tr>
      <w:tr w:rsidR="004433D7" w:rsidRPr="004433D7" w14:paraId="12105F3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D85A0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510" w:type="dxa"/>
            <w:tcBorders>
              <w:top w:val="nil"/>
              <w:left w:val="nil"/>
              <w:bottom w:val="single" w:sz="4" w:space="0" w:color="auto"/>
              <w:right w:val="single" w:sz="4" w:space="0" w:color="auto"/>
            </w:tcBorders>
            <w:shd w:val="clear" w:color="auto" w:fill="auto"/>
            <w:noWrap/>
            <w:vAlign w:val="center"/>
            <w:hideMark/>
          </w:tcPr>
          <w:p w14:paraId="5C03CF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£154,081.03</w:t>
            </w:r>
          </w:p>
        </w:tc>
        <w:tc>
          <w:tcPr>
            <w:tcW w:w="1510" w:type="dxa"/>
            <w:tcBorders>
              <w:top w:val="nil"/>
              <w:left w:val="nil"/>
              <w:bottom w:val="single" w:sz="4" w:space="0" w:color="auto"/>
              <w:right w:val="single" w:sz="4" w:space="0" w:color="auto"/>
            </w:tcBorders>
            <w:shd w:val="clear" w:color="auto" w:fill="auto"/>
            <w:noWrap/>
            <w:vAlign w:val="center"/>
            <w:hideMark/>
          </w:tcPr>
          <w:p w14:paraId="194160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£38,520.26</w:t>
            </w:r>
          </w:p>
        </w:tc>
        <w:tc>
          <w:tcPr>
            <w:tcW w:w="1510" w:type="dxa"/>
            <w:tcBorders>
              <w:top w:val="nil"/>
              <w:left w:val="nil"/>
              <w:bottom w:val="single" w:sz="4" w:space="0" w:color="auto"/>
              <w:right w:val="single" w:sz="4" w:space="0" w:color="auto"/>
            </w:tcBorders>
            <w:shd w:val="clear" w:color="auto" w:fill="auto"/>
            <w:noWrap/>
            <w:vAlign w:val="center"/>
            <w:hideMark/>
          </w:tcPr>
          <w:p w14:paraId="7C0EC9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£38,520.26</w:t>
            </w:r>
          </w:p>
        </w:tc>
        <w:tc>
          <w:tcPr>
            <w:tcW w:w="1510" w:type="dxa"/>
            <w:tcBorders>
              <w:top w:val="nil"/>
              <w:left w:val="nil"/>
              <w:bottom w:val="single" w:sz="4" w:space="0" w:color="auto"/>
              <w:right w:val="single" w:sz="4" w:space="0" w:color="auto"/>
            </w:tcBorders>
            <w:shd w:val="clear" w:color="auto" w:fill="auto"/>
            <w:noWrap/>
            <w:vAlign w:val="center"/>
            <w:hideMark/>
          </w:tcPr>
          <w:p w14:paraId="5E5A2F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£38,520.26</w:t>
            </w:r>
          </w:p>
        </w:tc>
        <w:tc>
          <w:tcPr>
            <w:tcW w:w="1510" w:type="dxa"/>
            <w:tcBorders>
              <w:top w:val="nil"/>
              <w:left w:val="nil"/>
              <w:bottom w:val="single" w:sz="4" w:space="0" w:color="auto"/>
              <w:right w:val="single" w:sz="4" w:space="0" w:color="auto"/>
            </w:tcBorders>
            <w:shd w:val="clear" w:color="auto" w:fill="auto"/>
            <w:noWrap/>
            <w:vAlign w:val="center"/>
            <w:hideMark/>
          </w:tcPr>
          <w:p w14:paraId="44E8D7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£38,520.26</w:t>
            </w:r>
          </w:p>
        </w:tc>
        <w:tc>
          <w:tcPr>
            <w:tcW w:w="1587" w:type="dxa"/>
            <w:tcBorders>
              <w:top w:val="nil"/>
              <w:left w:val="nil"/>
              <w:bottom w:val="single" w:sz="4" w:space="0" w:color="auto"/>
              <w:right w:val="single" w:sz="4" w:space="0" w:color="auto"/>
            </w:tcBorders>
            <w:shd w:val="clear" w:color="auto" w:fill="auto"/>
            <w:noWrap/>
            <w:vAlign w:val="center"/>
            <w:hideMark/>
          </w:tcPr>
          <w:p w14:paraId="33A668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£154,081.04</w:t>
            </w:r>
          </w:p>
        </w:tc>
      </w:tr>
      <w:tr w:rsidR="004433D7" w:rsidRPr="004433D7" w14:paraId="3343ACC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217E6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34FBCC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£2,959,573.04</w:t>
            </w:r>
          </w:p>
        </w:tc>
        <w:tc>
          <w:tcPr>
            <w:tcW w:w="1510" w:type="dxa"/>
            <w:tcBorders>
              <w:top w:val="nil"/>
              <w:left w:val="nil"/>
              <w:bottom w:val="single" w:sz="4" w:space="0" w:color="auto"/>
              <w:right w:val="single" w:sz="4" w:space="0" w:color="auto"/>
            </w:tcBorders>
            <w:shd w:val="clear" w:color="auto" w:fill="auto"/>
            <w:noWrap/>
            <w:vAlign w:val="center"/>
            <w:hideMark/>
          </w:tcPr>
          <w:p w14:paraId="3AF361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£739,893.26</w:t>
            </w:r>
          </w:p>
        </w:tc>
        <w:tc>
          <w:tcPr>
            <w:tcW w:w="1510" w:type="dxa"/>
            <w:tcBorders>
              <w:top w:val="nil"/>
              <w:left w:val="nil"/>
              <w:bottom w:val="single" w:sz="4" w:space="0" w:color="auto"/>
              <w:right w:val="single" w:sz="4" w:space="0" w:color="auto"/>
            </w:tcBorders>
            <w:shd w:val="clear" w:color="auto" w:fill="auto"/>
            <w:noWrap/>
            <w:vAlign w:val="center"/>
            <w:hideMark/>
          </w:tcPr>
          <w:p w14:paraId="25E494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£739,893.26</w:t>
            </w:r>
          </w:p>
        </w:tc>
        <w:tc>
          <w:tcPr>
            <w:tcW w:w="1510" w:type="dxa"/>
            <w:tcBorders>
              <w:top w:val="nil"/>
              <w:left w:val="nil"/>
              <w:bottom w:val="single" w:sz="4" w:space="0" w:color="auto"/>
              <w:right w:val="single" w:sz="4" w:space="0" w:color="auto"/>
            </w:tcBorders>
            <w:shd w:val="clear" w:color="auto" w:fill="auto"/>
            <w:noWrap/>
            <w:vAlign w:val="center"/>
            <w:hideMark/>
          </w:tcPr>
          <w:p w14:paraId="4D2F59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£739,893.26</w:t>
            </w:r>
          </w:p>
        </w:tc>
        <w:tc>
          <w:tcPr>
            <w:tcW w:w="1510" w:type="dxa"/>
            <w:tcBorders>
              <w:top w:val="nil"/>
              <w:left w:val="nil"/>
              <w:bottom w:val="single" w:sz="4" w:space="0" w:color="auto"/>
              <w:right w:val="single" w:sz="4" w:space="0" w:color="auto"/>
            </w:tcBorders>
            <w:shd w:val="clear" w:color="auto" w:fill="auto"/>
            <w:noWrap/>
            <w:vAlign w:val="center"/>
            <w:hideMark/>
          </w:tcPr>
          <w:p w14:paraId="2C8173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£739,893.26</w:t>
            </w:r>
          </w:p>
        </w:tc>
        <w:tc>
          <w:tcPr>
            <w:tcW w:w="1587" w:type="dxa"/>
            <w:tcBorders>
              <w:top w:val="nil"/>
              <w:left w:val="nil"/>
              <w:bottom w:val="single" w:sz="4" w:space="0" w:color="auto"/>
              <w:right w:val="single" w:sz="4" w:space="0" w:color="auto"/>
            </w:tcBorders>
            <w:shd w:val="clear" w:color="auto" w:fill="auto"/>
            <w:noWrap/>
            <w:vAlign w:val="center"/>
            <w:hideMark/>
          </w:tcPr>
          <w:p w14:paraId="7D474C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£2,959,573.04</w:t>
            </w:r>
          </w:p>
        </w:tc>
      </w:tr>
      <w:tr w:rsidR="004433D7" w:rsidRPr="004433D7" w14:paraId="7E62A0B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481D3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Enstroga</w:t>
            </w:r>
            <w:proofErr w:type="spellEnd"/>
            <w:r w:rsidRPr="004433D7">
              <w:rPr>
                <w:rFonts w:eastAsia="Times New Roman" w:cs="Times New Roman"/>
                <w:color w:val="000000"/>
                <w:sz w:val="16"/>
                <w:szCs w:val="16"/>
              </w:rPr>
              <w:t xml:space="preserve"> Ltd</w:t>
            </w:r>
          </w:p>
        </w:tc>
        <w:tc>
          <w:tcPr>
            <w:tcW w:w="1510" w:type="dxa"/>
            <w:tcBorders>
              <w:top w:val="nil"/>
              <w:left w:val="nil"/>
              <w:bottom w:val="single" w:sz="4" w:space="0" w:color="auto"/>
              <w:right w:val="single" w:sz="4" w:space="0" w:color="auto"/>
            </w:tcBorders>
            <w:shd w:val="clear" w:color="auto" w:fill="auto"/>
            <w:noWrap/>
            <w:vAlign w:val="center"/>
            <w:hideMark/>
          </w:tcPr>
          <w:p w14:paraId="5794C4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£45,490.43</w:t>
            </w:r>
          </w:p>
        </w:tc>
        <w:tc>
          <w:tcPr>
            <w:tcW w:w="1510" w:type="dxa"/>
            <w:tcBorders>
              <w:top w:val="nil"/>
              <w:left w:val="nil"/>
              <w:bottom w:val="single" w:sz="4" w:space="0" w:color="auto"/>
              <w:right w:val="single" w:sz="4" w:space="0" w:color="auto"/>
            </w:tcBorders>
            <w:shd w:val="clear" w:color="auto" w:fill="auto"/>
            <w:noWrap/>
            <w:vAlign w:val="center"/>
            <w:hideMark/>
          </w:tcPr>
          <w:p w14:paraId="0152C5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£11,372.61</w:t>
            </w:r>
          </w:p>
        </w:tc>
        <w:tc>
          <w:tcPr>
            <w:tcW w:w="1510" w:type="dxa"/>
            <w:tcBorders>
              <w:top w:val="nil"/>
              <w:left w:val="nil"/>
              <w:bottom w:val="single" w:sz="4" w:space="0" w:color="auto"/>
              <w:right w:val="single" w:sz="4" w:space="0" w:color="auto"/>
            </w:tcBorders>
            <w:shd w:val="clear" w:color="auto" w:fill="auto"/>
            <w:noWrap/>
            <w:vAlign w:val="center"/>
            <w:hideMark/>
          </w:tcPr>
          <w:p w14:paraId="5F70D6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£34,117.83</w:t>
            </w:r>
          </w:p>
        </w:tc>
        <w:tc>
          <w:tcPr>
            <w:tcW w:w="1510" w:type="dxa"/>
            <w:tcBorders>
              <w:top w:val="nil"/>
              <w:left w:val="nil"/>
              <w:bottom w:val="single" w:sz="4" w:space="0" w:color="auto"/>
              <w:right w:val="single" w:sz="4" w:space="0" w:color="auto"/>
            </w:tcBorders>
            <w:shd w:val="clear" w:color="auto" w:fill="auto"/>
            <w:noWrap/>
            <w:vAlign w:val="center"/>
            <w:hideMark/>
          </w:tcPr>
          <w:p w14:paraId="06E7EC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A6BF7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6B06C9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£45,490.44</w:t>
            </w:r>
          </w:p>
        </w:tc>
      </w:tr>
      <w:tr w:rsidR="004433D7" w:rsidRPr="004433D7" w14:paraId="69E25DC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8BB926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EPG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EED17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£10,083.01</w:t>
            </w:r>
          </w:p>
        </w:tc>
        <w:tc>
          <w:tcPr>
            <w:tcW w:w="1510" w:type="dxa"/>
            <w:tcBorders>
              <w:top w:val="nil"/>
              <w:left w:val="nil"/>
              <w:bottom w:val="single" w:sz="4" w:space="0" w:color="auto"/>
              <w:right w:val="single" w:sz="4" w:space="0" w:color="auto"/>
            </w:tcBorders>
            <w:shd w:val="clear" w:color="auto" w:fill="auto"/>
            <w:noWrap/>
            <w:vAlign w:val="center"/>
            <w:hideMark/>
          </w:tcPr>
          <w:p w14:paraId="28A28A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£2,520.75</w:t>
            </w:r>
          </w:p>
        </w:tc>
        <w:tc>
          <w:tcPr>
            <w:tcW w:w="1510" w:type="dxa"/>
            <w:tcBorders>
              <w:top w:val="nil"/>
              <w:left w:val="nil"/>
              <w:bottom w:val="single" w:sz="4" w:space="0" w:color="auto"/>
              <w:right w:val="single" w:sz="4" w:space="0" w:color="auto"/>
            </w:tcBorders>
            <w:shd w:val="clear" w:color="auto" w:fill="auto"/>
            <w:noWrap/>
            <w:vAlign w:val="center"/>
            <w:hideMark/>
          </w:tcPr>
          <w:p w14:paraId="7EA1B7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£2,520.75</w:t>
            </w:r>
          </w:p>
        </w:tc>
        <w:tc>
          <w:tcPr>
            <w:tcW w:w="1510" w:type="dxa"/>
            <w:tcBorders>
              <w:top w:val="nil"/>
              <w:left w:val="nil"/>
              <w:bottom w:val="single" w:sz="4" w:space="0" w:color="auto"/>
              <w:right w:val="single" w:sz="4" w:space="0" w:color="auto"/>
            </w:tcBorders>
            <w:shd w:val="clear" w:color="auto" w:fill="auto"/>
            <w:noWrap/>
            <w:vAlign w:val="center"/>
            <w:hideMark/>
          </w:tcPr>
          <w:p w14:paraId="1D0FFE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£2,520.75</w:t>
            </w:r>
          </w:p>
        </w:tc>
        <w:tc>
          <w:tcPr>
            <w:tcW w:w="1510" w:type="dxa"/>
            <w:tcBorders>
              <w:top w:val="nil"/>
              <w:left w:val="nil"/>
              <w:bottom w:val="single" w:sz="4" w:space="0" w:color="auto"/>
              <w:right w:val="single" w:sz="4" w:space="0" w:color="auto"/>
            </w:tcBorders>
            <w:shd w:val="clear" w:color="auto" w:fill="auto"/>
            <w:noWrap/>
            <w:vAlign w:val="center"/>
            <w:hideMark/>
          </w:tcPr>
          <w:p w14:paraId="099CA2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£2,520.75</w:t>
            </w:r>
          </w:p>
        </w:tc>
        <w:tc>
          <w:tcPr>
            <w:tcW w:w="1587" w:type="dxa"/>
            <w:tcBorders>
              <w:top w:val="nil"/>
              <w:left w:val="nil"/>
              <w:bottom w:val="single" w:sz="4" w:space="0" w:color="auto"/>
              <w:right w:val="single" w:sz="4" w:space="0" w:color="auto"/>
            </w:tcBorders>
            <w:shd w:val="clear" w:color="auto" w:fill="auto"/>
            <w:noWrap/>
            <w:vAlign w:val="center"/>
            <w:hideMark/>
          </w:tcPr>
          <w:p w14:paraId="592134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£10,083.00</w:t>
            </w:r>
          </w:p>
        </w:tc>
      </w:tr>
      <w:tr w:rsidR="004433D7" w:rsidRPr="004433D7" w14:paraId="11E4119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C336EA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4C2910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£41,617.96</w:t>
            </w:r>
          </w:p>
        </w:tc>
        <w:tc>
          <w:tcPr>
            <w:tcW w:w="1510" w:type="dxa"/>
            <w:tcBorders>
              <w:top w:val="nil"/>
              <w:left w:val="nil"/>
              <w:bottom w:val="single" w:sz="4" w:space="0" w:color="auto"/>
              <w:right w:val="single" w:sz="4" w:space="0" w:color="auto"/>
            </w:tcBorders>
            <w:shd w:val="clear" w:color="auto" w:fill="auto"/>
            <w:noWrap/>
            <w:vAlign w:val="center"/>
            <w:hideMark/>
          </w:tcPr>
          <w:p w14:paraId="5E59A7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£10,404.49</w:t>
            </w:r>
          </w:p>
        </w:tc>
        <w:tc>
          <w:tcPr>
            <w:tcW w:w="1510" w:type="dxa"/>
            <w:tcBorders>
              <w:top w:val="nil"/>
              <w:left w:val="nil"/>
              <w:bottom w:val="single" w:sz="4" w:space="0" w:color="auto"/>
              <w:right w:val="single" w:sz="4" w:space="0" w:color="auto"/>
            </w:tcBorders>
            <w:shd w:val="clear" w:color="auto" w:fill="auto"/>
            <w:noWrap/>
            <w:vAlign w:val="center"/>
            <w:hideMark/>
          </w:tcPr>
          <w:p w14:paraId="307E9E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£31,213.47</w:t>
            </w:r>
          </w:p>
        </w:tc>
        <w:tc>
          <w:tcPr>
            <w:tcW w:w="1510" w:type="dxa"/>
            <w:tcBorders>
              <w:top w:val="nil"/>
              <w:left w:val="nil"/>
              <w:bottom w:val="single" w:sz="4" w:space="0" w:color="auto"/>
              <w:right w:val="single" w:sz="4" w:space="0" w:color="auto"/>
            </w:tcBorders>
            <w:shd w:val="clear" w:color="auto" w:fill="auto"/>
            <w:noWrap/>
            <w:vAlign w:val="center"/>
            <w:hideMark/>
          </w:tcPr>
          <w:p w14:paraId="04A597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FBFD8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5DD6BB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£41,617.96</w:t>
            </w:r>
          </w:p>
        </w:tc>
      </w:tr>
      <w:tr w:rsidR="004433D7" w:rsidRPr="004433D7" w14:paraId="24C22A4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82A90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09AC0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£41,046.45</w:t>
            </w:r>
          </w:p>
        </w:tc>
        <w:tc>
          <w:tcPr>
            <w:tcW w:w="1510" w:type="dxa"/>
            <w:tcBorders>
              <w:top w:val="nil"/>
              <w:left w:val="nil"/>
              <w:bottom w:val="single" w:sz="4" w:space="0" w:color="auto"/>
              <w:right w:val="single" w:sz="4" w:space="0" w:color="auto"/>
            </w:tcBorders>
            <w:shd w:val="clear" w:color="auto" w:fill="auto"/>
            <w:noWrap/>
            <w:vAlign w:val="center"/>
            <w:hideMark/>
          </w:tcPr>
          <w:p w14:paraId="3BE7AF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£41,046.44</w:t>
            </w:r>
          </w:p>
        </w:tc>
        <w:tc>
          <w:tcPr>
            <w:tcW w:w="1510" w:type="dxa"/>
            <w:tcBorders>
              <w:top w:val="nil"/>
              <w:left w:val="nil"/>
              <w:bottom w:val="single" w:sz="4" w:space="0" w:color="auto"/>
              <w:right w:val="single" w:sz="4" w:space="0" w:color="auto"/>
            </w:tcBorders>
            <w:shd w:val="clear" w:color="auto" w:fill="auto"/>
            <w:noWrap/>
            <w:vAlign w:val="center"/>
            <w:hideMark/>
          </w:tcPr>
          <w:p w14:paraId="423E90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543B7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1EAE6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6B8692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£41,046.44</w:t>
            </w:r>
          </w:p>
        </w:tc>
      </w:tr>
      <w:tr w:rsidR="004433D7" w:rsidRPr="004433D7" w14:paraId="778F1C6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7DD10D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Flexitricity</w:t>
            </w:r>
            <w:proofErr w:type="spellEnd"/>
            <w:r w:rsidRPr="004433D7">
              <w:rPr>
                <w:rFonts w:eastAsia="Times New Roman" w:cs="Times New Roman"/>
                <w:color w:val="000000"/>
                <w:sz w:val="16"/>
                <w:szCs w:val="16"/>
              </w:rPr>
              <w:t xml:space="preserve"> Limited</w:t>
            </w:r>
          </w:p>
        </w:tc>
        <w:tc>
          <w:tcPr>
            <w:tcW w:w="1510" w:type="dxa"/>
            <w:tcBorders>
              <w:top w:val="nil"/>
              <w:left w:val="nil"/>
              <w:bottom w:val="single" w:sz="4" w:space="0" w:color="auto"/>
              <w:right w:val="single" w:sz="4" w:space="0" w:color="auto"/>
            </w:tcBorders>
            <w:shd w:val="clear" w:color="auto" w:fill="auto"/>
            <w:noWrap/>
            <w:vAlign w:val="center"/>
            <w:hideMark/>
          </w:tcPr>
          <w:p w14:paraId="06DC6F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£417.76</w:t>
            </w:r>
          </w:p>
        </w:tc>
        <w:tc>
          <w:tcPr>
            <w:tcW w:w="1510" w:type="dxa"/>
            <w:tcBorders>
              <w:top w:val="nil"/>
              <w:left w:val="nil"/>
              <w:bottom w:val="single" w:sz="4" w:space="0" w:color="auto"/>
              <w:right w:val="single" w:sz="4" w:space="0" w:color="auto"/>
            </w:tcBorders>
            <w:shd w:val="clear" w:color="auto" w:fill="auto"/>
            <w:noWrap/>
            <w:vAlign w:val="center"/>
            <w:hideMark/>
          </w:tcPr>
          <w:p w14:paraId="51A7FE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£104.44</w:t>
            </w:r>
          </w:p>
        </w:tc>
        <w:tc>
          <w:tcPr>
            <w:tcW w:w="1510" w:type="dxa"/>
            <w:tcBorders>
              <w:top w:val="nil"/>
              <w:left w:val="nil"/>
              <w:bottom w:val="single" w:sz="4" w:space="0" w:color="auto"/>
              <w:right w:val="single" w:sz="4" w:space="0" w:color="auto"/>
            </w:tcBorders>
            <w:shd w:val="clear" w:color="auto" w:fill="auto"/>
            <w:noWrap/>
            <w:vAlign w:val="center"/>
            <w:hideMark/>
          </w:tcPr>
          <w:p w14:paraId="34DD25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£104.44</w:t>
            </w:r>
          </w:p>
        </w:tc>
        <w:tc>
          <w:tcPr>
            <w:tcW w:w="1510" w:type="dxa"/>
            <w:tcBorders>
              <w:top w:val="nil"/>
              <w:left w:val="nil"/>
              <w:bottom w:val="single" w:sz="4" w:space="0" w:color="auto"/>
              <w:right w:val="single" w:sz="4" w:space="0" w:color="auto"/>
            </w:tcBorders>
            <w:shd w:val="clear" w:color="auto" w:fill="auto"/>
            <w:noWrap/>
            <w:vAlign w:val="center"/>
            <w:hideMark/>
          </w:tcPr>
          <w:p w14:paraId="22F6E3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£104.44</w:t>
            </w:r>
          </w:p>
        </w:tc>
        <w:tc>
          <w:tcPr>
            <w:tcW w:w="1510" w:type="dxa"/>
            <w:tcBorders>
              <w:top w:val="nil"/>
              <w:left w:val="nil"/>
              <w:bottom w:val="single" w:sz="4" w:space="0" w:color="auto"/>
              <w:right w:val="single" w:sz="4" w:space="0" w:color="auto"/>
            </w:tcBorders>
            <w:shd w:val="clear" w:color="auto" w:fill="auto"/>
            <w:noWrap/>
            <w:vAlign w:val="center"/>
            <w:hideMark/>
          </w:tcPr>
          <w:p w14:paraId="7493A4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£104.44</w:t>
            </w:r>
          </w:p>
        </w:tc>
        <w:tc>
          <w:tcPr>
            <w:tcW w:w="1587" w:type="dxa"/>
            <w:tcBorders>
              <w:top w:val="nil"/>
              <w:left w:val="nil"/>
              <w:bottom w:val="single" w:sz="4" w:space="0" w:color="auto"/>
              <w:right w:val="single" w:sz="4" w:space="0" w:color="auto"/>
            </w:tcBorders>
            <w:shd w:val="clear" w:color="auto" w:fill="auto"/>
            <w:noWrap/>
            <w:vAlign w:val="center"/>
            <w:hideMark/>
          </w:tcPr>
          <w:p w14:paraId="5F1D06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£417.76</w:t>
            </w:r>
          </w:p>
        </w:tc>
      </w:tr>
      <w:tr w:rsidR="004433D7" w:rsidRPr="004433D7" w14:paraId="77F2134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41E60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232254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£145,085.91</w:t>
            </w:r>
          </w:p>
        </w:tc>
        <w:tc>
          <w:tcPr>
            <w:tcW w:w="1510" w:type="dxa"/>
            <w:tcBorders>
              <w:top w:val="nil"/>
              <w:left w:val="nil"/>
              <w:bottom w:val="single" w:sz="4" w:space="0" w:color="auto"/>
              <w:right w:val="single" w:sz="4" w:space="0" w:color="auto"/>
            </w:tcBorders>
            <w:shd w:val="clear" w:color="auto" w:fill="auto"/>
            <w:noWrap/>
            <w:vAlign w:val="center"/>
            <w:hideMark/>
          </w:tcPr>
          <w:p w14:paraId="76FDDD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c>
          <w:tcPr>
            <w:tcW w:w="1510" w:type="dxa"/>
            <w:tcBorders>
              <w:top w:val="nil"/>
              <w:left w:val="nil"/>
              <w:bottom w:val="single" w:sz="4" w:space="0" w:color="auto"/>
              <w:right w:val="single" w:sz="4" w:space="0" w:color="auto"/>
            </w:tcBorders>
            <w:shd w:val="clear" w:color="auto" w:fill="auto"/>
            <w:noWrap/>
            <w:vAlign w:val="center"/>
            <w:hideMark/>
          </w:tcPr>
          <w:p w14:paraId="041997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4C4B9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A2031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700B2E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£138,958.45</w:t>
            </w:r>
          </w:p>
        </w:tc>
      </w:tr>
      <w:tr w:rsidR="004433D7" w:rsidRPr="004433D7" w14:paraId="0E1B793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CDB00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Foxglove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18A2E0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£127,466.07</w:t>
            </w:r>
          </w:p>
        </w:tc>
        <w:tc>
          <w:tcPr>
            <w:tcW w:w="1510" w:type="dxa"/>
            <w:tcBorders>
              <w:top w:val="nil"/>
              <w:left w:val="nil"/>
              <w:bottom w:val="single" w:sz="4" w:space="0" w:color="auto"/>
              <w:right w:val="single" w:sz="4" w:space="0" w:color="auto"/>
            </w:tcBorders>
            <w:shd w:val="clear" w:color="auto" w:fill="auto"/>
            <w:noWrap/>
            <w:vAlign w:val="center"/>
            <w:hideMark/>
          </w:tcPr>
          <w:p w14:paraId="3B7CBE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£31,866.52</w:t>
            </w:r>
          </w:p>
        </w:tc>
        <w:tc>
          <w:tcPr>
            <w:tcW w:w="1510" w:type="dxa"/>
            <w:tcBorders>
              <w:top w:val="nil"/>
              <w:left w:val="nil"/>
              <w:bottom w:val="single" w:sz="4" w:space="0" w:color="auto"/>
              <w:right w:val="single" w:sz="4" w:space="0" w:color="auto"/>
            </w:tcBorders>
            <w:shd w:val="clear" w:color="auto" w:fill="auto"/>
            <w:noWrap/>
            <w:vAlign w:val="center"/>
            <w:hideMark/>
          </w:tcPr>
          <w:p w14:paraId="3BB691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£31,866.52</w:t>
            </w:r>
          </w:p>
        </w:tc>
        <w:tc>
          <w:tcPr>
            <w:tcW w:w="1510" w:type="dxa"/>
            <w:tcBorders>
              <w:top w:val="nil"/>
              <w:left w:val="nil"/>
              <w:bottom w:val="single" w:sz="4" w:space="0" w:color="auto"/>
              <w:right w:val="single" w:sz="4" w:space="0" w:color="auto"/>
            </w:tcBorders>
            <w:shd w:val="clear" w:color="auto" w:fill="auto"/>
            <w:noWrap/>
            <w:vAlign w:val="center"/>
            <w:hideMark/>
          </w:tcPr>
          <w:p w14:paraId="65FC77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£31,866.52</w:t>
            </w:r>
          </w:p>
        </w:tc>
        <w:tc>
          <w:tcPr>
            <w:tcW w:w="1510" w:type="dxa"/>
            <w:tcBorders>
              <w:top w:val="nil"/>
              <w:left w:val="nil"/>
              <w:bottom w:val="single" w:sz="4" w:space="0" w:color="auto"/>
              <w:right w:val="single" w:sz="4" w:space="0" w:color="auto"/>
            </w:tcBorders>
            <w:shd w:val="clear" w:color="auto" w:fill="auto"/>
            <w:noWrap/>
            <w:vAlign w:val="center"/>
            <w:hideMark/>
          </w:tcPr>
          <w:p w14:paraId="217580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£31,866.52</w:t>
            </w:r>
          </w:p>
        </w:tc>
        <w:tc>
          <w:tcPr>
            <w:tcW w:w="1587" w:type="dxa"/>
            <w:tcBorders>
              <w:top w:val="nil"/>
              <w:left w:val="nil"/>
              <w:bottom w:val="single" w:sz="4" w:space="0" w:color="auto"/>
              <w:right w:val="single" w:sz="4" w:space="0" w:color="auto"/>
            </w:tcBorders>
            <w:shd w:val="clear" w:color="auto" w:fill="auto"/>
            <w:noWrap/>
            <w:vAlign w:val="center"/>
            <w:hideMark/>
          </w:tcPr>
          <w:p w14:paraId="33C0FF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£127,466.08</w:t>
            </w:r>
          </w:p>
        </w:tc>
      </w:tr>
      <w:tr w:rsidR="004433D7" w:rsidRPr="004433D7" w14:paraId="1972EBD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F05EF8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Gas and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31C2B8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£7,362.89</w:t>
            </w:r>
          </w:p>
        </w:tc>
        <w:tc>
          <w:tcPr>
            <w:tcW w:w="1510" w:type="dxa"/>
            <w:tcBorders>
              <w:top w:val="nil"/>
              <w:left w:val="nil"/>
              <w:bottom w:val="single" w:sz="4" w:space="0" w:color="auto"/>
              <w:right w:val="single" w:sz="4" w:space="0" w:color="auto"/>
            </w:tcBorders>
            <w:shd w:val="clear" w:color="auto" w:fill="auto"/>
            <w:noWrap/>
            <w:vAlign w:val="center"/>
            <w:hideMark/>
          </w:tcPr>
          <w:p w14:paraId="162DEC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£7,362.89</w:t>
            </w:r>
          </w:p>
        </w:tc>
        <w:tc>
          <w:tcPr>
            <w:tcW w:w="1510" w:type="dxa"/>
            <w:tcBorders>
              <w:top w:val="nil"/>
              <w:left w:val="nil"/>
              <w:bottom w:val="single" w:sz="4" w:space="0" w:color="auto"/>
              <w:right w:val="single" w:sz="4" w:space="0" w:color="auto"/>
            </w:tcBorders>
            <w:shd w:val="clear" w:color="auto" w:fill="auto"/>
            <w:noWrap/>
            <w:vAlign w:val="center"/>
            <w:hideMark/>
          </w:tcPr>
          <w:p w14:paraId="7AD70C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70452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BEBDA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523D6C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£7,362.89</w:t>
            </w:r>
          </w:p>
        </w:tc>
      </w:tr>
      <w:tr w:rsidR="004433D7" w:rsidRPr="004433D7" w14:paraId="13EB839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CEC94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510" w:type="dxa"/>
            <w:tcBorders>
              <w:top w:val="nil"/>
              <w:left w:val="nil"/>
              <w:bottom w:val="single" w:sz="4" w:space="0" w:color="auto"/>
              <w:right w:val="single" w:sz="4" w:space="0" w:color="auto"/>
            </w:tcBorders>
            <w:shd w:val="clear" w:color="auto" w:fill="auto"/>
            <w:noWrap/>
            <w:vAlign w:val="center"/>
            <w:hideMark/>
          </w:tcPr>
          <w:p w14:paraId="600CCD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£207,720.18</w:t>
            </w:r>
          </w:p>
        </w:tc>
        <w:tc>
          <w:tcPr>
            <w:tcW w:w="1510" w:type="dxa"/>
            <w:tcBorders>
              <w:top w:val="nil"/>
              <w:left w:val="nil"/>
              <w:bottom w:val="single" w:sz="4" w:space="0" w:color="auto"/>
              <w:right w:val="single" w:sz="4" w:space="0" w:color="auto"/>
            </w:tcBorders>
            <w:shd w:val="clear" w:color="auto" w:fill="auto"/>
            <w:noWrap/>
            <w:vAlign w:val="center"/>
            <w:hideMark/>
          </w:tcPr>
          <w:p w14:paraId="662591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£51,930.04</w:t>
            </w:r>
          </w:p>
        </w:tc>
        <w:tc>
          <w:tcPr>
            <w:tcW w:w="1510" w:type="dxa"/>
            <w:tcBorders>
              <w:top w:val="nil"/>
              <w:left w:val="nil"/>
              <w:bottom w:val="single" w:sz="4" w:space="0" w:color="auto"/>
              <w:right w:val="single" w:sz="4" w:space="0" w:color="auto"/>
            </w:tcBorders>
            <w:shd w:val="clear" w:color="auto" w:fill="auto"/>
            <w:noWrap/>
            <w:vAlign w:val="center"/>
            <w:hideMark/>
          </w:tcPr>
          <w:p w14:paraId="4A5DDF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£51,930.04</w:t>
            </w:r>
          </w:p>
        </w:tc>
        <w:tc>
          <w:tcPr>
            <w:tcW w:w="1510" w:type="dxa"/>
            <w:tcBorders>
              <w:top w:val="nil"/>
              <w:left w:val="nil"/>
              <w:bottom w:val="single" w:sz="4" w:space="0" w:color="auto"/>
              <w:right w:val="single" w:sz="4" w:space="0" w:color="auto"/>
            </w:tcBorders>
            <w:shd w:val="clear" w:color="auto" w:fill="auto"/>
            <w:noWrap/>
            <w:vAlign w:val="center"/>
            <w:hideMark/>
          </w:tcPr>
          <w:p w14:paraId="0E4FC2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£51,930.04</w:t>
            </w:r>
          </w:p>
        </w:tc>
        <w:tc>
          <w:tcPr>
            <w:tcW w:w="1510" w:type="dxa"/>
            <w:tcBorders>
              <w:top w:val="nil"/>
              <w:left w:val="nil"/>
              <w:bottom w:val="single" w:sz="4" w:space="0" w:color="auto"/>
              <w:right w:val="single" w:sz="4" w:space="0" w:color="auto"/>
            </w:tcBorders>
            <w:shd w:val="clear" w:color="auto" w:fill="auto"/>
            <w:noWrap/>
            <w:vAlign w:val="center"/>
            <w:hideMark/>
          </w:tcPr>
          <w:p w14:paraId="24DE5F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£51,930.04</w:t>
            </w:r>
          </w:p>
        </w:tc>
        <w:tc>
          <w:tcPr>
            <w:tcW w:w="1587" w:type="dxa"/>
            <w:tcBorders>
              <w:top w:val="nil"/>
              <w:left w:val="nil"/>
              <w:bottom w:val="single" w:sz="4" w:space="0" w:color="auto"/>
              <w:right w:val="single" w:sz="4" w:space="0" w:color="auto"/>
            </w:tcBorders>
            <w:shd w:val="clear" w:color="auto" w:fill="auto"/>
            <w:noWrap/>
            <w:vAlign w:val="center"/>
            <w:hideMark/>
          </w:tcPr>
          <w:p w14:paraId="020BA5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£207,720.16</w:t>
            </w:r>
          </w:p>
        </w:tc>
      </w:tr>
      <w:tr w:rsidR="004433D7" w:rsidRPr="004433D7" w14:paraId="06A84EF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24504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0527F6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£172,323.64</w:t>
            </w:r>
          </w:p>
        </w:tc>
        <w:tc>
          <w:tcPr>
            <w:tcW w:w="1510" w:type="dxa"/>
            <w:tcBorders>
              <w:top w:val="nil"/>
              <w:left w:val="nil"/>
              <w:bottom w:val="single" w:sz="4" w:space="0" w:color="auto"/>
              <w:right w:val="single" w:sz="4" w:space="0" w:color="auto"/>
            </w:tcBorders>
            <w:shd w:val="clear" w:color="auto" w:fill="auto"/>
            <w:noWrap/>
            <w:vAlign w:val="center"/>
            <w:hideMark/>
          </w:tcPr>
          <w:p w14:paraId="6922B6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£43,080.91</w:t>
            </w:r>
          </w:p>
        </w:tc>
        <w:tc>
          <w:tcPr>
            <w:tcW w:w="1510" w:type="dxa"/>
            <w:tcBorders>
              <w:top w:val="nil"/>
              <w:left w:val="nil"/>
              <w:bottom w:val="single" w:sz="4" w:space="0" w:color="auto"/>
              <w:right w:val="single" w:sz="4" w:space="0" w:color="auto"/>
            </w:tcBorders>
            <w:shd w:val="clear" w:color="auto" w:fill="auto"/>
            <w:noWrap/>
            <w:vAlign w:val="center"/>
            <w:hideMark/>
          </w:tcPr>
          <w:p w14:paraId="73C539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£43,080.91</w:t>
            </w:r>
          </w:p>
        </w:tc>
        <w:tc>
          <w:tcPr>
            <w:tcW w:w="1510" w:type="dxa"/>
            <w:tcBorders>
              <w:top w:val="nil"/>
              <w:left w:val="nil"/>
              <w:bottom w:val="single" w:sz="4" w:space="0" w:color="auto"/>
              <w:right w:val="single" w:sz="4" w:space="0" w:color="auto"/>
            </w:tcBorders>
            <w:shd w:val="clear" w:color="auto" w:fill="auto"/>
            <w:noWrap/>
            <w:vAlign w:val="center"/>
            <w:hideMark/>
          </w:tcPr>
          <w:p w14:paraId="704806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£43,080.91</w:t>
            </w:r>
          </w:p>
        </w:tc>
        <w:tc>
          <w:tcPr>
            <w:tcW w:w="1510" w:type="dxa"/>
            <w:tcBorders>
              <w:top w:val="nil"/>
              <w:left w:val="nil"/>
              <w:bottom w:val="single" w:sz="4" w:space="0" w:color="auto"/>
              <w:right w:val="single" w:sz="4" w:space="0" w:color="auto"/>
            </w:tcBorders>
            <w:shd w:val="clear" w:color="auto" w:fill="auto"/>
            <w:noWrap/>
            <w:vAlign w:val="center"/>
            <w:hideMark/>
          </w:tcPr>
          <w:p w14:paraId="162990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£43,080.91</w:t>
            </w:r>
          </w:p>
        </w:tc>
        <w:tc>
          <w:tcPr>
            <w:tcW w:w="1587" w:type="dxa"/>
            <w:tcBorders>
              <w:top w:val="nil"/>
              <w:left w:val="nil"/>
              <w:bottom w:val="single" w:sz="4" w:space="0" w:color="auto"/>
              <w:right w:val="single" w:sz="4" w:space="0" w:color="auto"/>
            </w:tcBorders>
            <w:shd w:val="clear" w:color="auto" w:fill="auto"/>
            <w:noWrap/>
            <w:vAlign w:val="center"/>
            <w:hideMark/>
          </w:tcPr>
          <w:p w14:paraId="53873F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£172,323.64</w:t>
            </w:r>
          </w:p>
        </w:tc>
      </w:tr>
      <w:tr w:rsidR="004433D7" w:rsidRPr="004433D7" w14:paraId="26C1D07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1EAB80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Greater London Authority</w:t>
            </w:r>
          </w:p>
        </w:tc>
        <w:tc>
          <w:tcPr>
            <w:tcW w:w="1510" w:type="dxa"/>
            <w:tcBorders>
              <w:top w:val="nil"/>
              <w:left w:val="nil"/>
              <w:bottom w:val="single" w:sz="4" w:space="0" w:color="auto"/>
              <w:right w:val="single" w:sz="4" w:space="0" w:color="auto"/>
            </w:tcBorders>
            <w:shd w:val="clear" w:color="auto" w:fill="auto"/>
            <w:noWrap/>
            <w:vAlign w:val="center"/>
            <w:hideMark/>
          </w:tcPr>
          <w:p w14:paraId="24A355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£1,065.38</w:t>
            </w:r>
          </w:p>
        </w:tc>
        <w:tc>
          <w:tcPr>
            <w:tcW w:w="1510" w:type="dxa"/>
            <w:tcBorders>
              <w:top w:val="nil"/>
              <w:left w:val="nil"/>
              <w:bottom w:val="single" w:sz="4" w:space="0" w:color="auto"/>
              <w:right w:val="single" w:sz="4" w:space="0" w:color="auto"/>
            </w:tcBorders>
            <w:shd w:val="clear" w:color="auto" w:fill="auto"/>
            <w:noWrap/>
            <w:vAlign w:val="center"/>
            <w:hideMark/>
          </w:tcPr>
          <w:p w14:paraId="290323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£1,065.38</w:t>
            </w:r>
          </w:p>
        </w:tc>
        <w:tc>
          <w:tcPr>
            <w:tcW w:w="1510" w:type="dxa"/>
            <w:tcBorders>
              <w:top w:val="nil"/>
              <w:left w:val="nil"/>
              <w:bottom w:val="single" w:sz="4" w:space="0" w:color="auto"/>
              <w:right w:val="single" w:sz="4" w:space="0" w:color="auto"/>
            </w:tcBorders>
            <w:shd w:val="clear" w:color="auto" w:fill="auto"/>
            <w:noWrap/>
            <w:vAlign w:val="center"/>
            <w:hideMark/>
          </w:tcPr>
          <w:p w14:paraId="786A4A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0CA03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0F7FA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44BB0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£1,065.38</w:t>
            </w:r>
          </w:p>
        </w:tc>
      </w:tr>
      <w:tr w:rsidR="004433D7" w:rsidRPr="004433D7" w14:paraId="7FC70BA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46855F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510" w:type="dxa"/>
            <w:tcBorders>
              <w:top w:val="nil"/>
              <w:left w:val="nil"/>
              <w:bottom w:val="single" w:sz="4" w:space="0" w:color="auto"/>
              <w:right w:val="single" w:sz="4" w:space="0" w:color="auto"/>
            </w:tcBorders>
            <w:shd w:val="clear" w:color="auto" w:fill="auto"/>
            <w:noWrap/>
            <w:vAlign w:val="center"/>
            <w:hideMark/>
          </w:tcPr>
          <w:p w14:paraId="61B645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£37,024.11</w:t>
            </w:r>
          </w:p>
        </w:tc>
        <w:tc>
          <w:tcPr>
            <w:tcW w:w="1510" w:type="dxa"/>
            <w:tcBorders>
              <w:top w:val="nil"/>
              <w:left w:val="nil"/>
              <w:bottom w:val="single" w:sz="4" w:space="0" w:color="auto"/>
              <w:right w:val="single" w:sz="4" w:space="0" w:color="auto"/>
            </w:tcBorders>
            <w:shd w:val="clear" w:color="auto" w:fill="auto"/>
            <w:noWrap/>
            <w:vAlign w:val="center"/>
            <w:hideMark/>
          </w:tcPr>
          <w:p w14:paraId="28A2E9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£9,256.03</w:t>
            </w:r>
          </w:p>
        </w:tc>
        <w:tc>
          <w:tcPr>
            <w:tcW w:w="1510" w:type="dxa"/>
            <w:tcBorders>
              <w:top w:val="nil"/>
              <w:left w:val="nil"/>
              <w:bottom w:val="single" w:sz="4" w:space="0" w:color="auto"/>
              <w:right w:val="single" w:sz="4" w:space="0" w:color="auto"/>
            </w:tcBorders>
            <w:shd w:val="clear" w:color="auto" w:fill="auto"/>
            <w:noWrap/>
            <w:vAlign w:val="center"/>
            <w:hideMark/>
          </w:tcPr>
          <w:p w14:paraId="0CD399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£9,256.03</w:t>
            </w:r>
          </w:p>
        </w:tc>
        <w:tc>
          <w:tcPr>
            <w:tcW w:w="1510" w:type="dxa"/>
            <w:tcBorders>
              <w:top w:val="nil"/>
              <w:left w:val="nil"/>
              <w:bottom w:val="single" w:sz="4" w:space="0" w:color="auto"/>
              <w:right w:val="single" w:sz="4" w:space="0" w:color="auto"/>
            </w:tcBorders>
            <w:shd w:val="clear" w:color="auto" w:fill="auto"/>
            <w:noWrap/>
            <w:vAlign w:val="center"/>
            <w:hideMark/>
          </w:tcPr>
          <w:p w14:paraId="2CBA4D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£9,256.03</w:t>
            </w:r>
          </w:p>
        </w:tc>
        <w:tc>
          <w:tcPr>
            <w:tcW w:w="1510" w:type="dxa"/>
            <w:tcBorders>
              <w:top w:val="nil"/>
              <w:left w:val="nil"/>
              <w:bottom w:val="single" w:sz="4" w:space="0" w:color="auto"/>
              <w:right w:val="single" w:sz="4" w:space="0" w:color="auto"/>
            </w:tcBorders>
            <w:shd w:val="clear" w:color="auto" w:fill="auto"/>
            <w:noWrap/>
            <w:vAlign w:val="center"/>
            <w:hideMark/>
          </w:tcPr>
          <w:p w14:paraId="024752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£9,256.03</w:t>
            </w:r>
          </w:p>
        </w:tc>
        <w:tc>
          <w:tcPr>
            <w:tcW w:w="1587" w:type="dxa"/>
            <w:tcBorders>
              <w:top w:val="nil"/>
              <w:left w:val="nil"/>
              <w:bottom w:val="single" w:sz="4" w:space="0" w:color="auto"/>
              <w:right w:val="single" w:sz="4" w:space="0" w:color="auto"/>
            </w:tcBorders>
            <w:shd w:val="clear" w:color="auto" w:fill="auto"/>
            <w:noWrap/>
            <w:vAlign w:val="center"/>
            <w:hideMark/>
          </w:tcPr>
          <w:p w14:paraId="05328F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£37,024.12</w:t>
            </w:r>
          </w:p>
        </w:tc>
      </w:tr>
      <w:tr w:rsidR="004433D7" w:rsidRPr="004433D7" w14:paraId="75E79D0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217C14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45DCE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£236,895.30</w:t>
            </w:r>
          </w:p>
        </w:tc>
        <w:tc>
          <w:tcPr>
            <w:tcW w:w="1510" w:type="dxa"/>
            <w:tcBorders>
              <w:top w:val="nil"/>
              <w:left w:val="nil"/>
              <w:bottom w:val="single" w:sz="4" w:space="0" w:color="auto"/>
              <w:right w:val="single" w:sz="4" w:space="0" w:color="auto"/>
            </w:tcBorders>
            <w:shd w:val="clear" w:color="auto" w:fill="auto"/>
            <w:noWrap/>
            <w:vAlign w:val="center"/>
            <w:hideMark/>
          </w:tcPr>
          <w:p w14:paraId="0DC32B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£59,223.83</w:t>
            </w:r>
          </w:p>
        </w:tc>
        <w:tc>
          <w:tcPr>
            <w:tcW w:w="1510" w:type="dxa"/>
            <w:tcBorders>
              <w:top w:val="nil"/>
              <w:left w:val="nil"/>
              <w:bottom w:val="single" w:sz="4" w:space="0" w:color="auto"/>
              <w:right w:val="single" w:sz="4" w:space="0" w:color="auto"/>
            </w:tcBorders>
            <w:shd w:val="clear" w:color="auto" w:fill="auto"/>
            <w:noWrap/>
            <w:vAlign w:val="center"/>
            <w:hideMark/>
          </w:tcPr>
          <w:p w14:paraId="1357FE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£59,223.83</w:t>
            </w:r>
          </w:p>
        </w:tc>
        <w:tc>
          <w:tcPr>
            <w:tcW w:w="1510" w:type="dxa"/>
            <w:tcBorders>
              <w:top w:val="nil"/>
              <w:left w:val="nil"/>
              <w:bottom w:val="single" w:sz="4" w:space="0" w:color="auto"/>
              <w:right w:val="single" w:sz="4" w:space="0" w:color="auto"/>
            </w:tcBorders>
            <w:shd w:val="clear" w:color="auto" w:fill="auto"/>
            <w:noWrap/>
            <w:vAlign w:val="center"/>
            <w:hideMark/>
          </w:tcPr>
          <w:p w14:paraId="31BCC8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25263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1DAFA2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£118,447.66</w:t>
            </w:r>
          </w:p>
        </w:tc>
      </w:tr>
      <w:tr w:rsidR="004433D7" w:rsidRPr="004433D7" w14:paraId="6A1141C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7F7E5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Hartree Partners Supply (UK) Limited</w:t>
            </w:r>
          </w:p>
        </w:tc>
        <w:tc>
          <w:tcPr>
            <w:tcW w:w="1510" w:type="dxa"/>
            <w:tcBorders>
              <w:top w:val="nil"/>
              <w:left w:val="nil"/>
              <w:bottom w:val="single" w:sz="4" w:space="0" w:color="auto"/>
              <w:right w:val="single" w:sz="4" w:space="0" w:color="auto"/>
            </w:tcBorders>
            <w:shd w:val="clear" w:color="auto" w:fill="auto"/>
            <w:noWrap/>
            <w:vAlign w:val="center"/>
            <w:hideMark/>
          </w:tcPr>
          <w:p w14:paraId="231DB7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£139.77</w:t>
            </w:r>
          </w:p>
        </w:tc>
        <w:tc>
          <w:tcPr>
            <w:tcW w:w="1510" w:type="dxa"/>
            <w:tcBorders>
              <w:top w:val="nil"/>
              <w:left w:val="nil"/>
              <w:bottom w:val="single" w:sz="4" w:space="0" w:color="auto"/>
              <w:right w:val="single" w:sz="4" w:space="0" w:color="auto"/>
            </w:tcBorders>
            <w:shd w:val="clear" w:color="auto" w:fill="auto"/>
            <w:noWrap/>
            <w:vAlign w:val="center"/>
            <w:hideMark/>
          </w:tcPr>
          <w:p w14:paraId="46186D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£34.94</w:t>
            </w:r>
          </w:p>
        </w:tc>
        <w:tc>
          <w:tcPr>
            <w:tcW w:w="1510" w:type="dxa"/>
            <w:tcBorders>
              <w:top w:val="nil"/>
              <w:left w:val="nil"/>
              <w:bottom w:val="single" w:sz="4" w:space="0" w:color="auto"/>
              <w:right w:val="single" w:sz="4" w:space="0" w:color="auto"/>
            </w:tcBorders>
            <w:shd w:val="clear" w:color="auto" w:fill="auto"/>
            <w:noWrap/>
            <w:vAlign w:val="center"/>
            <w:hideMark/>
          </w:tcPr>
          <w:p w14:paraId="322F8A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£34.94</w:t>
            </w:r>
          </w:p>
        </w:tc>
        <w:tc>
          <w:tcPr>
            <w:tcW w:w="1510" w:type="dxa"/>
            <w:tcBorders>
              <w:top w:val="nil"/>
              <w:left w:val="nil"/>
              <w:bottom w:val="single" w:sz="4" w:space="0" w:color="auto"/>
              <w:right w:val="single" w:sz="4" w:space="0" w:color="auto"/>
            </w:tcBorders>
            <w:shd w:val="clear" w:color="auto" w:fill="auto"/>
            <w:noWrap/>
            <w:vAlign w:val="center"/>
            <w:hideMark/>
          </w:tcPr>
          <w:p w14:paraId="64DA4C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£34.94</w:t>
            </w:r>
          </w:p>
        </w:tc>
        <w:tc>
          <w:tcPr>
            <w:tcW w:w="1510" w:type="dxa"/>
            <w:tcBorders>
              <w:top w:val="nil"/>
              <w:left w:val="nil"/>
              <w:bottom w:val="single" w:sz="4" w:space="0" w:color="auto"/>
              <w:right w:val="single" w:sz="4" w:space="0" w:color="auto"/>
            </w:tcBorders>
            <w:shd w:val="clear" w:color="auto" w:fill="auto"/>
            <w:noWrap/>
            <w:vAlign w:val="center"/>
            <w:hideMark/>
          </w:tcPr>
          <w:p w14:paraId="25ADD7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1936E5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£104.82</w:t>
            </w:r>
          </w:p>
        </w:tc>
      </w:tr>
      <w:tr w:rsidR="004433D7" w:rsidRPr="004433D7" w14:paraId="7AD14BD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15CDF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668BE9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£3,891,905.10</w:t>
            </w:r>
          </w:p>
        </w:tc>
        <w:tc>
          <w:tcPr>
            <w:tcW w:w="1510" w:type="dxa"/>
            <w:tcBorders>
              <w:top w:val="nil"/>
              <w:left w:val="nil"/>
              <w:bottom w:val="single" w:sz="4" w:space="0" w:color="auto"/>
              <w:right w:val="single" w:sz="4" w:space="0" w:color="auto"/>
            </w:tcBorders>
            <w:shd w:val="clear" w:color="auto" w:fill="auto"/>
            <w:noWrap/>
            <w:vAlign w:val="center"/>
            <w:hideMark/>
          </w:tcPr>
          <w:p w14:paraId="209272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£972,976.27</w:t>
            </w:r>
          </w:p>
        </w:tc>
        <w:tc>
          <w:tcPr>
            <w:tcW w:w="1510" w:type="dxa"/>
            <w:tcBorders>
              <w:top w:val="nil"/>
              <w:left w:val="nil"/>
              <w:bottom w:val="single" w:sz="4" w:space="0" w:color="auto"/>
              <w:right w:val="single" w:sz="4" w:space="0" w:color="auto"/>
            </w:tcBorders>
            <w:shd w:val="clear" w:color="auto" w:fill="auto"/>
            <w:noWrap/>
            <w:vAlign w:val="center"/>
            <w:hideMark/>
          </w:tcPr>
          <w:p w14:paraId="2D47B0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£972,976.27</w:t>
            </w:r>
          </w:p>
        </w:tc>
        <w:tc>
          <w:tcPr>
            <w:tcW w:w="1510" w:type="dxa"/>
            <w:tcBorders>
              <w:top w:val="nil"/>
              <w:left w:val="nil"/>
              <w:bottom w:val="single" w:sz="4" w:space="0" w:color="auto"/>
              <w:right w:val="single" w:sz="4" w:space="0" w:color="auto"/>
            </w:tcBorders>
            <w:shd w:val="clear" w:color="auto" w:fill="auto"/>
            <w:noWrap/>
            <w:vAlign w:val="center"/>
            <w:hideMark/>
          </w:tcPr>
          <w:p w14:paraId="32554A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£972,976.27</w:t>
            </w:r>
          </w:p>
        </w:tc>
        <w:tc>
          <w:tcPr>
            <w:tcW w:w="1510" w:type="dxa"/>
            <w:tcBorders>
              <w:top w:val="nil"/>
              <w:left w:val="nil"/>
              <w:bottom w:val="single" w:sz="4" w:space="0" w:color="auto"/>
              <w:right w:val="single" w:sz="4" w:space="0" w:color="auto"/>
            </w:tcBorders>
            <w:shd w:val="clear" w:color="auto" w:fill="auto"/>
            <w:noWrap/>
            <w:vAlign w:val="center"/>
            <w:hideMark/>
          </w:tcPr>
          <w:p w14:paraId="0D1F02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£972,976.27</w:t>
            </w:r>
          </w:p>
        </w:tc>
        <w:tc>
          <w:tcPr>
            <w:tcW w:w="1587" w:type="dxa"/>
            <w:tcBorders>
              <w:top w:val="nil"/>
              <w:left w:val="nil"/>
              <w:bottom w:val="single" w:sz="4" w:space="0" w:color="auto"/>
              <w:right w:val="single" w:sz="4" w:space="0" w:color="auto"/>
            </w:tcBorders>
            <w:shd w:val="clear" w:color="auto" w:fill="auto"/>
            <w:noWrap/>
            <w:vAlign w:val="center"/>
            <w:hideMark/>
          </w:tcPr>
          <w:p w14:paraId="79B39E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£3,891,905.08</w:t>
            </w:r>
          </w:p>
        </w:tc>
      </w:tr>
      <w:tr w:rsidR="004433D7" w:rsidRPr="004433D7" w14:paraId="57AB2F7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A57FA6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Home Energy Trading Ltd</w:t>
            </w:r>
          </w:p>
        </w:tc>
        <w:tc>
          <w:tcPr>
            <w:tcW w:w="1510" w:type="dxa"/>
            <w:tcBorders>
              <w:top w:val="nil"/>
              <w:left w:val="nil"/>
              <w:bottom w:val="single" w:sz="4" w:space="0" w:color="auto"/>
              <w:right w:val="single" w:sz="4" w:space="0" w:color="auto"/>
            </w:tcBorders>
            <w:shd w:val="clear" w:color="auto" w:fill="auto"/>
            <w:noWrap/>
            <w:vAlign w:val="center"/>
            <w:hideMark/>
          </w:tcPr>
          <w:p w14:paraId="2C2F41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14:paraId="2BE249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14:paraId="2327F4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EEA0F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453A2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1798B0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w:t>
            </w:r>
          </w:p>
        </w:tc>
      </w:tr>
      <w:tr w:rsidR="004433D7" w:rsidRPr="004433D7" w14:paraId="46DD19F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D49043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Hudson Energy Supply UK Limited</w:t>
            </w:r>
          </w:p>
        </w:tc>
        <w:tc>
          <w:tcPr>
            <w:tcW w:w="1510" w:type="dxa"/>
            <w:tcBorders>
              <w:top w:val="nil"/>
              <w:left w:val="nil"/>
              <w:bottom w:val="single" w:sz="4" w:space="0" w:color="auto"/>
              <w:right w:val="single" w:sz="4" w:space="0" w:color="auto"/>
            </w:tcBorders>
            <w:shd w:val="clear" w:color="auto" w:fill="auto"/>
            <w:noWrap/>
            <w:vAlign w:val="center"/>
            <w:hideMark/>
          </w:tcPr>
          <w:p w14:paraId="55342C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£720,045.99</w:t>
            </w:r>
          </w:p>
        </w:tc>
        <w:tc>
          <w:tcPr>
            <w:tcW w:w="1510" w:type="dxa"/>
            <w:tcBorders>
              <w:top w:val="nil"/>
              <w:left w:val="nil"/>
              <w:bottom w:val="single" w:sz="4" w:space="0" w:color="auto"/>
              <w:right w:val="single" w:sz="4" w:space="0" w:color="auto"/>
            </w:tcBorders>
            <w:shd w:val="clear" w:color="auto" w:fill="auto"/>
            <w:noWrap/>
            <w:vAlign w:val="center"/>
            <w:hideMark/>
          </w:tcPr>
          <w:p w14:paraId="4D8974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£180,011.50</w:t>
            </w:r>
          </w:p>
        </w:tc>
        <w:tc>
          <w:tcPr>
            <w:tcW w:w="1510" w:type="dxa"/>
            <w:tcBorders>
              <w:top w:val="nil"/>
              <w:left w:val="nil"/>
              <w:bottom w:val="single" w:sz="4" w:space="0" w:color="auto"/>
              <w:right w:val="single" w:sz="4" w:space="0" w:color="auto"/>
            </w:tcBorders>
            <w:shd w:val="clear" w:color="auto" w:fill="auto"/>
            <w:noWrap/>
            <w:vAlign w:val="center"/>
            <w:hideMark/>
          </w:tcPr>
          <w:p w14:paraId="2D45B8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£180,011.50</w:t>
            </w:r>
          </w:p>
        </w:tc>
        <w:tc>
          <w:tcPr>
            <w:tcW w:w="1510" w:type="dxa"/>
            <w:tcBorders>
              <w:top w:val="nil"/>
              <w:left w:val="nil"/>
              <w:bottom w:val="single" w:sz="4" w:space="0" w:color="auto"/>
              <w:right w:val="single" w:sz="4" w:space="0" w:color="auto"/>
            </w:tcBorders>
            <w:shd w:val="clear" w:color="auto" w:fill="auto"/>
            <w:noWrap/>
            <w:vAlign w:val="center"/>
            <w:hideMark/>
          </w:tcPr>
          <w:p w14:paraId="66D6D8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£180,011.50</w:t>
            </w:r>
          </w:p>
        </w:tc>
        <w:tc>
          <w:tcPr>
            <w:tcW w:w="1510" w:type="dxa"/>
            <w:tcBorders>
              <w:top w:val="nil"/>
              <w:left w:val="nil"/>
              <w:bottom w:val="single" w:sz="4" w:space="0" w:color="auto"/>
              <w:right w:val="single" w:sz="4" w:space="0" w:color="auto"/>
            </w:tcBorders>
            <w:shd w:val="clear" w:color="auto" w:fill="auto"/>
            <w:noWrap/>
            <w:vAlign w:val="center"/>
            <w:hideMark/>
          </w:tcPr>
          <w:p w14:paraId="5B319E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£180,011.50</w:t>
            </w:r>
          </w:p>
        </w:tc>
        <w:tc>
          <w:tcPr>
            <w:tcW w:w="1587" w:type="dxa"/>
            <w:tcBorders>
              <w:top w:val="nil"/>
              <w:left w:val="nil"/>
              <w:bottom w:val="single" w:sz="4" w:space="0" w:color="auto"/>
              <w:right w:val="single" w:sz="4" w:space="0" w:color="auto"/>
            </w:tcBorders>
            <w:shd w:val="clear" w:color="auto" w:fill="auto"/>
            <w:noWrap/>
            <w:vAlign w:val="center"/>
            <w:hideMark/>
          </w:tcPr>
          <w:p w14:paraId="198964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£720,046.00</w:t>
            </w:r>
          </w:p>
        </w:tc>
      </w:tr>
      <w:tr w:rsidR="004433D7" w:rsidRPr="004433D7" w14:paraId="5ECBDB6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3AA13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 Supply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03480F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£198,541.80</w:t>
            </w:r>
          </w:p>
        </w:tc>
        <w:tc>
          <w:tcPr>
            <w:tcW w:w="1510" w:type="dxa"/>
            <w:tcBorders>
              <w:top w:val="nil"/>
              <w:left w:val="nil"/>
              <w:bottom w:val="single" w:sz="4" w:space="0" w:color="auto"/>
              <w:right w:val="single" w:sz="4" w:space="0" w:color="auto"/>
            </w:tcBorders>
            <w:shd w:val="clear" w:color="auto" w:fill="auto"/>
            <w:noWrap/>
            <w:vAlign w:val="center"/>
            <w:hideMark/>
          </w:tcPr>
          <w:p w14:paraId="7E7DFA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£198,541.80</w:t>
            </w:r>
          </w:p>
        </w:tc>
        <w:tc>
          <w:tcPr>
            <w:tcW w:w="1510" w:type="dxa"/>
            <w:tcBorders>
              <w:top w:val="nil"/>
              <w:left w:val="nil"/>
              <w:bottom w:val="single" w:sz="4" w:space="0" w:color="auto"/>
              <w:right w:val="single" w:sz="4" w:space="0" w:color="auto"/>
            </w:tcBorders>
            <w:shd w:val="clear" w:color="auto" w:fill="auto"/>
            <w:noWrap/>
            <w:vAlign w:val="center"/>
            <w:hideMark/>
          </w:tcPr>
          <w:p w14:paraId="420551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10536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FF66D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BCEFC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£198,541.80</w:t>
            </w:r>
          </w:p>
        </w:tc>
      </w:tr>
      <w:tr w:rsidR="004433D7" w:rsidRPr="004433D7" w14:paraId="1E04E02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AC334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Igloo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62378A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£28,357.46</w:t>
            </w:r>
          </w:p>
        </w:tc>
        <w:tc>
          <w:tcPr>
            <w:tcW w:w="1510" w:type="dxa"/>
            <w:tcBorders>
              <w:top w:val="nil"/>
              <w:left w:val="nil"/>
              <w:bottom w:val="single" w:sz="4" w:space="0" w:color="auto"/>
              <w:right w:val="single" w:sz="4" w:space="0" w:color="auto"/>
            </w:tcBorders>
            <w:shd w:val="clear" w:color="auto" w:fill="auto"/>
            <w:noWrap/>
            <w:vAlign w:val="center"/>
            <w:hideMark/>
          </w:tcPr>
          <w:p w14:paraId="07C63F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£28,357.44</w:t>
            </w:r>
          </w:p>
        </w:tc>
        <w:tc>
          <w:tcPr>
            <w:tcW w:w="1510" w:type="dxa"/>
            <w:tcBorders>
              <w:top w:val="nil"/>
              <w:left w:val="nil"/>
              <w:bottom w:val="single" w:sz="4" w:space="0" w:color="auto"/>
              <w:right w:val="single" w:sz="4" w:space="0" w:color="auto"/>
            </w:tcBorders>
            <w:shd w:val="clear" w:color="auto" w:fill="auto"/>
            <w:noWrap/>
            <w:vAlign w:val="center"/>
            <w:hideMark/>
          </w:tcPr>
          <w:p w14:paraId="5B7D26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B36E8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47122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7336F2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£28,357.44</w:t>
            </w:r>
          </w:p>
        </w:tc>
      </w:tr>
      <w:tr w:rsidR="004433D7" w:rsidRPr="004433D7" w14:paraId="2F17893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C17D74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79AA0D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£202,268.28</w:t>
            </w:r>
          </w:p>
        </w:tc>
        <w:tc>
          <w:tcPr>
            <w:tcW w:w="1510" w:type="dxa"/>
            <w:tcBorders>
              <w:top w:val="nil"/>
              <w:left w:val="nil"/>
              <w:bottom w:val="single" w:sz="4" w:space="0" w:color="auto"/>
              <w:right w:val="single" w:sz="4" w:space="0" w:color="auto"/>
            </w:tcBorders>
            <w:shd w:val="clear" w:color="auto" w:fill="auto"/>
            <w:noWrap/>
            <w:vAlign w:val="center"/>
            <w:hideMark/>
          </w:tcPr>
          <w:p w14:paraId="0BDFE0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£50,567.07</w:t>
            </w:r>
          </w:p>
        </w:tc>
        <w:tc>
          <w:tcPr>
            <w:tcW w:w="1510" w:type="dxa"/>
            <w:tcBorders>
              <w:top w:val="nil"/>
              <w:left w:val="nil"/>
              <w:bottom w:val="single" w:sz="4" w:space="0" w:color="auto"/>
              <w:right w:val="single" w:sz="4" w:space="0" w:color="auto"/>
            </w:tcBorders>
            <w:shd w:val="clear" w:color="auto" w:fill="auto"/>
            <w:noWrap/>
            <w:vAlign w:val="center"/>
            <w:hideMark/>
          </w:tcPr>
          <w:p w14:paraId="26A786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£50,567.07</w:t>
            </w:r>
          </w:p>
        </w:tc>
        <w:tc>
          <w:tcPr>
            <w:tcW w:w="1510" w:type="dxa"/>
            <w:tcBorders>
              <w:top w:val="nil"/>
              <w:left w:val="nil"/>
              <w:bottom w:val="single" w:sz="4" w:space="0" w:color="auto"/>
              <w:right w:val="single" w:sz="4" w:space="0" w:color="auto"/>
            </w:tcBorders>
            <w:shd w:val="clear" w:color="auto" w:fill="auto"/>
            <w:noWrap/>
            <w:vAlign w:val="center"/>
            <w:hideMark/>
          </w:tcPr>
          <w:p w14:paraId="03E91E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£50,567.07</w:t>
            </w:r>
          </w:p>
        </w:tc>
        <w:tc>
          <w:tcPr>
            <w:tcW w:w="1510" w:type="dxa"/>
            <w:tcBorders>
              <w:top w:val="nil"/>
              <w:left w:val="nil"/>
              <w:bottom w:val="single" w:sz="4" w:space="0" w:color="auto"/>
              <w:right w:val="single" w:sz="4" w:space="0" w:color="auto"/>
            </w:tcBorders>
            <w:shd w:val="clear" w:color="auto" w:fill="auto"/>
            <w:noWrap/>
            <w:vAlign w:val="center"/>
            <w:hideMark/>
          </w:tcPr>
          <w:p w14:paraId="21539C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£50,567.07</w:t>
            </w:r>
          </w:p>
        </w:tc>
        <w:tc>
          <w:tcPr>
            <w:tcW w:w="1587" w:type="dxa"/>
            <w:tcBorders>
              <w:top w:val="nil"/>
              <w:left w:val="nil"/>
              <w:bottom w:val="single" w:sz="4" w:space="0" w:color="auto"/>
              <w:right w:val="single" w:sz="4" w:space="0" w:color="auto"/>
            </w:tcBorders>
            <w:shd w:val="clear" w:color="auto" w:fill="auto"/>
            <w:noWrap/>
            <w:vAlign w:val="center"/>
            <w:hideMark/>
          </w:tcPr>
          <w:p w14:paraId="1F9841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£202,268.28</w:t>
            </w:r>
          </w:p>
        </w:tc>
      </w:tr>
      <w:tr w:rsidR="004433D7" w:rsidRPr="004433D7" w14:paraId="69E52AA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4F8491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418DB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£12,178.82</w:t>
            </w:r>
          </w:p>
        </w:tc>
        <w:tc>
          <w:tcPr>
            <w:tcW w:w="1510" w:type="dxa"/>
            <w:tcBorders>
              <w:top w:val="nil"/>
              <w:left w:val="nil"/>
              <w:bottom w:val="single" w:sz="4" w:space="0" w:color="auto"/>
              <w:right w:val="single" w:sz="4" w:space="0" w:color="auto"/>
            </w:tcBorders>
            <w:shd w:val="clear" w:color="auto" w:fill="auto"/>
            <w:noWrap/>
            <w:vAlign w:val="center"/>
            <w:hideMark/>
          </w:tcPr>
          <w:p w14:paraId="3899AB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£3,044.71</w:t>
            </w:r>
          </w:p>
        </w:tc>
        <w:tc>
          <w:tcPr>
            <w:tcW w:w="1510" w:type="dxa"/>
            <w:tcBorders>
              <w:top w:val="nil"/>
              <w:left w:val="nil"/>
              <w:bottom w:val="single" w:sz="4" w:space="0" w:color="auto"/>
              <w:right w:val="single" w:sz="4" w:space="0" w:color="auto"/>
            </w:tcBorders>
            <w:shd w:val="clear" w:color="auto" w:fill="auto"/>
            <w:noWrap/>
            <w:vAlign w:val="center"/>
            <w:hideMark/>
          </w:tcPr>
          <w:p w14:paraId="7A5F50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£3,044.71</w:t>
            </w:r>
          </w:p>
        </w:tc>
        <w:tc>
          <w:tcPr>
            <w:tcW w:w="1510" w:type="dxa"/>
            <w:tcBorders>
              <w:top w:val="nil"/>
              <w:left w:val="nil"/>
              <w:bottom w:val="single" w:sz="4" w:space="0" w:color="auto"/>
              <w:right w:val="single" w:sz="4" w:space="0" w:color="auto"/>
            </w:tcBorders>
            <w:shd w:val="clear" w:color="auto" w:fill="auto"/>
            <w:noWrap/>
            <w:vAlign w:val="center"/>
            <w:hideMark/>
          </w:tcPr>
          <w:p w14:paraId="35A7BC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£3,044.71</w:t>
            </w:r>
          </w:p>
        </w:tc>
        <w:tc>
          <w:tcPr>
            <w:tcW w:w="1510" w:type="dxa"/>
            <w:tcBorders>
              <w:top w:val="nil"/>
              <w:left w:val="nil"/>
              <w:bottom w:val="single" w:sz="4" w:space="0" w:color="auto"/>
              <w:right w:val="single" w:sz="4" w:space="0" w:color="auto"/>
            </w:tcBorders>
            <w:shd w:val="clear" w:color="auto" w:fill="auto"/>
            <w:noWrap/>
            <w:vAlign w:val="center"/>
            <w:hideMark/>
          </w:tcPr>
          <w:p w14:paraId="7EF143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£3,044.71</w:t>
            </w:r>
          </w:p>
        </w:tc>
        <w:tc>
          <w:tcPr>
            <w:tcW w:w="1587" w:type="dxa"/>
            <w:tcBorders>
              <w:top w:val="nil"/>
              <w:left w:val="nil"/>
              <w:bottom w:val="single" w:sz="4" w:space="0" w:color="auto"/>
              <w:right w:val="single" w:sz="4" w:space="0" w:color="auto"/>
            </w:tcBorders>
            <w:shd w:val="clear" w:color="auto" w:fill="auto"/>
            <w:noWrap/>
            <w:vAlign w:val="center"/>
            <w:hideMark/>
          </w:tcPr>
          <w:p w14:paraId="08ACD7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£12,178.84</w:t>
            </w:r>
          </w:p>
        </w:tc>
      </w:tr>
      <w:tr w:rsidR="004433D7" w:rsidRPr="004433D7" w14:paraId="26AFC7F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A2AE1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Logicor</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56FDD5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£14.75</w:t>
            </w:r>
          </w:p>
        </w:tc>
        <w:tc>
          <w:tcPr>
            <w:tcW w:w="1510" w:type="dxa"/>
            <w:tcBorders>
              <w:top w:val="nil"/>
              <w:left w:val="nil"/>
              <w:bottom w:val="single" w:sz="4" w:space="0" w:color="auto"/>
              <w:right w:val="single" w:sz="4" w:space="0" w:color="auto"/>
            </w:tcBorders>
            <w:shd w:val="clear" w:color="auto" w:fill="auto"/>
            <w:noWrap/>
            <w:vAlign w:val="center"/>
            <w:hideMark/>
          </w:tcPr>
          <w:p w14:paraId="630639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£14.76</w:t>
            </w:r>
          </w:p>
        </w:tc>
        <w:tc>
          <w:tcPr>
            <w:tcW w:w="1510" w:type="dxa"/>
            <w:tcBorders>
              <w:top w:val="nil"/>
              <w:left w:val="nil"/>
              <w:bottom w:val="single" w:sz="4" w:space="0" w:color="auto"/>
              <w:right w:val="single" w:sz="4" w:space="0" w:color="auto"/>
            </w:tcBorders>
            <w:shd w:val="clear" w:color="auto" w:fill="auto"/>
            <w:noWrap/>
            <w:vAlign w:val="center"/>
            <w:hideMark/>
          </w:tcPr>
          <w:p w14:paraId="00CF21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w:t>
            </w:r>
          </w:p>
        </w:tc>
        <w:tc>
          <w:tcPr>
            <w:tcW w:w="1510" w:type="dxa"/>
            <w:tcBorders>
              <w:top w:val="nil"/>
              <w:left w:val="nil"/>
              <w:bottom w:val="single" w:sz="4" w:space="0" w:color="auto"/>
              <w:right w:val="single" w:sz="4" w:space="0" w:color="auto"/>
            </w:tcBorders>
            <w:shd w:val="clear" w:color="auto" w:fill="auto"/>
            <w:noWrap/>
            <w:vAlign w:val="center"/>
            <w:hideMark/>
          </w:tcPr>
          <w:p w14:paraId="255419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65A46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703E72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£18.45</w:t>
            </w:r>
          </w:p>
        </w:tc>
      </w:tr>
      <w:tr w:rsidR="004433D7" w:rsidRPr="004433D7" w14:paraId="67AF56B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096F7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MA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7AAFCE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£31,850.99</w:t>
            </w:r>
          </w:p>
        </w:tc>
        <w:tc>
          <w:tcPr>
            <w:tcW w:w="1510" w:type="dxa"/>
            <w:tcBorders>
              <w:top w:val="nil"/>
              <w:left w:val="nil"/>
              <w:bottom w:val="single" w:sz="4" w:space="0" w:color="auto"/>
              <w:right w:val="single" w:sz="4" w:space="0" w:color="auto"/>
            </w:tcBorders>
            <w:shd w:val="clear" w:color="auto" w:fill="auto"/>
            <w:noWrap/>
            <w:vAlign w:val="center"/>
            <w:hideMark/>
          </w:tcPr>
          <w:p w14:paraId="459C54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£7,962.75</w:t>
            </w:r>
          </w:p>
        </w:tc>
        <w:tc>
          <w:tcPr>
            <w:tcW w:w="1510" w:type="dxa"/>
            <w:tcBorders>
              <w:top w:val="nil"/>
              <w:left w:val="nil"/>
              <w:bottom w:val="single" w:sz="4" w:space="0" w:color="auto"/>
              <w:right w:val="single" w:sz="4" w:space="0" w:color="auto"/>
            </w:tcBorders>
            <w:shd w:val="clear" w:color="auto" w:fill="auto"/>
            <w:noWrap/>
            <w:vAlign w:val="center"/>
            <w:hideMark/>
          </w:tcPr>
          <w:p w14:paraId="196572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£7,962.75</w:t>
            </w:r>
          </w:p>
        </w:tc>
        <w:tc>
          <w:tcPr>
            <w:tcW w:w="1510" w:type="dxa"/>
            <w:tcBorders>
              <w:top w:val="nil"/>
              <w:left w:val="nil"/>
              <w:bottom w:val="single" w:sz="4" w:space="0" w:color="auto"/>
              <w:right w:val="single" w:sz="4" w:space="0" w:color="auto"/>
            </w:tcBorders>
            <w:shd w:val="clear" w:color="auto" w:fill="auto"/>
            <w:noWrap/>
            <w:vAlign w:val="center"/>
            <w:hideMark/>
          </w:tcPr>
          <w:p w14:paraId="63EF35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£7,962.75</w:t>
            </w:r>
          </w:p>
        </w:tc>
        <w:tc>
          <w:tcPr>
            <w:tcW w:w="1510" w:type="dxa"/>
            <w:tcBorders>
              <w:top w:val="nil"/>
              <w:left w:val="nil"/>
              <w:bottom w:val="single" w:sz="4" w:space="0" w:color="auto"/>
              <w:right w:val="single" w:sz="4" w:space="0" w:color="auto"/>
            </w:tcBorders>
            <w:shd w:val="clear" w:color="auto" w:fill="auto"/>
            <w:noWrap/>
            <w:vAlign w:val="center"/>
            <w:hideMark/>
          </w:tcPr>
          <w:p w14:paraId="6AF444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£7,962.75</w:t>
            </w:r>
          </w:p>
        </w:tc>
        <w:tc>
          <w:tcPr>
            <w:tcW w:w="1587" w:type="dxa"/>
            <w:tcBorders>
              <w:top w:val="nil"/>
              <w:left w:val="nil"/>
              <w:bottom w:val="single" w:sz="4" w:space="0" w:color="auto"/>
              <w:right w:val="single" w:sz="4" w:space="0" w:color="auto"/>
            </w:tcBorders>
            <w:shd w:val="clear" w:color="auto" w:fill="auto"/>
            <w:noWrap/>
            <w:vAlign w:val="center"/>
            <w:hideMark/>
          </w:tcPr>
          <w:p w14:paraId="38030A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£31,851.00</w:t>
            </w:r>
          </w:p>
        </w:tc>
      </w:tr>
      <w:tr w:rsidR="004433D7" w:rsidRPr="004433D7" w14:paraId="4D3E61E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C9F429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Marble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14C967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£58,563.79</w:t>
            </w:r>
          </w:p>
        </w:tc>
        <w:tc>
          <w:tcPr>
            <w:tcW w:w="1510" w:type="dxa"/>
            <w:tcBorders>
              <w:top w:val="nil"/>
              <w:left w:val="nil"/>
              <w:bottom w:val="single" w:sz="4" w:space="0" w:color="auto"/>
              <w:right w:val="single" w:sz="4" w:space="0" w:color="auto"/>
            </w:tcBorders>
            <w:shd w:val="clear" w:color="auto" w:fill="auto"/>
            <w:noWrap/>
            <w:vAlign w:val="center"/>
            <w:hideMark/>
          </w:tcPr>
          <w:p w14:paraId="0D8533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£58,563.79</w:t>
            </w:r>
          </w:p>
        </w:tc>
        <w:tc>
          <w:tcPr>
            <w:tcW w:w="1510" w:type="dxa"/>
            <w:tcBorders>
              <w:top w:val="nil"/>
              <w:left w:val="nil"/>
              <w:bottom w:val="single" w:sz="4" w:space="0" w:color="auto"/>
              <w:right w:val="single" w:sz="4" w:space="0" w:color="auto"/>
            </w:tcBorders>
            <w:shd w:val="clear" w:color="auto" w:fill="auto"/>
            <w:noWrap/>
            <w:vAlign w:val="center"/>
            <w:hideMark/>
          </w:tcPr>
          <w:p w14:paraId="4A1B54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57359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053E40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0385C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£58,563.79</w:t>
            </w:r>
          </w:p>
        </w:tc>
      </w:tr>
      <w:tr w:rsidR="004433D7" w:rsidRPr="004433D7" w14:paraId="2135E40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D3E4CA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Maxen</w:t>
            </w:r>
            <w:proofErr w:type="spellEnd"/>
            <w:r w:rsidRPr="004433D7">
              <w:rPr>
                <w:rFonts w:eastAsia="Times New Roman" w:cs="Times New Roman"/>
                <w:color w:val="000000"/>
                <w:sz w:val="16"/>
                <w:szCs w:val="16"/>
              </w:rPr>
              <w:t xml:space="preserve"> Power Supply Limited </w:t>
            </w:r>
          </w:p>
        </w:tc>
        <w:tc>
          <w:tcPr>
            <w:tcW w:w="1510" w:type="dxa"/>
            <w:tcBorders>
              <w:top w:val="nil"/>
              <w:left w:val="nil"/>
              <w:bottom w:val="single" w:sz="4" w:space="0" w:color="auto"/>
              <w:right w:val="single" w:sz="4" w:space="0" w:color="auto"/>
            </w:tcBorders>
            <w:shd w:val="clear" w:color="auto" w:fill="auto"/>
            <w:noWrap/>
            <w:vAlign w:val="center"/>
            <w:hideMark/>
          </w:tcPr>
          <w:p w14:paraId="0A109B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£30.28</w:t>
            </w:r>
          </w:p>
        </w:tc>
        <w:tc>
          <w:tcPr>
            <w:tcW w:w="1510" w:type="dxa"/>
            <w:tcBorders>
              <w:top w:val="nil"/>
              <w:left w:val="nil"/>
              <w:bottom w:val="single" w:sz="4" w:space="0" w:color="auto"/>
              <w:right w:val="single" w:sz="4" w:space="0" w:color="auto"/>
            </w:tcBorders>
            <w:shd w:val="clear" w:color="auto" w:fill="auto"/>
            <w:noWrap/>
            <w:vAlign w:val="center"/>
            <w:hideMark/>
          </w:tcPr>
          <w:p w14:paraId="3A3529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£30.28</w:t>
            </w:r>
          </w:p>
        </w:tc>
        <w:tc>
          <w:tcPr>
            <w:tcW w:w="1510" w:type="dxa"/>
            <w:tcBorders>
              <w:top w:val="nil"/>
              <w:left w:val="nil"/>
              <w:bottom w:val="single" w:sz="4" w:space="0" w:color="auto"/>
              <w:right w:val="single" w:sz="4" w:space="0" w:color="auto"/>
            </w:tcBorders>
            <w:shd w:val="clear" w:color="auto" w:fill="auto"/>
            <w:noWrap/>
            <w:vAlign w:val="center"/>
            <w:hideMark/>
          </w:tcPr>
          <w:p w14:paraId="247809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C15CD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B770F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01A490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£30.28</w:t>
            </w:r>
          </w:p>
        </w:tc>
      </w:tr>
      <w:tr w:rsidR="004433D7" w:rsidRPr="004433D7" w14:paraId="425D90E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7A0D6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MVV Environment Services Limited</w:t>
            </w:r>
          </w:p>
        </w:tc>
        <w:tc>
          <w:tcPr>
            <w:tcW w:w="1510" w:type="dxa"/>
            <w:tcBorders>
              <w:top w:val="nil"/>
              <w:left w:val="nil"/>
              <w:bottom w:val="single" w:sz="4" w:space="0" w:color="auto"/>
              <w:right w:val="single" w:sz="4" w:space="0" w:color="auto"/>
            </w:tcBorders>
            <w:shd w:val="clear" w:color="auto" w:fill="auto"/>
            <w:noWrap/>
            <w:vAlign w:val="center"/>
            <w:hideMark/>
          </w:tcPr>
          <w:p w14:paraId="04610F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£3,861.60</w:t>
            </w:r>
          </w:p>
        </w:tc>
        <w:tc>
          <w:tcPr>
            <w:tcW w:w="1510" w:type="dxa"/>
            <w:tcBorders>
              <w:top w:val="nil"/>
              <w:left w:val="nil"/>
              <w:bottom w:val="single" w:sz="4" w:space="0" w:color="auto"/>
              <w:right w:val="single" w:sz="4" w:space="0" w:color="auto"/>
            </w:tcBorders>
            <w:shd w:val="clear" w:color="auto" w:fill="auto"/>
            <w:noWrap/>
            <w:vAlign w:val="center"/>
            <w:hideMark/>
          </w:tcPr>
          <w:p w14:paraId="1A9BC8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£965.40</w:t>
            </w:r>
          </w:p>
        </w:tc>
        <w:tc>
          <w:tcPr>
            <w:tcW w:w="1510" w:type="dxa"/>
            <w:tcBorders>
              <w:top w:val="nil"/>
              <w:left w:val="nil"/>
              <w:bottom w:val="single" w:sz="4" w:space="0" w:color="auto"/>
              <w:right w:val="single" w:sz="4" w:space="0" w:color="auto"/>
            </w:tcBorders>
            <w:shd w:val="clear" w:color="auto" w:fill="auto"/>
            <w:noWrap/>
            <w:vAlign w:val="center"/>
            <w:hideMark/>
          </w:tcPr>
          <w:p w14:paraId="65740E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£965.40</w:t>
            </w:r>
          </w:p>
        </w:tc>
        <w:tc>
          <w:tcPr>
            <w:tcW w:w="1510" w:type="dxa"/>
            <w:tcBorders>
              <w:top w:val="nil"/>
              <w:left w:val="nil"/>
              <w:bottom w:val="single" w:sz="4" w:space="0" w:color="auto"/>
              <w:right w:val="single" w:sz="4" w:space="0" w:color="auto"/>
            </w:tcBorders>
            <w:shd w:val="clear" w:color="auto" w:fill="auto"/>
            <w:noWrap/>
            <w:vAlign w:val="center"/>
            <w:hideMark/>
          </w:tcPr>
          <w:p w14:paraId="305922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£965.40</w:t>
            </w:r>
          </w:p>
        </w:tc>
        <w:tc>
          <w:tcPr>
            <w:tcW w:w="1510" w:type="dxa"/>
            <w:tcBorders>
              <w:top w:val="nil"/>
              <w:left w:val="nil"/>
              <w:bottom w:val="single" w:sz="4" w:space="0" w:color="auto"/>
              <w:right w:val="single" w:sz="4" w:space="0" w:color="auto"/>
            </w:tcBorders>
            <w:shd w:val="clear" w:color="auto" w:fill="auto"/>
            <w:noWrap/>
            <w:vAlign w:val="center"/>
            <w:hideMark/>
          </w:tcPr>
          <w:p w14:paraId="669431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£965.40</w:t>
            </w:r>
          </w:p>
        </w:tc>
        <w:tc>
          <w:tcPr>
            <w:tcW w:w="1587" w:type="dxa"/>
            <w:tcBorders>
              <w:top w:val="nil"/>
              <w:left w:val="nil"/>
              <w:bottom w:val="single" w:sz="4" w:space="0" w:color="auto"/>
              <w:right w:val="single" w:sz="4" w:space="0" w:color="auto"/>
            </w:tcBorders>
            <w:shd w:val="clear" w:color="auto" w:fill="auto"/>
            <w:noWrap/>
            <w:vAlign w:val="center"/>
            <w:hideMark/>
          </w:tcPr>
          <w:p w14:paraId="5E3215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£3,861.60</w:t>
            </w:r>
          </w:p>
        </w:tc>
      </w:tr>
      <w:tr w:rsidR="004433D7" w:rsidRPr="004433D7" w14:paraId="1A3F996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A8C9BD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Nabuh</w:t>
            </w:r>
            <w:proofErr w:type="spellEnd"/>
            <w:r w:rsidRPr="004433D7">
              <w:rPr>
                <w:rFonts w:eastAsia="Times New Roman" w:cs="Times New Roman"/>
                <w:color w:val="000000"/>
                <w:sz w:val="16"/>
                <w:szCs w:val="16"/>
              </w:rPr>
              <w:t xml:space="preserve"> Energy Ltd</w:t>
            </w:r>
          </w:p>
        </w:tc>
        <w:tc>
          <w:tcPr>
            <w:tcW w:w="1510" w:type="dxa"/>
            <w:tcBorders>
              <w:top w:val="nil"/>
              <w:left w:val="nil"/>
              <w:bottom w:val="single" w:sz="4" w:space="0" w:color="auto"/>
              <w:right w:val="single" w:sz="4" w:space="0" w:color="auto"/>
            </w:tcBorders>
            <w:shd w:val="clear" w:color="auto" w:fill="auto"/>
            <w:noWrap/>
            <w:vAlign w:val="center"/>
            <w:hideMark/>
          </w:tcPr>
          <w:p w14:paraId="1F43BA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£13,453.85</w:t>
            </w:r>
          </w:p>
        </w:tc>
        <w:tc>
          <w:tcPr>
            <w:tcW w:w="1510" w:type="dxa"/>
            <w:tcBorders>
              <w:top w:val="nil"/>
              <w:left w:val="nil"/>
              <w:bottom w:val="single" w:sz="4" w:space="0" w:color="auto"/>
              <w:right w:val="single" w:sz="4" w:space="0" w:color="auto"/>
            </w:tcBorders>
            <w:shd w:val="clear" w:color="auto" w:fill="auto"/>
            <w:noWrap/>
            <w:vAlign w:val="center"/>
            <w:hideMark/>
          </w:tcPr>
          <w:p w14:paraId="04673A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£3,363.46</w:t>
            </w:r>
          </w:p>
        </w:tc>
        <w:tc>
          <w:tcPr>
            <w:tcW w:w="1510" w:type="dxa"/>
            <w:tcBorders>
              <w:top w:val="nil"/>
              <w:left w:val="nil"/>
              <w:bottom w:val="single" w:sz="4" w:space="0" w:color="auto"/>
              <w:right w:val="single" w:sz="4" w:space="0" w:color="auto"/>
            </w:tcBorders>
            <w:shd w:val="clear" w:color="auto" w:fill="auto"/>
            <w:noWrap/>
            <w:vAlign w:val="center"/>
            <w:hideMark/>
          </w:tcPr>
          <w:p w14:paraId="07331B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£3,363.46</w:t>
            </w:r>
          </w:p>
        </w:tc>
        <w:tc>
          <w:tcPr>
            <w:tcW w:w="1510" w:type="dxa"/>
            <w:tcBorders>
              <w:top w:val="nil"/>
              <w:left w:val="nil"/>
              <w:bottom w:val="single" w:sz="4" w:space="0" w:color="auto"/>
              <w:right w:val="single" w:sz="4" w:space="0" w:color="auto"/>
            </w:tcBorders>
            <w:shd w:val="clear" w:color="auto" w:fill="auto"/>
            <w:noWrap/>
            <w:vAlign w:val="center"/>
            <w:hideMark/>
          </w:tcPr>
          <w:p w14:paraId="4EB573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£3,363.46</w:t>
            </w:r>
          </w:p>
        </w:tc>
        <w:tc>
          <w:tcPr>
            <w:tcW w:w="1510" w:type="dxa"/>
            <w:tcBorders>
              <w:top w:val="nil"/>
              <w:left w:val="nil"/>
              <w:bottom w:val="single" w:sz="4" w:space="0" w:color="auto"/>
              <w:right w:val="single" w:sz="4" w:space="0" w:color="auto"/>
            </w:tcBorders>
            <w:shd w:val="clear" w:color="auto" w:fill="auto"/>
            <w:noWrap/>
            <w:vAlign w:val="center"/>
            <w:hideMark/>
          </w:tcPr>
          <w:p w14:paraId="222A34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82A4F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£10,090.38</w:t>
            </w:r>
          </w:p>
        </w:tc>
      </w:tr>
      <w:tr w:rsidR="004433D7" w:rsidRPr="004433D7" w14:paraId="64EB20F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4EC0FE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510" w:type="dxa"/>
            <w:tcBorders>
              <w:top w:val="nil"/>
              <w:left w:val="nil"/>
              <w:bottom w:val="single" w:sz="4" w:space="0" w:color="auto"/>
              <w:right w:val="single" w:sz="4" w:space="0" w:color="auto"/>
            </w:tcBorders>
            <w:shd w:val="clear" w:color="auto" w:fill="auto"/>
            <w:noWrap/>
            <w:vAlign w:val="center"/>
            <w:hideMark/>
          </w:tcPr>
          <w:p w14:paraId="3F2AFF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£236,905.40</w:t>
            </w:r>
          </w:p>
        </w:tc>
        <w:tc>
          <w:tcPr>
            <w:tcW w:w="1510" w:type="dxa"/>
            <w:tcBorders>
              <w:top w:val="nil"/>
              <w:left w:val="nil"/>
              <w:bottom w:val="single" w:sz="4" w:space="0" w:color="auto"/>
              <w:right w:val="single" w:sz="4" w:space="0" w:color="auto"/>
            </w:tcBorders>
            <w:shd w:val="clear" w:color="auto" w:fill="auto"/>
            <w:noWrap/>
            <w:vAlign w:val="center"/>
            <w:hideMark/>
          </w:tcPr>
          <w:p w14:paraId="6FA4A1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£59,226.35</w:t>
            </w:r>
          </w:p>
        </w:tc>
        <w:tc>
          <w:tcPr>
            <w:tcW w:w="1510" w:type="dxa"/>
            <w:tcBorders>
              <w:top w:val="nil"/>
              <w:left w:val="nil"/>
              <w:bottom w:val="single" w:sz="4" w:space="0" w:color="auto"/>
              <w:right w:val="single" w:sz="4" w:space="0" w:color="auto"/>
            </w:tcBorders>
            <w:shd w:val="clear" w:color="auto" w:fill="auto"/>
            <w:noWrap/>
            <w:vAlign w:val="center"/>
            <w:hideMark/>
          </w:tcPr>
          <w:p w14:paraId="19E054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£59,226.35</w:t>
            </w:r>
          </w:p>
        </w:tc>
        <w:tc>
          <w:tcPr>
            <w:tcW w:w="1510" w:type="dxa"/>
            <w:tcBorders>
              <w:top w:val="nil"/>
              <w:left w:val="nil"/>
              <w:bottom w:val="single" w:sz="4" w:space="0" w:color="auto"/>
              <w:right w:val="single" w:sz="4" w:space="0" w:color="auto"/>
            </w:tcBorders>
            <w:shd w:val="clear" w:color="auto" w:fill="auto"/>
            <w:noWrap/>
            <w:vAlign w:val="center"/>
            <w:hideMark/>
          </w:tcPr>
          <w:p w14:paraId="4E156A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£59,226.35</w:t>
            </w:r>
          </w:p>
        </w:tc>
        <w:tc>
          <w:tcPr>
            <w:tcW w:w="1510" w:type="dxa"/>
            <w:tcBorders>
              <w:top w:val="nil"/>
              <w:left w:val="nil"/>
              <w:bottom w:val="single" w:sz="4" w:space="0" w:color="auto"/>
              <w:right w:val="single" w:sz="4" w:space="0" w:color="auto"/>
            </w:tcBorders>
            <w:shd w:val="clear" w:color="auto" w:fill="auto"/>
            <w:noWrap/>
            <w:vAlign w:val="center"/>
            <w:hideMark/>
          </w:tcPr>
          <w:p w14:paraId="26A42B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£59,226.35</w:t>
            </w:r>
          </w:p>
        </w:tc>
        <w:tc>
          <w:tcPr>
            <w:tcW w:w="1587" w:type="dxa"/>
            <w:tcBorders>
              <w:top w:val="nil"/>
              <w:left w:val="nil"/>
              <w:bottom w:val="single" w:sz="4" w:space="0" w:color="auto"/>
              <w:right w:val="single" w:sz="4" w:space="0" w:color="auto"/>
            </w:tcBorders>
            <w:shd w:val="clear" w:color="auto" w:fill="auto"/>
            <w:noWrap/>
            <w:vAlign w:val="center"/>
            <w:hideMark/>
          </w:tcPr>
          <w:p w14:paraId="032607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£236,905.40</w:t>
            </w:r>
          </w:p>
        </w:tc>
      </w:tr>
      <w:tr w:rsidR="004433D7" w:rsidRPr="004433D7" w14:paraId="1D8FBCE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5DCB7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4852F2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£8,621,917.13</w:t>
            </w:r>
          </w:p>
        </w:tc>
        <w:tc>
          <w:tcPr>
            <w:tcW w:w="1510" w:type="dxa"/>
            <w:tcBorders>
              <w:top w:val="nil"/>
              <w:left w:val="nil"/>
              <w:bottom w:val="single" w:sz="4" w:space="0" w:color="auto"/>
              <w:right w:val="single" w:sz="4" w:space="0" w:color="auto"/>
            </w:tcBorders>
            <w:shd w:val="clear" w:color="auto" w:fill="auto"/>
            <w:noWrap/>
            <w:vAlign w:val="center"/>
            <w:hideMark/>
          </w:tcPr>
          <w:p w14:paraId="312B8F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£2,155,479.28</w:t>
            </w:r>
          </w:p>
        </w:tc>
        <w:tc>
          <w:tcPr>
            <w:tcW w:w="1510" w:type="dxa"/>
            <w:tcBorders>
              <w:top w:val="nil"/>
              <w:left w:val="nil"/>
              <w:bottom w:val="single" w:sz="4" w:space="0" w:color="auto"/>
              <w:right w:val="single" w:sz="4" w:space="0" w:color="auto"/>
            </w:tcBorders>
            <w:shd w:val="clear" w:color="auto" w:fill="auto"/>
            <w:noWrap/>
            <w:vAlign w:val="center"/>
            <w:hideMark/>
          </w:tcPr>
          <w:p w14:paraId="6F30C3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£2,155,479.28</w:t>
            </w:r>
          </w:p>
        </w:tc>
        <w:tc>
          <w:tcPr>
            <w:tcW w:w="1510" w:type="dxa"/>
            <w:tcBorders>
              <w:top w:val="nil"/>
              <w:left w:val="nil"/>
              <w:bottom w:val="single" w:sz="4" w:space="0" w:color="auto"/>
              <w:right w:val="single" w:sz="4" w:space="0" w:color="auto"/>
            </w:tcBorders>
            <w:shd w:val="clear" w:color="auto" w:fill="auto"/>
            <w:noWrap/>
            <w:vAlign w:val="center"/>
            <w:hideMark/>
          </w:tcPr>
          <w:p w14:paraId="3CC583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£2,155,479.28</w:t>
            </w:r>
          </w:p>
        </w:tc>
        <w:tc>
          <w:tcPr>
            <w:tcW w:w="1510" w:type="dxa"/>
            <w:tcBorders>
              <w:top w:val="nil"/>
              <w:left w:val="nil"/>
              <w:bottom w:val="single" w:sz="4" w:space="0" w:color="auto"/>
              <w:right w:val="single" w:sz="4" w:space="0" w:color="auto"/>
            </w:tcBorders>
            <w:shd w:val="clear" w:color="auto" w:fill="auto"/>
            <w:noWrap/>
            <w:vAlign w:val="center"/>
            <w:hideMark/>
          </w:tcPr>
          <w:p w14:paraId="004E4A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£2,155,479.28</w:t>
            </w:r>
          </w:p>
        </w:tc>
        <w:tc>
          <w:tcPr>
            <w:tcW w:w="1587" w:type="dxa"/>
            <w:tcBorders>
              <w:top w:val="nil"/>
              <w:left w:val="nil"/>
              <w:bottom w:val="single" w:sz="4" w:space="0" w:color="auto"/>
              <w:right w:val="single" w:sz="4" w:space="0" w:color="auto"/>
            </w:tcBorders>
            <w:shd w:val="clear" w:color="auto" w:fill="auto"/>
            <w:noWrap/>
            <w:vAlign w:val="center"/>
            <w:hideMark/>
          </w:tcPr>
          <w:p w14:paraId="569497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£8,621,917.12</w:t>
            </w:r>
          </w:p>
        </w:tc>
      </w:tr>
      <w:tr w:rsidR="004433D7" w:rsidRPr="004433D7" w14:paraId="5BBFF52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4FE68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4A4CA5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£2,192,555.03</w:t>
            </w:r>
          </w:p>
        </w:tc>
        <w:tc>
          <w:tcPr>
            <w:tcW w:w="1510" w:type="dxa"/>
            <w:tcBorders>
              <w:top w:val="nil"/>
              <w:left w:val="nil"/>
              <w:bottom w:val="single" w:sz="4" w:space="0" w:color="auto"/>
              <w:right w:val="single" w:sz="4" w:space="0" w:color="auto"/>
            </w:tcBorders>
            <w:shd w:val="clear" w:color="auto" w:fill="auto"/>
            <w:noWrap/>
            <w:vAlign w:val="center"/>
            <w:hideMark/>
          </w:tcPr>
          <w:p w14:paraId="796BCB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£548,138.76</w:t>
            </w:r>
          </w:p>
        </w:tc>
        <w:tc>
          <w:tcPr>
            <w:tcW w:w="1510" w:type="dxa"/>
            <w:tcBorders>
              <w:top w:val="nil"/>
              <w:left w:val="nil"/>
              <w:bottom w:val="single" w:sz="4" w:space="0" w:color="auto"/>
              <w:right w:val="single" w:sz="4" w:space="0" w:color="auto"/>
            </w:tcBorders>
            <w:shd w:val="clear" w:color="auto" w:fill="auto"/>
            <w:noWrap/>
            <w:vAlign w:val="center"/>
            <w:hideMark/>
          </w:tcPr>
          <w:p w14:paraId="377881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£548,138.76</w:t>
            </w:r>
          </w:p>
        </w:tc>
        <w:tc>
          <w:tcPr>
            <w:tcW w:w="1510" w:type="dxa"/>
            <w:tcBorders>
              <w:top w:val="nil"/>
              <w:left w:val="nil"/>
              <w:bottom w:val="single" w:sz="4" w:space="0" w:color="auto"/>
              <w:right w:val="single" w:sz="4" w:space="0" w:color="auto"/>
            </w:tcBorders>
            <w:shd w:val="clear" w:color="auto" w:fill="auto"/>
            <w:noWrap/>
            <w:vAlign w:val="center"/>
            <w:hideMark/>
          </w:tcPr>
          <w:p w14:paraId="250635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£548,138.76</w:t>
            </w:r>
          </w:p>
        </w:tc>
        <w:tc>
          <w:tcPr>
            <w:tcW w:w="1510" w:type="dxa"/>
            <w:tcBorders>
              <w:top w:val="nil"/>
              <w:left w:val="nil"/>
              <w:bottom w:val="single" w:sz="4" w:space="0" w:color="auto"/>
              <w:right w:val="single" w:sz="4" w:space="0" w:color="auto"/>
            </w:tcBorders>
            <w:shd w:val="clear" w:color="auto" w:fill="auto"/>
            <w:noWrap/>
            <w:vAlign w:val="center"/>
            <w:hideMark/>
          </w:tcPr>
          <w:p w14:paraId="7A34D7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£548,138.76</w:t>
            </w:r>
          </w:p>
        </w:tc>
        <w:tc>
          <w:tcPr>
            <w:tcW w:w="1587" w:type="dxa"/>
            <w:tcBorders>
              <w:top w:val="nil"/>
              <w:left w:val="nil"/>
              <w:bottom w:val="single" w:sz="4" w:space="0" w:color="auto"/>
              <w:right w:val="single" w:sz="4" w:space="0" w:color="auto"/>
            </w:tcBorders>
            <w:shd w:val="clear" w:color="auto" w:fill="auto"/>
            <w:noWrap/>
            <w:vAlign w:val="center"/>
            <w:hideMark/>
          </w:tcPr>
          <w:p w14:paraId="583747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£2,192,555.04</w:t>
            </w:r>
          </w:p>
        </w:tc>
      </w:tr>
      <w:tr w:rsidR="004433D7" w:rsidRPr="004433D7" w14:paraId="09A4732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2D0E0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5180A8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£240,753.02</w:t>
            </w:r>
          </w:p>
        </w:tc>
        <w:tc>
          <w:tcPr>
            <w:tcW w:w="1510" w:type="dxa"/>
            <w:tcBorders>
              <w:top w:val="nil"/>
              <w:left w:val="nil"/>
              <w:bottom w:val="single" w:sz="4" w:space="0" w:color="auto"/>
              <w:right w:val="single" w:sz="4" w:space="0" w:color="auto"/>
            </w:tcBorders>
            <w:shd w:val="clear" w:color="auto" w:fill="auto"/>
            <w:noWrap/>
            <w:vAlign w:val="center"/>
            <w:hideMark/>
          </w:tcPr>
          <w:p w14:paraId="4FC424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£60,188.25</w:t>
            </w:r>
          </w:p>
        </w:tc>
        <w:tc>
          <w:tcPr>
            <w:tcW w:w="1510" w:type="dxa"/>
            <w:tcBorders>
              <w:top w:val="nil"/>
              <w:left w:val="nil"/>
              <w:bottom w:val="single" w:sz="4" w:space="0" w:color="auto"/>
              <w:right w:val="single" w:sz="4" w:space="0" w:color="auto"/>
            </w:tcBorders>
            <w:shd w:val="clear" w:color="auto" w:fill="auto"/>
            <w:noWrap/>
            <w:vAlign w:val="center"/>
            <w:hideMark/>
          </w:tcPr>
          <w:p w14:paraId="32BFD0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£60,188.25</w:t>
            </w:r>
          </w:p>
        </w:tc>
        <w:tc>
          <w:tcPr>
            <w:tcW w:w="1510" w:type="dxa"/>
            <w:tcBorders>
              <w:top w:val="nil"/>
              <w:left w:val="nil"/>
              <w:bottom w:val="single" w:sz="4" w:space="0" w:color="auto"/>
              <w:right w:val="single" w:sz="4" w:space="0" w:color="auto"/>
            </w:tcBorders>
            <w:shd w:val="clear" w:color="auto" w:fill="auto"/>
            <w:noWrap/>
            <w:vAlign w:val="center"/>
            <w:hideMark/>
          </w:tcPr>
          <w:p w14:paraId="03BCD4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£60,188.25</w:t>
            </w:r>
          </w:p>
        </w:tc>
        <w:tc>
          <w:tcPr>
            <w:tcW w:w="1510" w:type="dxa"/>
            <w:tcBorders>
              <w:top w:val="nil"/>
              <w:left w:val="nil"/>
              <w:bottom w:val="single" w:sz="4" w:space="0" w:color="auto"/>
              <w:right w:val="single" w:sz="4" w:space="0" w:color="auto"/>
            </w:tcBorders>
            <w:shd w:val="clear" w:color="auto" w:fill="auto"/>
            <w:noWrap/>
            <w:vAlign w:val="center"/>
            <w:hideMark/>
          </w:tcPr>
          <w:p w14:paraId="7E3301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£60,188.25</w:t>
            </w:r>
          </w:p>
        </w:tc>
        <w:tc>
          <w:tcPr>
            <w:tcW w:w="1587" w:type="dxa"/>
            <w:tcBorders>
              <w:top w:val="nil"/>
              <w:left w:val="nil"/>
              <w:bottom w:val="single" w:sz="4" w:space="0" w:color="auto"/>
              <w:right w:val="single" w:sz="4" w:space="0" w:color="auto"/>
            </w:tcBorders>
            <w:shd w:val="clear" w:color="auto" w:fill="auto"/>
            <w:noWrap/>
            <w:vAlign w:val="center"/>
            <w:hideMark/>
          </w:tcPr>
          <w:p w14:paraId="05C8F6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£240,753.00</w:t>
            </w:r>
          </w:p>
        </w:tc>
      </w:tr>
      <w:tr w:rsidR="004433D7" w:rsidRPr="004433D7" w14:paraId="40BEC56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4E14D1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525679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£497,198.57</w:t>
            </w:r>
          </w:p>
        </w:tc>
        <w:tc>
          <w:tcPr>
            <w:tcW w:w="1510" w:type="dxa"/>
            <w:tcBorders>
              <w:top w:val="nil"/>
              <w:left w:val="nil"/>
              <w:bottom w:val="single" w:sz="4" w:space="0" w:color="auto"/>
              <w:right w:val="single" w:sz="4" w:space="0" w:color="auto"/>
            </w:tcBorders>
            <w:shd w:val="clear" w:color="auto" w:fill="auto"/>
            <w:noWrap/>
            <w:vAlign w:val="center"/>
            <w:hideMark/>
          </w:tcPr>
          <w:p w14:paraId="5A7041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£124,299.64</w:t>
            </w:r>
          </w:p>
        </w:tc>
        <w:tc>
          <w:tcPr>
            <w:tcW w:w="1510" w:type="dxa"/>
            <w:tcBorders>
              <w:top w:val="nil"/>
              <w:left w:val="nil"/>
              <w:bottom w:val="single" w:sz="4" w:space="0" w:color="auto"/>
              <w:right w:val="single" w:sz="4" w:space="0" w:color="auto"/>
            </w:tcBorders>
            <w:shd w:val="clear" w:color="auto" w:fill="auto"/>
            <w:noWrap/>
            <w:vAlign w:val="center"/>
            <w:hideMark/>
          </w:tcPr>
          <w:p w14:paraId="1F7F0C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£124,299.64</w:t>
            </w:r>
          </w:p>
        </w:tc>
        <w:tc>
          <w:tcPr>
            <w:tcW w:w="1510" w:type="dxa"/>
            <w:tcBorders>
              <w:top w:val="nil"/>
              <w:left w:val="nil"/>
              <w:bottom w:val="single" w:sz="4" w:space="0" w:color="auto"/>
              <w:right w:val="single" w:sz="4" w:space="0" w:color="auto"/>
            </w:tcBorders>
            <w:shd w:val="clear" w:color="auto" w:fill="auto"/>
            <w:noWrap/>
            <w:vAlign w:val="center"/>
            <w:hideMark/>
          </w:tcPr>
          <w:p w14:paraId="68213D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£124,299.64</w:t>
            </w:r>
          </w:p>
        </w:tc>
        <w:tc>
          <w:tcPr>
            <w:tcW w:w="1510" w:type="dxa"/>
            <w:tcBorders>
              <w:top w:val="nil"/>
              <w:left w:val="nil"/>
              <w:bottom w:val="single" w:sz="4" w:space="0" w:color="auto"/>
              <w:right w:val="single" w:sz="4" w:space="0" w:color="auto"/>
            </w:tcBorders>
            <w:shd w:val="clear" w:color="auto" w:fill="auto"/>
            <w:noWrap/>
            <w:vAlign w:val="center"/>
            <w:hideMark/>
          </w:tcPr>
          <w:p w14:paraId="5E3741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£124,299.64</w:t>
            </w:r>
          </w:p>
        </w:tc>
        <w:tc>
          <w:tcPr>
            <w:tcW w:w="1587" w:type="dxa"/>
            <w:tcBorders>
              <w:top w:val="nil"/>
              <w:left w:val="nil"/>
              <w:bottom w:val="single" w:sz="4" w:space="0" w:color="auto"/>
              <w:right w:val="single" w:sz="4" w:space="0" w:color="auto"/>
            </w:tcBorders>
            <w:shd w:val="clear" w:color="auto" w:fill="auto"/>
            <w:noWrap/>
            <w:vAlign w:val="center"/>
            <w:hideMark/>
          </w:tcPr>
          <w:p w14:paraId="08D3CF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£497,198.56</w:t>
            </w:r>
          </w:p>
        </w:tc>
      </w:tr>
      <w:tr w:rsidR="004433D7" w:rsidRPr="004433D7" w14:paraId="3247EEE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A745F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510" w:type="dxa"/>
            <w:tcBorders>
              <w:top w:val="nil"/>
              <w:left w:val="nil"/>
              <w:bottom w:val="single" w:sz="4" w:space="0" w:color="auto"/>
              <w:right w:val="single" w:sz="4" w:space="0" w:color="auto"/>
            </w:tcBorders>
            <w:shd w:val="clear" w:color="auto" w:fill="auto"/>
            <w:noWrap/>
            <w:vAlign w:val="center"/>
            <w:hideMark/>
          </w:tcPr>
          <w:p w14:paraId="393447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£734,663.84</w:t>
            </w:r>
          </w:p>
        </w:tc>
        <w:tc>
          <w:tcPr>
            <w:tcW w:w="1510" w:type="dxa"/>
            <w:tcBorders>
              <w:top w:val="nil"/>
              <w:left w:val="nil"/>
              <w:bottom w:val="single" w:sz="4" w:space="0" w:color="auto"/>
              <w:right w:val="single" w:sz="4" w:space="0" w:color="auto"/>
            </w:tcBorders>
            <w:shd w:val="clear" w:color="auto" w:fill="auto"/>
            <w:noWrap/>
            <w:vAlign w:val="center"/>
            <w:hideMark/>
          </w:tcPr>
          <w:p w14:paraId="25AB0F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£183,665.96</w:t>
            </w:r>
          </w:p>
        </w:tc>
        <w:tc>
          <w:tcPr>
            <w:tcW w:w="1510" w:type="dxa"/>
            <w:tcBorders>
              <w:top w:val="nil"/>
              <w:left w:val="nil"/>
              <w:bottom w:val="single" w:sz="4" w:space="0" w:color="auto"/>
              <w:right w:val="single" w:sz="4" w:space="0" w:color="auto"/>
            </w:tcBorders>
            <w:shd w:val="clear" w:color="auto" w:fill="auto"/>
            <w:noWrap/>
            <w:vAlign w:val="center"/>
            <w:hideMark/>
          </w:tcPr>
          <w:p w14:paraId="2E70ED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£183,665.96</w:t>
            </w:r>
          </w:p>
        </w:tc>
        <w:tc>
          <w:tcPr>
            <w:tcW w:w="1510" w:type="dxa"/>
            <w:tcBorders>
              <w:top w:val="nil"/>
              <w:left w:val="nil"/>
              <w:bottom w:val="single" w:sz="4" w:space="0" w:color="auto"/>
              <w:right w:val="single" w:sz="4" w:space="0" w:color="auto"/>
            </w:tcBorders>
            <w:shd w:val="clear" w:color="auto" w:fill="auto"/>
            <w:noWrap/>
            <w:vAlign w:val="center"/>
            <w:hideMark/>
          </w:tcPr>
          <w:p w14:paraId="3D538F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£183,665.96</w:t>
            </w:r>
          </w:p>
        </w:tc>
        <w:tc>
          <w:tcPr>
            <w:tcW w:w="1510" w:type="dxa"/>
            <w:tcBorders>
              <w:top w:val="nil"/>
              <w:left w:val="nil"/>
              <w:bottom w:val="single" w:sz="4" w:space="0" w:color="auto"/>
              <w:right w:val="single" w:sz="4" w:space="0" w:color="auto"/>
            </w:tcBorders>
            <w:shd w:val="clear" w:color="auto" w:fill="auto"/>
            <w:noWrap/>
            <w:vAlign w:val="center"/>
            <w:hideMark/>
          </w:tcPr>
          <w:p w14:paraId="49AA94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£183,665.96</w:t>
            </w:r>
          </w:p>
        </w:tc>
        <w:tc>
          <w:tcPr>
            <w:tcW w:w="1587" w:type="dxa"/>
            <w:tcBorders>
              <w:top w:val="nil"/>
              <w:left w:val="nil"/>
              <w:bottom w:val="single" w:sz="4" w:space="0" w:color="auto"/>
              <w:right w:val="single" w:sz="4" w:space="0" w:color="auto"/>
            </w:tcBorders>
            <w:shd w:val="clear" w:color="auto" w:fill="auto"/>
            <w:noWrap/>
            <w:vAlign w:val="center"/>
            <w:hideMark/>
          </w:tcPr>
          <w:p w14:paraId="300E5E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£734,663.84</w:t>
            </w:r>
          </w:p>
        </w:tc>
      </w:tr>
      <w:tr w:rsidR="004433D7" w:rsidRPr="004433D7" w14:paraId="51CCC14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CA506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1EB12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£778,723.15</w:t>
            </w:r>
          </w:p>
        </w:tc>
        <w:tc>
          <w:tcPr>
            <w:tcW w:w="1510" w:type="dxa"/>
            <w:tcBorders>
              <w:top w:val="nil"/>
              <w:left w:val="nil"/>
              <w:bottom w:val="single" w:sz="4" w:space="0" w:color="auto"/>
              <w:right w:val="single" w:sz="4" w:space="0" w:color="auto"/>
            </w:tcBorders>
            <w:shd w:val="clear" w:color="auto" w:fill="auto"/>
            <w:noWrap/>
            <w:vAlign w:val="center"/>
            <w:hideMark/>
          </w:tcPr>
          <w:p w14:paraId="22444C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£194,680.79</w:t>
            </w:r>
          </w:p>
        </w:tc>
        <w:tc>
          <w:tcPr>
            <w:tcW w:w="1510" w:type="dxa"/>
            <w:tcBorders>
              <w:top w:val="nil"/>
              <w:left w:val="nil"/>
              <w:bottom w:val="single" w:sz="4" w:space="0" w:color="auto"/>
              <w:right w:val="single" w:sz="4" w:space="0" w:color="auto"/>
            </w:tcBorders>
            <w:shd w:val="clear" w:color="auto" w:fill="auto"/>
            <w:noWrap/>
            <w:vAlign w:val="center"/>
            <w:hideMark/>
          </w:tcPr>
          <w:p w14:paraId="313992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£194,680.79</w:t>
            </w:r>
          </w:p>
        </w:tc>
        <w:tc>
          <w:tcPr>
            <w:tcW w:w="1510" w:type="dxa"/>
            <w:tcBorders>
              <w:top w:val="nil"/>
              <w:left w:val="nil"/>
              <w:bottom w:val="single" w:sz="4" w:space="0" w:color="auto"/>
              <w:right w:val="single" w:sz="4" w:space="0" w:color="auto"/>
            </w:tcBorders>
            <w:shd w:val="clear" w:color="auto" w:fill="auto"/>
            <w:noWrap/>
            <w:vAlign w:val="center"/>
            <w:hideMark/>
          </w:tcPr>
          <w:p w14:paraId="08B5BA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£194,680.79</w:t>
            </w:r>
          </w:p>
        </w:tc>
        <w:tc>
          <w:tcPr>
            <w:tcW w:w="1510" w:type="dxa"/>
            <w:tcBorders>
              <w:top w:val="nil"/>
              <w:left w:val="nil"/>
              <w:bottom w:val="single" w:sz="4" w:space="0" w:color="auto"/>
              <w:right w:val="single" w:sz="4" w:space="0" w:color="auto"/>
            </w:tcBorders>
            <w:shd w:val="clear" w:color="auto" w:fill="auto"/>
            <w:noWrap/>
            <w:vAlign w:val="center"/>
            <w:hideMark/>
          </w:tcPr>
          <w:p w14:paraId="3EBBBD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£194,680.79</w:t>
            </w:r>
          </w:p>
        </w:tc>
        <w:tc>
          <w:tcPr>
            <w:tcW w:w="1587" w:type="dxa"/>
            <w:tcBorders>
              <w:top w:val="nil"/>
              <w:left w:val="nil"/>
              <w:bottom w:val="single" w:sz="4" w:space="0" w:color="auto"/>
              <w:right w:val="single" w:sz="4" w:space="0" w:color="auto"/>
            </w:tcBorders>
            <w:shd w:val="clear" w:color="auto" w:fill="auto"/>
            <w:noWrap/>
            <w:vAlign w:val="center"/>
            <w:hideMark/>
          </w:tcPr>
          <w:p w14:paraId="435292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£778,723.16</w:t>
            </w:r>
          </w:p>
        </w:tc>
      </w:tr>
      <w:tr w:rsidR="004433D7" w:rsidRPr="004433D7" w14:paraId="6E68147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1E9D8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Orbit Energy Limited </w:t>
            </w:r>
          </w:p>
        </w:tc>
        <w:tc>
          <w:tcPr>
            <w:tcW w:w="1510" w:type="dxa"/>
            <w:tcBorders>
              <w:top w:val="nil"/>
              <w:left w:val="nil"/>
              <w:bottom w:val="single" w:sz="4" w:space="0" w:color="auto"/>
              <w:right w:val="single" w:sz="4" w:space="0" w:color="auto"/>
            </w:tcBorders>
            <w:shd w:val="clear" w:color="auto" w:fill="auto"/>
            <w:noWrap/>
            <w:vAlign w:val="center"/>
            <w:hideMark/>
          </w:tcPr>
          <w:p w14:paraId="2C8DFF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£5,725.23</w:t>
            </w:r>
          </w:p>
        </w:tc>
        <w:tc>
          <w:tcPr>
            <w:tcW w:w="1510" w:type="dxa"/>
            <w:tcBorders>
              <w:top w:val="nil"/>
              <w:left w:val="nil"/>
              <w:bottom w:val="single" w:sz="4" w:space="0" w:color="auto"/>
              <w:right w:val="single" w:sz="4" w:space="0" w:color="auto"/>
            </w:tcBorders>
            <w:shd w:val="clear" w:color="auto" w:fill="auto"/>
            <w:noWrap/>
            <w:vAlign w:val="center"/>
            <w:hideMark/>
          </w:tcPr>
          <w:p w14:paraId="5E8B4D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£1,431.31</w:t>
            </w:r>
          </w:p>
        </w:tc>
        <w:tc>
          <w:tcPr>
            <w:tcW w:w="1510" w:type="dxa"/>
            <w:tcBorders>
              <w:top w:val="nil"/>
              <w:left w:val="nil"/>
              <w:bottom w:val="single" w:sz="4" w:space="0" w:color="auto"/>
              <w:right w:val="single" w:sz="4" w:space="0" w:color="auto"/>
            </w:tcBorders>
            <w:shd w:val="clear" w:color="auto" w:fill="auto"/>
            <w:noWrap/>
            <w:vAlign w:val="center"/>
            <w:hideMark/>
          </w:tcPr>
          <w:p w14:paraId="212583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£1,431.31</w:t>
            </w:r>
          </w:p>
        </w:tc>
        <w:tc>
          <w:tcPr>
            <w:tcW w:w="1510" w:type="dxa"/>
            <w:tcBorders>
              <w:top w:val="nil"/>
              <w:left w:val="nil"/>
              <w:bottom w:val="single" w:sz="4" w:space="0" w:color="auto"/>
              <w:right w:val="single" w:sz="4" w:space="0" w:color="auto"/>
            </w:tcBorders>
            <w:shd w:val="clear" w:color="auto" w:fill="auto"/>
            <w:noWrap/>
            <w:vAlign w:val="center"/>
            <w:hideMark/>
          </w:tcPr>
          <w:p w14:paraId="373EDE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£1,431.31</w:t>
            </w:r>
          </w:p>
        </w:tc>
        <w:tc>
          <w:tcPr>
            <w:tcW w:w="1510" w:type="dxa"/>
            <w:tcBorders>
              <w:top w:val="nil"/>
              <w:left w:val="nil"/>
              <w:bottom w:val="single" w:sz="4" w:space="0" w:color="auto"/>
              <w:right w:val="single" w:sz="4" w:space="0" w:color="auto"/>
            </w:tcBorders>
            <w:shd w:val="clear" w:color="auto" w:fill="auto"/>
            <w:noWrap/>
            <w:vAlign w:val="center"/>
            <w:hideMark/>
          </w:tcPr>
          <w:p w14:paraId="01EA3B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£1,431.31</w:t>
            </w:r>
          </w:p>
        </w:tc>
        <w:tc>
          <w:tcPr>
            <w:tcW w:w="1587" w:type="dxa"/>
            <w:tcBorders>
              <w:top w:val="nil"/>
              <w:left w:val="nil"/>
              <w:bottom w:val="single" w:sz="4" w:space="0" w:color="auto"/>
              <w:right w:val="single" w:sz="4" w:space="0" w:color="auto"/>
            </w:tcBorders>
            <w:shd w:val="clear" w:color="auto" w:fill="auto"/>
            <w:noWrap/>
            <w:vAlign w:val="center"/>
            <w:hideMark/>
          </w:tcPr>
          <w:p w14:paraId="11E738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£5,725.24</w:t>
            </w:r>
          </w:p>
        </w:tc>
      </w:tr>
      <w:tr w:rsidR="004433D7" w:rsidRPr="004433D7" w14:paraId="7825AC7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9E58A3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Orsted</w:t>
            </w:r>
            <w:proofErr w:type="spellEnd"/>
            <w:r w:rsidRPr="004433D7">
              <w:rPr>
                <w:rFonts w:eastAsia="Times New Roman" w:cs="Times New Roman"/>
                <w:color w:val="000000"/>
                <w:sz w:val="16"/>
                <w:szCs w:val="16"/>
              </w:rPr>
              <w:t xml:space="preserve"> Power Sales (UK) Limited</w:t>
            </w:r>
          </w:p>
        </w:tc>
        <w:tc>
          <w:tcPr>
            <w:tcW w:w="1510" w:type="dxa"/>
            <w:tcBorders>
              <w:top w:val="nil"/>
              <w:left w:val="nil"/>
              <w:bottom w:val="single" w:sz="4" w:space="0" w:color="auto"/>
              <w:right w:val="single" w:sz="4" w:space="0" w:color="auto"/>
            </w:tcBorders>
            <w:shd w:val="clear" w:color="auto" w:fill="auto"/>
            <w:noWrap/>
            <w:vAlign w:val="center"/>
            <w:hideMark/>
          </w:tcPr>
          <w:p w14:paraId="65F560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£1,268,358.49</w:t>
            </w:r>
          </w:p>
        </w:tc>
        <w:tc>
          <w:tcPr>
            <w:tcW w:w="1510" w:type="dxa"/>
            <w:tcBorders>
              <w:top w:val="nil"/>
              <w:left w:val="nil"/>
              <w:bottom w:val="single" w:sz="4" w:space="0" w:color="auto"/>
              <w:right w:val="single" w:sz="4" w:space="0" w:color="auto"/>
            </w:tcBorders>
            <w:shd w:val="clear" w:color="auto" w:fill="auto"/>
            <w:noWrap/>
            <w:vAlign w:val="center"/>
            <w:hideMark/>
          </w:tcPr>
          <w:p w14:paraId="117602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£317,089.62</w:t>
            </w:r>
          </w:p>
        </w:tc>
        <w:tc>
          <w:tcPr>
            <w:tcW w:w="1510" w:type="dxa"/>
            <w:tcBorders>
              <w:top w:val="nil"/>
              <w:left w:val="nil"/>
              <w:bottom w:val="single" w:sz="4" w:space="0" w:color="auto"/>
              <w:right w:val="single" w:sz="4" w:space="0" w:color="auto"/>
            </w:tcBorders>
            <w:shd w:val="clear" w:color="auto" w:fill="auto"/>
            <w:noWrap/>
            <w:vAlign w:val="center"/>
            <w:hideMark/>
          </w:tcPr>
          <w:p w14:paraId="775CBF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£317,089.62</w:t>
            </w:r>
          </w:p>
        </w:tc>
        <w:tc>
          <w:tcPr>
            <w:tcW w:w="1510" w:type="dxa"/>
            <w:tcBorders>
              <w:top w:val="nil"/>
              <w:left w:val="nil"/>
              <w:bottom w:val="single" w:sz="4" w:space="0" w:color="auto"/>
              <w:right w:val="single" w:sz="4" w:space="0" w:color="auto"/>
            </w:tcBorders>
            <w:shd w:val="clear" w:color="auto" w:fill="auto"/>
            <w:noWrap/>
            <w:vAlign w:val="center"/>
            <w:hideMark/>
          </w:tcPr>
          <w:p w14:paraId="3C2309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£317,089.62</w:t>
            </w:r>
          </w:p>
        </w:tc>
        <w:tc>
          <w:tcPr>
            <w:tcW w:w="1510" w:type="dxa"/>
            <w:tcBorders>
              <w:top w:val="nil"/>
              <w:left w:val="nil"/>
              <w:bottom w:val="single" w:sz="4" w:space="0" w:color="auto"/>
              <w:right w:val="single" w:sz="4" w:space="0" w:color="auto"/>
            </w:tcBorders>
            <w:shd w:val="clear" w:color="auto" w:fill="auto"/>
            <w:noWrap/>
            <w:vAlign w:val="center"/>
            <w:hideMark/>
          </w:tcPr>
          <w:p w14:paraId="272392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£317,089.62</w:t>
            </w:r>
          </w:p>
        </w:tc>
        <w:tc>
          <w:tcPr>
            <w:tcW w:w="1587" w:type="dxa"/>
            <w:tcBorders>
              <w:top w:val="nil"/>
              <w:left w:val="nil"/>
              <w:bottom w:val="single" w:sz="4" w:space="0" w:color="auto"/>
              <w:right w:val="single" w:sz="4" w:space="0" w:color="auto"/>
            </w:tcBorders>
            <w:shd w:val="clear" w:color="auto" w:fill="auto"/>
            <w:noWrap/>
            <w:vAlign w:val="center"/>
            <w:hideMark/>
          </w:tcPr>
          <w:p w14:paraId="1ABA4C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£1,268,358.48</w:t>
            </w:r>
          </w:p>
        </w:tc>
      </w:tr>
      <w:tr w:rsidR="004433D7" w:rsidRPr="004433D7" w14:paraId="7FD5CBE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56039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510" w:type="dxa"/>
            <w:tcBorders>
              <w:top w:val="nil"/>
              <w:left w:val="nil"/>
              <w:bottom w:val="single" w:sz="4" w:space="0" w:color="auto"/>
              <w:right w:val="single" w:sz="4" w:space="0" w:color="auto"/>
            </w:tcBorders>
            <w:shd w:val="clear" w:color="auto" w:fill="auto"/>
            <w:noWrap/>
            <w:vAlign w:val="center"/>
            <w:hideMark/>
          </w:tcPr>
          <w:p w14:paraId="76D447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£1,380,778.08</w:t>
            </w:r>
          </w:p>
        </w:tc>
        <w:tc>
          <w:tcPr>
            <w:tcW w:w="1510" w:type="dxa"/>
            <w:tcBorders>
              <w:top w:val="nil"/>
              <w:left w:val="nil"/>
              <w:bottom w:val="single" w:sz="4" w:space="0" w:color="auto"/>
              <w:right w:val="single" w:sz="4" w:space="0" w:color="auto"/>
            </w:tcBorders>
            <w:shd w:val="clear" w:color="auto" w:fill="auto"/>
            <w:noWrap/>
            <w:vAlign w:val="center"/>
            <w:hideMark/>
          </w:tcPr>
          <w:p w14:paraId="48C2AB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£345,194.52</w:t>
            </w:r>
          </w:p>
        </w:tc>
        <w:tc>
          <w:tcPr>
            <w:tcW w:w="1510" w:type="dxa"/>
            <w:tcBorders>
              <w:top w:val="nil"/>
              <w:left w:val="nil"/>
              <w:bottom w:val="single" w:sz="4" w:space="0" w:color="auto"/>
              <w:right w:val="single" w:sz="4" w:space="0" w:color="auto"/>
            </w:tcBorders>
            <w:shd w:val="clear" w:color="auto" w:fill="auto"/>
            <w:noWrap/>
            <w:vAlign w:val="center"/>
            <w:hideMark/>
          </w:tcPr>
          <w:p w14:paraId="6F3F08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£345,194.52</w:t>
            </w:r>
          </w:p>
        </w:tc>
        <w:tc>
          <w:tcPr>
            <w:tcW w:w="1510" w:type="dxa"/>
            <w:tcBorders>
              <w:top w:val="nil"/>
              <w:left w:val="nil"/>
              <w:bottom w:val="single" w:sz="4" w:space="0" w:color="auto"/>
              <w:right w:val="single" w:sz="4" w:space="0" w:color="auto"/>
            </w:tcBorders>
            <w:shd w:val="clear" w:color="auto" w:fill="auto"/>
            <w:noWrap/>
            <w:vAlign w:val="center"/>
            <w:hideMark/>
          </w:tcPr>
          <w:p w14:paraId="602C1A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£345,194.52</w:t>
            </w:r>
          </w:p>
        </w:tc>
        <w:tc>
          <w:tcPr>
            <w:tcW w:w="1510" w:type="dxa"/>
            <w:tcBorders>
              <w:top w:val="nil"/>
              <w:left w:val="nil"/>
              <w:bottom w:val="single" w:sz="4" w:space="0" w:color="auto"/>
              <w:right w:val="single" w:sz="4" w:space="0" w:color="auto"/>
            </w:tcBorders>
            <w:shd w:val="clear" w:color="auto" w:fill="auto"/>
            <w:noWrap/>
            <w:vAlign w:val="center"/>
            <w:hideMark/>
          </w:tcPr>
          <w:p w14:paraId="170824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£345,194.52</w:t>
            </w:r>
          </w:p>
        </w:tc>
        <w:tc>
          <w:tcPr>
            <w:tcW w:w="1587" w:type="dxa"/>
            <w:tcBorders>
              <w:top w:val="nil"/>
              <w:left w:val="nil"/>
              <w:bottom w:val="single" w:sz="4" w:space="0" w:color="auto"/>
              <w:right w:val="single" w:sz="4" w:space="0" w:color="auto"/>
            </w:tcBorders>
            <w:shd w:val="clear" w:color="auto" w:fill="auto"/>
            <w:noWrap/>
            <w:vAlign w:val="center"/>
            <w:hideMark/>
          </w:tcPr>
          <w:p w14:paraId="2E7CAB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£1,380,778.08</w:t>
            </w:r>
          </w:p>
        </w:tc>
      </w:tr>
      <w:tr w:rsidR="004433D7" w:rsidRPr="004433D7" w14:paraId="285DD16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7FD218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People's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54FB4C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£30,997.60</w:t>
            </w:r>
          </w:p>
        </w:tc>
        <w:tc>
          <w:tcPr>
            <w:tcW w:w="1510" w:type="dxa"/>
            <w:tcBorders>
              <w:top w:val="nil"/>
              <w:left w:val="nil"/>
              <w:bottom w:val="single" w:sz="4" w:space="0" w:color="auto"/>
              <w:right w:val="single" w:sz="4" w:space="0" w:color="auto"/>
            </w:tcBorders>
            <w:shd w:val="clear" w:color="auto" w:fill="auto"/>
            <w:noWrap/>
            <w:vAlign w:val="center"/>
            <w:hideMark/>
          </w:tcPr>
          <w:p w14:paraId="47C4B0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£7,749.40</w:t>
            </w:r>
          </w:p>
        </w:tc>
        <w:tc>
          <w:tcPr>
            <w:tcW w:w="1510" w:type="dxa"/>
            <w:tcBorders>
              <w:top w:val="nil"/>
              <w:left w:val="nil"/>
              <w:bottom w:val="single" w:sz="4" w:space="0" w:color="auto"/>
              <w:right w:val="single" w:sz="4" w:space="0" w:color="auto"/>
            </w:tcBorders>
            <w:shd w:val="clear" w:color="auto" w:fill="auto"/>
            <w:noWrap/>
            <w:vAlign w:val="center"/>
            <w:hideMark/>
          </w:tcPr>
          <w:p w14:paraId="5FB968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£7,749.40</w:t>
            </w:r>
          </w:p>
        </w:tc>
        <w:tc>
          <w:tcPr>
            <w:tcW w:w="1510" w:type="dxa"/>
            <w:tcBorders>
              <w:top w:val="nil"/>
              <w:left w:val="nil"/>
              <w:bottom w:val="single" w:sz="4" w:space="0" w:color="auto"/>
              <w:right w:val="single" w:sz="4" w:space="0" w:color="auto"/>
            </w:tcBorders>
            <w:shd w:val="clear" w:color="auto" w:fill="auto"/>
            <w:noWrap/>
            <w:vAlign w:val="center"/>
            <w:hideMark/>
          </w:tcPr>
          <w:p w14:paraId="66F0D0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£7,749.40</w:t>
            </w:r>
          </w:p>
        </w:tc>
        <w:tc>
          <w:tcPr>
            <w:tcW w:w="1510" w:type="dxa"/>
            <w:tcBorders>
              <w:top w:val="nil"/>
              <w:left w:val="nil"/>
              <w:bottom w:val="single" w:sz="4" w:space="0" w:color="auto"/>
              <w:right w:val="single" w:sz="4" w:space="0" w:color="auto"/>
            </w:tcBorders>
            <w:shd w:val="clear" w:color="auto" w:fill="auto"/>
            <w:noWrap/>
            <w:vAlign w:val="center"/>
            <w:hideMark/>
          </w:tcPr>
          <w:p w14:paraId="3F6DF0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£7,749.40</w:t>
            </w:r>
          </w:p>
        </w:tc>
        <w:tc>
          <w:tcPr>
            <w:tcW w:w="1587" w:type="dxa"/>
            <w:tcBorders>
              <w:top w:val="nil"/>
              <w:left w:val="nil"/>
              <w:bottom w:val="single" w:sz="4" w:space="0" w:color="auto"/>
              <w:right w:val="single" w:sz="4" w:space="0" w:color="auto"/>
            </w:tcBorders>
            <w:shd w:val="clear" w:color="auto" w:fill="auto"/>
            <w:noWrap/>
            <w:vAlign w:val="center"/>
            <w:hideMark/>
          </w:tcPr>
          <w:p w14:paraId="77AFA5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£30,997.60</w:t>
            </w:r>
          </w:p>
        </w:tc>
      </w:tr>
      <w:tr w:rsidR="004433D7" w:rsidRPr="004433D7" w14:paraId="5989A9E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37391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510" w:type="dxa"/>
            <w:tcBorders>
              <w:top w:val="nil"/>
              <w:left w:val="nil"/>
              <w:bottom w:val="single" w:sz="4" w:space="0" w:color="auto"/>
              <w:right w:val="single" w:sz="4" w:space="0" w:color="auto"/>
            </w:tcBorders>
            <w:shd w:val="clear" w:color="auto" w:fill="auto"/>
            <w:noWrap/>
            <w:vAlign w:val="center"/>
            <w:hideMark/>
          </w:tcPr>
          <w:p w14:paraId="0B968E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£89,874.32</w:t>
            </w:r>
          </w:p>
        </w:tc>
        <w:tc>
          <w:tcPr>
            <w:tcW w:w="1510" w:type="dxa"/>
            <w:tcBorders>
              <w:top w:val="nil"/>
              <w:left w:val="nil"/>
              <w:bottom w:val="single" w:sz="4" w:space="0" w:color="auto"/>
              <w:right w:val="single" w:sz="4" w:space="0" w:color="auto"/>
            </w:tcBorders>
            <w:shd w:val="clear" w:color="auto" w:fill="auto"/>
            <w:noWrap/>
            <w:vAlign w:val="center"/>
            <w:hideMark/>
          </w:tcPr>
          <w:p w14:paraId="29EE98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£22,468.58</w:t>
            </w:r>
          </w:p>
        </w:tc>
        <w:tc>
          <w:tcPr>
            <w:tcW w:w="1510" w:type="dxa"/>
            <w:tcBorders>
              <w:top w:val="nil"/>
              <w:left w:val="nil"/>
              <w:bottom w:val="single" w:sz="4" w:space="0" w:color="auto"/>
              <w:right w:val="single" w:sz="4" w:space="0" w:color="auto"/>
            </w:tcBorders>
            <w:shd w:val="clear" w:color="auto" w:fill="auto"/>
            <w:noWrap/>
            <w:vAlign w:val="center"/>
            <w:hideMark/>
          </w:tcPr>
          <w:p w14:paraId="415EC2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£22,468.58</w:t>
            </w:r>
          </w:p>
        </w:tc>
        <w:tc>
          <w:tcPr>
            <w:tcW w:w="1510" w:type="dxa"/>
            <w:tcBorders>
              <w:top w:val="nil"/>
              <w:left w:val="nil"/>
              <w:bottom w:val="single" w:sz="4" w:space="0" w:color="auto"/>
              <w:right w:val="single" w:sz="4" w:space="0" w:color="auto"/>
            </w:tcBorders>
            <w:shd w:val="clear" w:color="auto" w:fill="auto"/>
            <w:noWrap/>
            <w:vAlign w:val="center"/>
            <w:hideMark/>
          </w:tcPr>
          <w:p w14:paraId="6B5C20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£22,468.58</w:t>
            </w:r>
          </w:p>
        </w:tc>
        <w:tc>
          <w:tcPr>
            <w:tcW w:w="1510" w:type="dxa"/>
            <w:tcBorders>
              <w:top w:val="nil"/>
              <w:left w:val="nil"/>
              <w:bottom w:val="single" w:sz="4" w:space="0" w:color="auto"/>
              <w:right w:val="single" w:sz="4" w:space="0" w:color="auto"/>
            </w:tcBorders>
            <w:shd w:val="clear" w:color="auto" w:fill="auto"/>
            <w:noWrap/>
            <w:vAlign w:val="center"/>
            <w:hideMark/>
          </w:tcPr>
          <w:p w14:paraId="485B96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£22,468.58</w:t>
            </w:r>
          </w:p>
        </w:tc>
        <w:tc>
          <w:tcPr>
            <w:tcW w:w="1587" w:type="dxa"/>
            <w:tcBorders>
              <w:top w:val="nil"/>
              <w:left w:val="nil"/>
              <w:bottom w:val="single" w:sz="4" w:space="0" w:color="auto"/>
              <w:right w:val="single" w:sz="4" w:space="0" w:color="auto"/>
            </w:tcBorders>
            <w:shd w:val="clear" w:color="auto" w:fill="auto"/>
            <w:noWrap/>
            <w:vAlign w:val="center"/>
            <w:hideMark/>
          </w:tcPr>
          <w:p w14:paraId="7CAB7A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£89,874.32</w:t>
            </w:r>
          </w:p>
        </w:tc>
      </w:tr>
      <w:tr w:rsidR="004433D7" w:rsidRPr="004433D7" w14:paraId="50BB049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47B06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Planet 9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06471C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£1,306.09</w:t>
            </w:r>
          </w:p>
        </w:tc>
        <w:tc>
          <w:tcPr>
            <w:tcW w:w="1510" w:type="dxa"/>
            <w:tcBorders>
              <w:top w:val="nil"/>
              <w:left w:val="nil"/>
              <w:bottom w:val="single" w:sz="4" w:space="0" w:color="auto"/>
              <w:right w:val="single" w:sz="4" w:space="0" w:color="auto"/>
            </w:tcBorders>
            <w:shd w:val="clear" w:color="auto" w:fill="auto"/>
            <w:noWrap/>
            <w:vAlign w:val="center"/>
            <w:hideMark/>
          </w:tcPr>
          <w:p w14:paraId="71253B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£326.52</w:t>
            </w:r>
          </w:p>
        </w:tc>
        <w:tc>
          <w:tcPr>
            <w:tcW w:w="1510" w:type="dxa"/>
            <w:tcBorders>
              <w:top w:val="nil"/>
              <w:left w:val="nil"/>
              <w:bottom w:val="single" w:sz="4" w:space="0" w:color="auto"/>
              <w:right w:val="single" w:sz="4" w:space="0" w:color="auto"/>
            </w:tcBorders>
            <w:shd w:val="clear" w:color="auto" w:fill="auto"/>
            <w:noWrap/>
            <w:vAlign w:val="center"/>
            <w:hideMark/>
          </w:tcPr>
          <w:p w14:paraId="3C78A3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£326.52</w:t>
            </w:r>
          </w:p>
        </w:tc>
        <w:tc>
          <w:tcPr>
            <w:tcW w:w="1510" w:type="dxa"/>
            <w:tcBorders>
              <w:top w:val="nil"/>
              <w:left w:val="nil"/>
              <w:bottom w:val="single" w:sz="4" w:space="0" w:color="auto"/>
              <w:right w:val="single" w:sz="4" w:space="0" w:color="auto"/>
            </w:tcBorders>
            <w:shd w:val="clear" w:color="auto" w:fill="auto"/>
            <w:noWrap/>
            <w:vAlign w:val="center"/>
            <w:hideMark/>
          </w:tcPr>
          <w:p w14:paraId="7B1F8C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£979.56</w:t>
            </w:r>
          </w:p>
        </w:tc>
        <w:tc>
          <w:tcPr>
            <w:tcW w:w="1510" w:type="dxa"/>
            <w:tcBorders>
              <w:top w:val="nil"/>
              <w:left w:val="nil"/>
              <w:bottom w:val="single" w:sz="4" w:space="0" w:color="auto"/>
              <w:right w:val="single" w:sz="4" w:space="0" w:color="auto"/>
            </w:tcBorders>
            <w:shd w:val="clear" w:color="auto" w:fill="auto"/>
            <w:noWrap/>
            <w:vAlign w:val="center"/>
            <w:hideMark/>
          </w:tcPr>
          <w:p w14:paraId="046313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6802DB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£1,632.60</w:t>
            </w:r>
          </w:p>
        </w:tc>
      </w:tr>
      <w:tr w:rsidR="004433D7" w:rsidRPr="004433D7" w14:paraId="0490163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ABB5E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Power4All Limited</w:t>
            </w:r>
          </w:p>
        </w:tc>
        <w:tc>
          <w:tcPr>
            <w:tcW w:w="1510" w:type="dxa"/>
            <w:tcBorders>
              <w:top w:val="nil"/>
              <w:left w:val="nil"/>
              <w:bottom w:val="single" w:sz="4" w:space="0" w:color="auto"/>
              <w:right w:val="single" w:sz="4" w:space="0" w:color="auto"/>
            </w:tcBorders>
            <w:shd w:val="clear" w:color="auto" w:fill="auto"/>
            <w:noWrap/>
            <w:vAlign w:val="center"/>
            <w:hideMark/>
          </w:tcPr>
          <w:p w14:paraId="236E16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£368,879.90</w:t>
            </w:r>
          </w:p>
        </w:tc>
        <w:tc>
          <w:tcPr>
            <w:tcW w:w="1510" w:type="dxa"/>
            <w:tcBorders>
              <w:top w:val="nil"/>
              <w:left w:val="nil"/>
              <w:bottom w:val="single" w:sz="4" w:space="0" w:color="auto"/>
              <w:right w:val="single" w:sz="4" w:space="0" w:color="auto"/>
            </w:tcBorders>
            <w:shd w:val="clear" w:color="auto" w:fill="auto"/>
            <w:noWrap/>
            <w:vAlign w:val="center"/>
            <w:hideMark/>
          </w:tcPr>
          <w:p w14:paraId="515CD78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£92,219.97</w:t>
            </w:r>
          </w:p>
        </w:tc>
        <w:tc>
          <w:tcPr>
            <w:tcW w:w="1510" w:type="dxa"/>
            <w:tcBorders>
              <w:top w:val="nil"/>
              <w:left w:val="nil"/>
              <w:bottom w:val="single" w:sz="4" w:space="0" w:color="auto"/>
              <w:right w:val="single" w:sz="4" w:space="0" w:color="auto"/>
            </w:tcBorders>
            <w:shd w:val="clear" w:color="auto" w:fill="auto"/>
            <w:noWrap/>
            <w:vAlign w:val="center"/>
            <w:hideMark/>
          </w:tcPr>
          <w:p w14:paraId="71C47B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£92,219.97</w:t>
            </w:r>
          </w:p>
        </w:tc>
        <w:tc>
          <w:tcPr>
            <w:tcW w:w="1510" w:type="dxa"/>
            <w:tcBorders>
              <w:top w:val="nil"/>
              <w:left w:val="nil"/>
              <w:bottom w:val="single" w:sz="4" w:space="0" w:color="auto"/>
              <w:right w:val="single" w:sz="4" w:space="0" w:color="auto"/>
            </w:tcBorders>
            <w:shd w:val="clear" w:color="auto" w:fill="auto"/>
            <w:noWrap/>
            <w:vAlign w:val="center"/>
            <w:hideMark/>
          </w:tcPr>
          <w:p w14:paraId="19BE1A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£92,219.97</w:t>
            </w:r>
          </w:p>
        </w:tc>
        <w:tc>
          <w:tcPr>
            <w:tcW w:w="1510" w:type="dxa"/>
            <w:tcBorders>
              <w:top w:val="nil"/>
              <w:left w:val="nil"/>
              <w:bottom w:val="single" w:sz="4" w:space="0" w:color="auto"/>
              <w:right w:val="single" w:sz="4" w:space="0" w:color="auto"/>
            </w:tcBorders>
            <w:shd w:val="clear" w:color="auto" w:fill="auto"/>
            <w:noWrap/>
            <w:vAlign w:val="center"/>
            <w:hideMark/>
          </w:tcPr>
          <w:p w14:paraId="2D048C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£92,219.97</w:t>
            </w:r>
          </w:p>
        </w:tc>
        <w:tc>
          <w:tcPr>
            <w:tcW w:w="1587" w:type="dxa"/>
            <w:tcBorders>
              <w:top w:val="nil"/>
              <w:left w:val="nil"/>
              <w:bottom w:val="single" w:sz="4" w:space="0" w:color="auto"/>
              <w:right w:val="single" w:sz="4" w:space="0" w:color="auto"/>
            </w:tcBorders>
            <w:shd w:val="clear" w:color="auto" w:fill="auto"/>
            <w:noWrap/>
            <w:vAlign w:val="center"/>
            <w:hideMark/>
          </w:tcPr>
          <w:p w14:paraId="2299E2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£368,879.88</w:t>
            </w:r>
          </w:p>
        </w:tc>
      </w:tr>
      <w:tr w:rsidR="004433D7" w:rsidRPr="004433D7" w14:paraId="0A7C5605"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6AFF7D2"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Pozitive</w:t>
            </w:r>
            <w:proofErr w:type="spellEnd"/>
            <w:r w:rsidRPr="004433D7">
              <w:rPr>
                <w:rFonts w:eastAsia="Times New Roman" w:cs="Times New Roman"/>
                <w:color w:val="000000"/>
                <w:sz w:val="16"/>
                <w:szCs w:val="16"/>
              </w:rPr>
              <w:t xml:space="preserve"> Energy Ltd</w:t>
            </w:r>
          </w:p>
        </w:tc>
        <w:tc>
          <w:tcPr>
            <w:tcW w:w="1510" w:type="dxa"/>
            <w:tcBorders>
              <w:top w:val="nil"/>
              <w:left w:val="nil"/>
              <w:bottom w:val="single" w:sz="4" w:space="0" w:color="auto"/>
              <w:right w:val="single" w:sz="4" w:space="0" w:color="auto"/>
            </w:tcBorders>
            <w:shd w:val="clear" w:color="auto" w:fill="auto"/>
            <w:noWrap/>
            <w:vAlign w:val="center"/>
            <w:hideMark/>
          </w:tcPr>
          <w:p w14:paraId="47C2F8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£246,368.75</w:t>
            </w:r>
          </w:p>
        </w:tc>
        <w:tc>
          <w:tcPr>
            <w:tcW w:w="1510" w:type="dxa"/>
            <w:tcBorders>
              <w:top w:val="nil"/>
              <w:left w:val="nil"/>
              <w:bottom w:val="single" w:sz="4" w:space="0" w:color="auto"/>
              <w:right w:val="single" w:sz="4" w:space="0" w:color="auto"/>
            </w:tcBorders>
            <w:shd w:val="clear" w:color="auto" w:fill="auto"/>
            <w:noWrap/>
            <w:vAlign w:val="center"/>
            <w:hideMark/>
          </w:tcPr>
          <w:p w14:paraId="1DC7E0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£61,592.19</w:t>
            </w:r>
          </w:p>
        </w:tc>
        <w:tc>
          <w:tcPr>
            <w:tcW w:w="1510" w:type="dxa"/>
            <w:tcBorders>
              <w:top w:val="nil"/>
              <w:left w:val="nil"/>
              <w:bottom w:val="single" w:sz="4" w:space="0" w:color="auto"/>
              <w:right w:val="single" w:sz="4" w:space="0" w:color="auto"/>
            </w:tcBorders>
            <w:shd w:val="clear" w:color="auto" w:fill="auto"/>
            <w:noWrap/>
            <w:vAlign w:val="center"/>
            <w:hideMark/>
          </w:tcPr>
          <w:p w14:paraId="17ECE2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£61,592.19</w:t>
            </w:r>
          </w:p>
        </w:tc>
        <w:tc>
          <w:tcPr>
            <w:tcW w:w="1510" w:type="dxa"/>
            <w:tcBorders>
              <w:top w:val="nil"/>
              <w:left w:val="nil"/>
              <w:bottom w:val="single" w:sz="4" w:space="0" w:color="auto"/>
              <w:right w:val="single" w:sz="4" w:space="0" w:color="auto"/>
            </w:tcBorders>
            <w:shd w:val="clear" w:color="auto" w:fill="auto"/>
            <w:noWrap/>
            <w:vAlign w:val="center"/>
            <w:hideMark/>
          </w:tcPr>
          <w:p w14:paraId="75C36D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£61,592.19</w:t>
            </w:r>
          </w:p>
        </w:tc>
        <w:tc>
          <w:tcPr>
            <w:tcW w:w="1510" w:type="dxa"/>
            <w:tcBorders>
              <w:top w:val="nil"/>
              <w:left w:val="nil"/>
              <w:bottom w:val="single" w:sz="4" w:space="0" w:color="auto"/>
              <w:right w:val="single" w:sz="4" w:space="0" w:color="auto"/>
            </w:tcBorders>
            <w:shd w:val="clear" w:color="auto" w:fill="auto"/>
            <w:noWrap/>
            <w:vAlign w:val="center"/>
            <w:hideMark/>
          </w:tcPr>
          <w:p w14:paraId="6553CA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£61,592.19</w:t>
            </w:r>
          </w:p>
        </w:tc>
        <w:tc>
          <w:tcPr>
            <w:tcW w:w="1587" w:type="dxa"/>
            <w:tcBorders>
              <w:top w:val="nil"/>
              <w:left w:val="nil"/>
              <w:bottom w:val="single" w:sz="4" w:space="0" w:color="auto"/>
              <w:right w:val="single" w:sz="4" w:space="0" w:color="auto"/>
            </w:tcBorders>
            <w:shd w:val="clear" w:color="auto" w:fill="auto"/>
            <w:noWrap/>
            <w:vAlign w:val="center"/>
            <w:hideMark/>
          </w:tcPr>
          <w:p w14:paraId="5A8DBC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£246,368.76</w:t>
            </w:r>
          </w:p>
        </w:tc>
      </w:tr>
      <w:tr w:rsidR="004433D7" w:rsidRPr="004433D7" w14:paraId="300B314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FCC5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510" w:type="dxa"/>
            <w:tcBorders>
              <w:top w:val="nil"/>
              <w:left w:val="nil"/>
              <w:bottom w:val="single" w:sz="4" w:space="0" w:color="auto"/>
              <w:right w:val="single" w:sz="4" w:space="0" w:color="auto"/>
            </w:tcBorders>
            <w:shd w:val="clear" w:color="auto" w:fill="auto"/>
            <w:noWrap/>
            <w:vAlign w:val="center"/>
            <w:hideMark/>
          </w:tcPr>
          <w:p w14:paraId="222139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£99,111.72</w:t>
            </w:r>
          </w:p>
        </w:tc>
        <w:tc>
          <w:tcPr>
            <w:tcW w:w="1510" w:type="dxa"/>
            <w:tcBorders>
              <w:top w:val="nil"/>
              <w:left w:val="nil"/>
              <w:bottom w:val="single" w:sz="4" w:space="0" w:color="auto"/>
              <w:right w:val="single" w:sz="4" w:space="0" w:color="auto"/>
            </w:tcBorders>
            <w:shd w:val="clear" w:color="auto" w:fill="auto"/>
            <w:noWrap/>
            <w:vAlign w:val="center"/>
            <w:hideMark/>
          </w:tcPr>
          <w:p w14:paraId="6FB252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£24,777.93</w:t>
            </w:r>
          </w:p>
        </w:tc>
        <w:tc>
          <w:tcPr>
            <w:tcW w:w="1510" w:type="dxa"/>
            <w:tcBorders>
              <w:top w:val="nil"/>
              <w:left w:val="nil"/>
              <w:bottom w:val="single" w:sz="4" w:space="0" w:color="auto"/>
              <w:right w:val="single" w:sz="4" w:space="0" w:color="auto"/>
            </w:tcBorders>
            <w:shd w:val="clear" w:color="auto" w:fill="auto"/>
            <w:noWrap/>
            <w:vAlign w:val="center"/>
            <w:hideMark/>
          </w:tcPr>
          <w:p w14:paraId="2722FF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£24,777.93</w:t>
            </w:r>
          </w:p>
        </w:tc>
        <w:tc>
          <w:tcPr>
            <w:tcW w:w="1510" w:type="dxa"/>
            <w:tcBorders>
              <w:top w:val="nil"/>
              <w:left w:val="nil"/>
              <w:bottom w:val="single" w:sz="4" w:space="0" w:color="auto"/>
              <w:right w:val="single" w:sz="4" w:space="0" w:color="auto"/>
            </w:tcBorders>
            <w:shd w:val="clear" w:color="auto" w:fill="auto"/>
            <w:noWrap/>
            <w:vAlign w:val="center"/>
            <w:hideMark/>
          </w:tcPr>
          <w:p w14:paraId="04B453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£24,777.93</w:t>
            </w:r>
          </w:p>
        </w:tc>
        <w:tc>
          <w:tcPr>
            <w:tcW w:w="1510" w:type="dxa"/>
            <w:tcBorders>
              <w:top w:val="nil"/>
              <w:left w:val="nil"/>
              <w:bottom w:val="single" w:sz="4" w:space="0" w:color="auto"/>
              <w:right w:val="single" w:sz="4" w:space="0" w:color="auto"/>
            </w:tcBorders>
            <w:shd w:val="clear" w:color="auto" w:fill="auto"/>
            <w:noWrap/>
            <w:vAlign w:val="center"/>
            <w:hideMark/>
          </w:tcPr>
          <w:p w14:paraId="14EE2A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£24,777.93</w:t>
            </w:r>
          </w:p>
        </w:tc>
        <w:tc>
          <w:tcPr>
            <w:tcW w:w="1587" w:type="dxa"/>
            <w:tcBorders>
              <w:top w:val="nil"/>
              <w:left w:val="nil"/>
              <w:bottom w:val="single" w:sz="4" w:space="0" w:color="auto"/>
              <w:right w:val="single" w:sz="4" w:space="0" w:color="auto"/>
            </w:tcBorders>
            <w:shd w:val="clear" w:color="auto" w:fill="auto"/>
            <w:noWrap/>
            <w:vAlign w:val="center"/>
            <w:hideMark/>
          </w:tcPr>
          <w:p w14:paraId="0FEA71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£99,111.72</w:t>
            </w:r>
          </w:p>
        </w:tc>
      </w:tr>
      <w:tr w:rsidR="004433D7" w:rsidRPr="004433D7" w14:paraId="1752A33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86D873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PX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5CE94B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£3,909.74</w:t>
            </w:r>
          </w:p>
        </w:tc>
        <w:tc>
          <w:tcPr>
            <w:tcW w:w="1510" w:type="dxa"/>
            <w:tcBorders>
              <w:top w:val="nil"/>
              <w:left w:val="nil"/>
              <w:bottom w:val="single" w:sz="4" w:space="0" w:color="auto"/>
              <w:right w:val="single" w:sz="4" w:space="0" w:color="auto"/>
            </w:tcBorders>
            <w:shd w:val="clear" w:color="auto" w:fill="auto"/>
            <w:noWrap/>
            <w:vAlign w:val="center"/>
            <w:hideMark/>
          </w:tcPr>
          <w:p w14:paraId="7D0DFD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£977.44</w:t>
            </w:r>
          </w:p>
        </w:tc>
        <w:tc>
          <w:tcPr>
            <w:tcW w:w="1510" w:type="dxa"/>
            <w:tcBorders>
              <w:top w:val="nil"/>
              <w:left w:val="nil"/>
              <w:bottom w:val="single" w:sz="4" w:space="0" w:color="auto"/>
              <w:right w:val="single" w:sz="4" w:space="0" w:color="auto"/>
            </w:tcBorders>
            <w:shd w:val="clear" w:color="auto" w:fill="auto"/>
            <w:noWrap/>
            <w:vAlign w:val="center"/>
            <w:hideMark/>
          </w:tcPr>
          <w:p w14:paraId="1CB82F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£977.44</w:t>
            </w:r>
          </w:p>
        </w:tc>
        <w:tc>
          <w:tcPr>
            <w:tcW w:w="1510" w:type="dxa"/>
            <w:tcBorders>
              <w:top w:val="nil"/>
              <w:left w:val="nil"/>
              <w:bottom w:val="single" w:sz="4" w:space="0" w:color="auto"/>
              <w:right w:val="single" w:sz="4" w:space="0" w:color="auto"/>
            </w:tcBorders>
            <w:shd w:val="clear" w:color="auto" w:fill="auto"/>
            <w:noWrap/>
            <w:vAlign w:val="center"/>
            <w:hideMark/>
          </w:tcPr>
          <w:p w14:paraId="611458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£977.44</w:t>
            </w:r>
          </w:p>
        </w:tc>
        <w:tc>
          <w:tcPr>
            <w:tcW w:w="1510" w:type="dxa"/>
            <w:tcBorders>
              <w:top w:val="nil"/>
              <w:left w:val="nil"/>
              <w:bottom w:val="single" w:sz="4" w:space="0" w:color="auto"/>
              <w:right w:val="single" w:sz="4" w:space="0" w:color="auto"/>
            </w:tcBorders>
            <w:shd w:val="clear" w:color="auto" w:fill="auto"/>
            <w:noWrap/>
            <w:vAlign w:val="center"/>
            <w:hideMark/>
          </w:tcPr>
          <w:p w14:paraId="649868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£977.44</w:t>
            </w:r>
          </w:p>
        </w:tc>
        <w:tc>
          <w:tcPr>
            <w:tcW w:w="1587" w:type="dxa"/>
            <w:tcBorders>
              <w:top w:val="nil"/>
              <w:left w:val="nil"/>
              <w:bottom w:val="single" w:sz="4" w:space="0" w:color="auto"/>
              <w:right w:val="single" w:sz="4" w:space="0" w:color="auto"/>
            </w:tcBorders>
            <w:shd w:val="clear" w:color="auto" w:fill="auto"/>
            <w:noWrap/>
            <w:vAlign w:val="center"/>
            <w:hideMark/>
          </w:tcPr>
          <w:p w14:paraId="46005F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£3,909.76</w:t>
            </w:r>
          </w:p>
        </w:tc>
      </w:tr>
      <w:tr w:rsidR="004433D7" w:rsidRPr="004433D7" w14:paraId="0CA1DEC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4D539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Robin Hood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298BDD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£149,456.90</w:t>
            </w:r>
          </w:p>
        </w:tc>
        <w:tc>
          <w:tcPr>
            <w:tcW w:w="1510" w:type="dxa"/>
            <w:tcBorders>
              <w:top w:val="nil"/>
              <w:left w:val="nil"/>
              <w:bottom w:val="single" w:sz="4" w:space="0" w:color="auto"/>
              <w:right w:val="single" w:sz="4" w:space="0" w:color="auto"/>
            </w:tcBorders>
            <w:shd w:val="clear" w:color="auto" w:fill="auto"/>
            <w:noWrap/>
            <w:vAlign w:val="center"/>
            <w:hideMark/>
          </w:tcPr>
          <w:p w14:paraId="75CCED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£37,364.22</w:t>
            </w:r>
          </w:p>
        </w:tc>
        <w:tc>
          <w:tcPr>
            <w:tcW w:w="1510" w:type="dxa"/>
            <w:tcBorders>
              <w:top w:val="nil"/>
              <w:left w:val="nil"/>
              <w:bottom w:val="single" w:sz="4" w:space="0" w:color="auto"/>
              <w:right w:val="single" w:sz="4" w:space="0" w:color="auto"/>
            </w:tcBorders>
            <w:shd w:val="clear" w:color="auto" w:fill="auto"/>
            <w:noWrap/>
            <w:vAlign w:val="center"/>
            <w:hideMark/>
          </w:tcPr>
          <w:p w14:paraId="51B717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806D2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38BCA7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387F74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£37,364.22</w:t>
            </w:r>
          </w:p>
        </w:tc>
      </w:tr>
      <w:tr w:rsidR="004433D7" w:rsidRPr="004433D7" w14:paraId="3B761AA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8EC2AB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510" w:type="dxa"/>
            <w:tcBorders>
              <w:top w:val="nil"/>
              <w:left w:val="nil"/>
              <w:bottom w:val="single" w:sz="4" w:space="0" w:color="auto"/>
              <w:right w:val="single" w:sz="4" w:space="0" w:color="auto"/>
            </w:tcBorders>
            <w:shd w:val="clear" w:color="auto" w:fill="auto"/>
            <w:noWrap/>
            <w:vAlign w:val="center"/>
            <w:hideMark/>
          </w:tcPr>
          <w:p w14:paraId="572FB8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£5,679,126.86</w:t>
            </w:r>
          </w:p>
        </w:tc>
        <w:tc>
          <w:tcPr>
            <w:tcW w:w="1510" w:type="dxa"/>
            <w:tcBorders>
              <w:top w:val="nil"/>
              <w:left w:val="nil"/>
              <w:bottom w:val="single" w:sz="4" w:space="0" w:color="auto"/>
              <w:right w:val="single" w:sz="4" w:space="0" w:color="auto"/>
            </w:tcBorders>
            <w:shd w:val="clear" w:color="auto" w:fill="auto"/>
            <w:noWrap/>
            <w:vAlign w:val="center"/>
            <w:hideMark/>
          </w:tcPr>
          <w:p w14:paraId="5CB491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£1,419,781.71</w:t>
            </w:r>
          </w:p>
        </w:tc>
        <w:tc>
          <w:tcPr>
            <w:tcW w:w="1510" w:type="dxa"/>
            <w:tcBorders>
              <w:top w:val="nil"/>
              <w:left w:val="nil"/>
              <w:bottom w:val="single" w:sz="4" w:space="0" w:color="auto"/>
              <w:right w:val="single" w:sz="4" w:space="0" w:color="auto"/>
            </w:tcBorders>
            <w:shd w:val="clear" w:color="auto" w:fill="auto"/>
            <w:noWrap/>
            <w:vAlign w:val="center"/>
            <w:hideMark/>
          </w:tcPr>
          <w:p w14:paraId="162E9B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£1,419,781.71</w:t>
            </w:r>
          </w:p>
        </w:tc>
        <w:tc>
          <w:tcPr>
            <w:tcW w:w="1510" w:type="dxa"/>
            <w:tcBorders>
              <w:top w:val="nil"/>
              <w:left w:val="nil"/>
              <w:bottom w:val="single" w:sz="4" w:space="0" w:color="auto"/>
              <w:right w:val="single" w:sz="4" w:space="0" w:color="auto"/>
            </w:tcBorders>
            <w:shd w:val="clear" w:color="auto" w:fill="auto"/>
            <w:noWrap/>
            <w:vAlign w:val="center"/>
            <w:hideMark/>
          </w:tcPr>
          <w:p w14:paraId="151486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£1,419,781.71</w:t>
            </w:r>
          </w:p>
        </w:tc>
        <w:tc>
          <w:tcPr>
            <w:tcW w:w="1510" w:type="dxa"/>
            <w:tcBorders>
              <w:top w:val="nil"/>
              <w:left w:val="nil"/>
              <w:bottom w:val="single" w:sz="4" w:space="0" w:color="auto"/>
              <w:right w:val="single" w:sz="4" w:space="0" w:color="auto"/>
            </w:tcBorders>
            <w:shd w:val="clear" w:color="auto" w:fill="auto"/>
            <w:noWrap/>
            <w:vAlign w:val="center"/>
            <w:hideMark/>
          </w:tcPr>
          <w:p w14:paraId="4F737D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£1,419,781.71</w:t>
            </w:r>
          </w:p>
        </w:tc>
        <w:tc>
          <w:tcPr>
            <w:tcW w:w="1587" w:type="dxa"/>
            <w:tcBorders>
              <w:top w:val="nil"/>
              <w:left w:val="nil"/>
              <w:bottom w:val="single" w:sz="4" w:space="0" w:color="auto"/>
              <w:right w:val="single" w:sz="4" w:space="0" w:color="auto"/>
            </w:tcBorders>
            <w:shd w:val="clear" w:color="auto" w:fill="auto"/>
            <w:noWrap/>
            <w:vAlign w:val="center"/>
            <w:hideMark/>
          </w:tcPr>
          <w:p w14:paraId="1CA9DC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£5,679,126.84</w:t>
            </w:r>
          </w:p>
        </w:tc>
      </w:tr>
      <w:tr w:rsidR="004433D7" w:rsidRPr="004433D7" w14:paraId="5BCB650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CE8F22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Retail Limited</w:t>
            </w:r>
          </w:p>
        </w:tc>
        <w:tc>
          <w:tcPr>
            <w:tcW w:w="1510" w:type="dxa"/>
            <w:tcBorders>
              <w:top w:val="nil"/>
              <w:left w:val="nil"/>
              <w:bottom w:val="single" w:sz="4" w:space="0" w:color="auto"/>
              <w:right w:val="single" w:sz="4" w:space="0" w:color="auto"/>
            </w:tcBorders>
            <w:shd w:val="clear" w:color="auto" w:fill="auto"/>
            <w:noWrap/>
            <w:vAlign w:val="center"/>
            <w:hideMark/>
          </w:tcPr>
          <w:p w14:paraId="4F9E7D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£852,115.22</w:t>
            </w:r>
          </w:p>
        </w:tc>
        <w:tc>
          <w:tcPr>
            <w:tcW w:w="1510" w:type="dxa"/>
            <w:tcBorders>
              <w:top w:val="nil"/>
              <w:left w:val="nil"/>
              <w:bottom w:val="single" w:sz="4" w:space="0" w:color="auto"/>
              <w:right w:val="single" w:sz="4" w:space="0" w:color="auto"/>
            </w:tcBorders>
            <w:shd w:val="clear" w:color="auto" w:fill="auto"/>
            <w:noWrap/>
            <w:vAlign w:val="center"/>
            <w:hideMark/>
          </w:tcPr>
          <w:p w14:paraId="0E365F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£213,028.81</w:t>
            </w:r>
          </w:p>
        </w:tc>
        <w:tc>
          <w:tcPr>
            <w:tcW w:w="1510" w:type="dxa"/>
            <w:tcBorders>
              <w:top w:val="nil"/>
              <w:left w:val="nil"/>
              <w:bottom w:val="single" w:sz="4" w:space="0" w:color="auto"/>
              <w:right w:val="single" w:sz="4" w:space="0" w:color="auto"/>
            </w:tcBorders>
            <w:shd w:val="clear" w:color="auto" w:fill="auto"/>
            <w:noWrap/>
            <w:vAlign w:val="center"/>
            <w:hideMark/>
          </w:tcPr>
          <w:p w14:paraId="56FC83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£213,028.81</w:t>
            </w:r>
          </w:p>
        </w:tc>
        <w:tc>
          <w:tcPr>
            <w:tcW w:w="1510" w:type="dxa"/>
            <w:tcBorders>
              <w:top w:val="nil"/>
              <w:left w:val="nil"/>
              <w:bottom w:val="single" w:sz="4" w:space="0" w:color="auto"/>
              <w:right w:val="single" w:sz="4" w:space="0" w:color="auto"/>
            </w:tcBorders>
            <w:shd w:val="clear" w:color="auto" w:fill="auto"/>
            <w:noWrap/>
            <w:vAlign w:val="center"/>
            <w:hideMark/>
          </w:tcPr>
          <w:p w14:paraId="304914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£213,028.81</w:t>
            </w:r>
          </w:p>
        </w:tc>
        <w:tc>
          <w:tcPr>
            <w:tcW w:w="1510" w:type="dxa"/>
            <w:tcBorders>
              <w:top w:val="nil"/>
              <w:left w:val="nil"/>
              <w:bottom w:val="single" w:sz="4" w:space="0" w:color="auto"/>
              <w:right w:val="single" w:sz="4" w:space="0" w:color="auto"/>
            </w:tcBorders>
            <w:shd w:val="clear" w:color="auto" w:fill="auto"/>
            <w:noWrap/>
            <w:vAlign w:val="center"/>
            <w:hideMark/>
          </w:tcPr>
          <w:p w14:paraId="7E9CB5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£213,028.81</w:t>
            </w:r>
          </w:p>
        </w:tc>
        <w:tc>
          <w:tcPr>
            <w:tcW w:w="1587" w:type="dxa"/>
            <w:tcBorders>
              <w:top w:val="nil"/>
              <w:left w:val="nil"/>
              <w:bottom w:val="single" w:sz="4" w:space="0" w:color="auto"/>
              <w:right w:val="single" w:sz="4" w:space="0" w:color="auto"/>
            </w:tcBorders>
            <w:shd w:val="clear" w:color="auto" w:fill="auto"/>
            <w:noWrap/>
            <w:vAlign w:val="center"/>
            <w:hideMark/>
          </w:tcPr>
          <w:p w14:paraId="5CF270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£852,115.24</w:t>
            </w:r>
          </w:p>
        </w:tc>
      </w:tr>
      <w:tr w:rsidR="004433D7" w:rsidRPr="004433D7" w14:paraId="3E26C71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4EFD80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Shell Energy Supply UK Ltd. </w:t>
            </w:r>
          </w:p>
        </w:tc>
        <w:tc>
          <w:tcPr>
            <w:tcW w:w="1510" w:type="dxa"/>
            <w:tcBorders>
              <w:top w:val="nil"/>
              <w:left w:val="nil"/>
              <w:bottom w:val="single" w:sz="4" w:space="0" w:color="auto"/>
              <w:right w:val="single" w:sz="4" w:space="0" w:color="auto"/>
            </w:tcBorders>
            <w:shd w:val="clear" w:color="auto" w:fill="auto"/>
            <w:noWrap/>
            <w:vAlign w:val="center"/>
            <w:hideMark/>
          </w:tcPr>
          <w:p w14:paraId="20400C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£123,571.86</w:t>
            </w:r>
          </w:p>
        </w:tc>
        <w:tc>
          <w:tcPr>
            <w:tcW w:w="1510" w:type="dxa"/>
            <w:tcBorders>
              <w:top w:val="nil"/>
              <w:left w:val="nil"/>
              <w:bottom w:val="single" w:sz="4" w:space="0" w:color="auto"/>
              <w:right w:val="single" w:sz="4" w:space="0" w:color="auto"/>
            </w:tcBorders>
            <w:shd w:val="clear" w:color="auto" w:fill="auto"/>
            <w:noWrap/>
            <w:vAlign w:val="center"/>
            <w:hideMark/>
          </w:tcPr>
          <w:p w14:paraId="5432BA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£30,892.96</w:t>
            </w:r>
          </w:p>
        </w:tc>
        <w:tc>
          <w:tcPr>
            <w:tcW w:w="1510" w:type="dxa"/>
            <w:tcBorders>
              <w:top w:val="nil"/>
              <w:left w:val="nil"/>
              <w:bottom w:val="single" w:sz="4" w:space="0" w:color="auto"/>
              <w:right w:val="single" w:sz="4" w:space="0" w:color="auto"/>
            </w:tcBorders>
            <w:shd w:val="clear" w:color="auto" w:fill="auto"/>
            <w:noWrap/>
            <w:vAlign w:val="center"/>
            <w:hideMark/>
          </w:tcPr>
          <w:p w14:paraId="39281F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£30,892.96</w:t>
            </w:r>
          </w:p>
        </w:tc>
        <w:tc>
          <w:tcPr>
            <w:tcW w:w="1510" w:type="dxa"/>
            <w:tcBorders>
              <w:top w:val="nil"/>
              <w:left w:val="nil"/>
              <w:bottom w:val="single" w:sz="4" w:space="0" w:color="auto"/>
              <w:right w:val="single" w:sz="4" w:space="0" w:color="auto"/>
            </w:tcBorders>
            <w:shd w:val="clear" w:color="auto" w:fill="auto"/>
            <w:noWrap/>
            <w:vAlign w:val="center"/>
            <w:hideMark/>
          </w:tcPr>
          <w:p w14:paraId="534D5B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£30,892.96</w:t>
            </w:r>
          </w:p>
        </w:tc>
        <w:tc>
          <w:tcPr>
            <w:tcW w:w="1510" w:type="dxa"/>
            <w:tcBorders>
              <w:top w:val="nil"/>
              <w:left w:val="nil"/>
              <w:bottom w:val="single" w:sz="4" w:space="0" w:color="auto"/>
              <w:right w:val="single" w:sz="4" w:space="0" w:color="auto"/>
            </w:tcBorders>
            <w:shd w:val="clear" w:color="auto" w:fill="auto"/>
            <w:noWrap/>
            <w:vAlign w:val="center"/>
            <w:hideMark/>
          </w:tcPr>
          <w:p w14:paraId="59AE9E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£30,892.96</w:t>
            </w:r>
          </w:p>
        </w:tc>
        <w:tc>
          <w:tcPr>
            <w:tcW w:w="1587" w:type="dxa"/>
            <w:tcBorders>
              <w:top w:val="nil"/>
              <w:left w:val="nil"/>
              <w:bottom w:val="single" w:sz="4" w:space="0" w:color="auto"/>
              <w:right w:val="single" w:sz="4" w:space="0" w:color="auto"/>
            </w:tcBorders>
            <w:shd w:val="clear" w:color="auto" w:fill="auto"/>
            <w:noWrap/>
            <w:vAlign w:val="center"/>
            <w:hideMark/>
          </w:tcPr>
          <w:p w14:paraId="1B1636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£123,571.84</w:t>
            </w:r>
          </w:p>
        </w:tc>
      </w:tr>
      <w:tr w:rsidR="004433D7" w:rsidRPr="004433D7" w14:paraId="547E3D1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B0549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Simplicity Energy Limited </w:t>
            </w:r>
          </w:p>
        </w:tc>
        <w:tc>
          <w:tcPr>
            <w:tcW w:w="1510" w:type="dxa"/>
            <w:tcBorders>
              <w:top w:val="nil"/>
              <w:left w:val="nil"/>
              <w:bottom w:val="single" w:sz="4" w:space="0" w:color="auto"/>
              <w:right w:val="single" w:sz="4" w:space="0" w:color="auto"/>
            </w:tcBorders>
            <w:shd w:val="clear" w:color="auto" w:fill="auto"/>
            <w:noWrap/>
            <w:vAlign w:val="center"/>
            <w:hideMark/>
          </w:tcPr>
          <w:p w14:paraId="37A9BD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£12,191.24</w:t>
            </w:r>
          </w:p>
        </w:tc>
        <w:tc>
          <w:tcPr>
            <w:tcW w:w="1510" w:type="dxa"/>
            <w:tcBorders>
              <w:top w:val="nil"/>
              <w:left w:val="nil"/>
              <w:bottom w:val="single" w:sz="4" w:space="0" w:color="auto"/>
              <w:right w:val="single" w:sz="4" w:space="0" w:color="auto"/>
            </w:tcBorders>
            <w:shd w:val="clear" w:color="auto" w:fill="auto"/>
            <w:noWrap/>
            <w:vAlign w:val="center"/>
            <w:hideMark/>
          </w:tcPr>
          <w:p w14:paraId="05E374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£3,047.81</w:t>
            </w:r>
          </w:p>
        </w:tc>
        <w:tc>
          <w:tcPr>
            <w:tcW w:w="1510" w:type="dxa"/>
            <w:tcBorders>
              <w:top w:val="nil"/>
              <w:left w:val="nil"/>
              <w:bottom w:val="single" w:sz="4" w:space="0" w:color="auto"/>
              <w:right w:val="single" w:sz="4" w:space="0" w:color="auto"/>
            </w:tcBorders>
            <w:shd w:val="clear" w:color="auto" w:fill="auto"/>
            <w:noWrap/>
            <w:vAlign w:val="center"/>
            <w:hideMark/>
          </w:tcPr>
          <w:p w14:paraId="01F59B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£3,047.81</w:t>
            </w:r>
          </w:p>
        </w:tc>
        <w:tc>
          <w:tcPr>
            <w:tcW w:w="1510" w:type="dxa"/>
            <w:tcBorders>
              <w:top w:val="nil"/>
              <w:left w:val="nil"/>
              <w:bottom w:val="single" w:sz="4" w:space="0" w:color="auto"/>
              <w:right w:val="single" w:sz="4" w:space="0" w:color="auto"/>
            </w:tcBorders>
            <w:shd w:val="clear" w:color="auto" w:fill="auto"/>
            <w:noWrap/>
            <w:vAlign w:val="center"/>
            <w:hideMark/>
          </w:tcPr>
          <w:p w14:paraId="464F5F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E0A9E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287611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£6,095.62</w:t>
            </w:r>
          </w:p>
        </w:tc>
      </w:tr>
      <w:tr w:rsidR="004433D7" w:rsidRPr="004433D7" w14:paraId="51D0842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F9C5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Simply Your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4E0EA0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£96.29</w:t>
            </w:r>
          </w:p>
        </w:tc>
        <w:tc>
          <w:tcPr>
            <w:tcW w:w="1510" w:type="dxa"/>
            <w:tcBorders>
              <w:top w:val="nil"/>
              <w:left w:val="nil"/>
              <w:bottom w:val="single" w:sz="4" w:space="0" w:color="auto"/>
              <w:right w:val="single" w:sz="4" w:space="0" w:color="auto"/>
            </w:tcBorders>
            <w:shd w:val="clear" w:color="auto" w:fill="auto"/>
            <w:noWrap/>
            <w:vAlign w:val="center"/>
            <w:hideMark/>
          </w:tcPr>
          <w:p w14:paraId="2234D9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w:t>
            </w:r>
          </w:p>
        </w:tc>
        <w:tc>
          <w:tcPr>
            <w:tcW w:w="1510" w:type="dxa"/>
            <w:tcBorders>
              <w:top w:val="nil"/>
              <w:left w:val="nil"/>
              <w:bottom w:val="single" w:sz="4" w:space="0" w:color="auto"/>
              <w:right w:val="single" w:sz="4" w:space="0" w:color="auto"/>
            </w:tcBorders>
            <w:shd w:val="clear" w:color="auto" w:fill="auto"/>
            <w:noWrap/>
            <w:vAlign w:val="center"/>
            <w:hideMark/>
          </w:tcPr>
          <w:p w14:paraId="609AA9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w:t>
            </w:r>
          </w:p>
        </w:tc>
        <w:tc>
          <w:tcPr>
            <w:tcW w:w="1510" w:type="dxa"/>
            <w:tcBorders>
              <w:top w:val="nil"/>
              <w:left w:val="nil"/>
              <w:bottom w:val="single" w:sz="4" w:space="0" w:color="auto"/>
              <w:right w:val="single" w:sz="4" w:space="0" w:color="auto"/>
            </w:tcBorders>
            <w:shd w:val="clear" w:color="auto" w:fill="auto"/>
            <w:noWrap/>
            <w:vAlign w:val="center"/>
            <w:hideMark/>
          </w:tcPr>
          <w:p w14:paraId="285CEC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w:t>
            </w:r>
          </w:p>
        </w:tc>
        <w:tc>
          <w:tcPr>
            <w:tcW w:w="1510" w:type="dxa"/>
            <w:tcBorders>
              <w:top w:val="nil"/>
              <w:left w:val="nil"/>
              <w:bottom w:val="single" w:sz="4" w:space="0" w:color="auto"/>
              <w:right w:val="single" w:sz="4" w:space="0" w:color="auto"/>
            </w:tcBorders>
            <w:shd w:val="clear" w:color="auto" w:fill="auto"/>
            <w:noWrap/>
            <w:vAlign w:val="center"/>
            <w:hideMark/>
          </w:tcPr>
          <w:p w14:paraId="0FF341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£24.07</w:t>
            </w:r>
          </w:p>
        </w:tc>
        <w:tc>
          <w:tcPr>
            <w:tcW w:w="1587" w:type="dxa"/>
            <w:tcBorders>
              <w:top w:val="nil"/>
              <w:left w:val="nil"/>
              <w:bottom w:val="single" w:sz="4" w:space="0" w:color="auto"/>
              <w:right w:val="single" w:sz="4" w:space="0" w:color="auto"/>
            </w:tcBorders>
            <w:shd w:val="clear" w:color="auto" w:fill="auto"/>
            <w:noWrap/>
            <w:vAlign w:val="center"/>
            <w:hideMark/>
          </w:tcPr>
          <w:p w14:paraId="0213EF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£96.28</w:t>
            </w:r>
          </w:p>
        </w:tc>
      </w:tr>
      <w:tr w:rsidR="004433D7" w:rsidRPr="004433D7" w14:paraId="1EED8C0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76A15C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Sinq</w:t>
            </w:r>
            <w:proofErr w:type="spellEnd"/>
            <w:r w:rsidRPr="004433D7">
              <w:rPr>
                <w:rFonts w:eastAsia="Times New Roman" w:cs="Times New Roman"/>
                <w:color w:val="000000"/>
                <w:sz w:val="16"/>
                <w:szCs w:val="16"/>
              </w:rPr>
              <w:t xml:space="preserve">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4BD21C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£34,831.24</w:t>
            </w:r>
          </w:p>
        </w:tc>
        <w:tc>
          <w:tcPr>
            <w:tcW w:w="1510" w:type="dxa"/>
            <w:tcBorders>
              <w:top w:val="nil"/>
              <w:left w:val="nil"/>
              <w:bottom w:val="single" w:sz="4" w:space="0" w:color="auto"/>
              <w:right w:val="single" w:sz="4" w:space="0" w:color="auto"/>
            </w:tcBorders>
            <w:shd w:val="clear" w:color="auto" w:fill="auto"/>
            <w:noWrap/>
            <w:vAlign w:val="center"/>
            <w:hideMark/>
          </w:tcPr>
          <w:p w14:paraId="569697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£8,707.81</w:t>
            </w:r>
          </w:p>
        </w:tc>
        <w:tc>
          <w:tcPr>
            <w:tcW w:w="1510" w:type="dxa"/>
            <w:tcBorders>
              <w:top w:val="nil"/>
              <w:left w:val="nil"/>
              <w:bottom w:val="single" w:sz="4" w:space="0" w:color="auto"/>
              <w:right w:val="single" w:sz="4" w:space="0" w:color="auto"/>
            </w:tcBorders>
            <w:shd w:val="clear" w:color="auto" w:fill="auto"/>
            <w:noWrap/>
            <w:vAlign w:val="center"/>
            <w:hideMark/>
          </w:tcPr>
          <w:p w14:paraId="6A33EF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£8,707.81</w:t>
            </w:r>
          </w:p>
        </w:tc>
        <w:tc>
          <w:tcPr>
            <w:tcW w:w="1510" w:type="dxa"/>
            <w:tcBorders>
              <w:top w:val="nil"/>
              <w:left w:val="nil"/>
              <w:bottom w:val="single" w:sz="4" w:space="0" w:color="auto"/>
              <w:right w:val="single" w:sz="4" w:space="0" w:color="auto"/>
            </w:tcBorders>
            <w:shd w:val="clear" w:color="auto" w:fill="auto"/>
            <w:noWrap/>
            <w:vAlign w:val="center"/>
            <w:hideMark/>
          </w:tcPr>
          <w:p w14:paraId="658159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£8,707.81</w:t>
            </w:r>
          </w:p>
        </w:tc>
        <w:tc>
          <w:tcPr>
            <w:tcW w:w="1510" w:type="dxa"/>
            <w:tcBorders>
              <w:top w:val="nil"/>
              <w:left w:val="nil"/>
              <w:bottom w:val="single" w:sz="4" w:space="0" w:color="auto"/>
              <w:right w:val="single" w:sz="4" w:space="0" w:color="auto"/>
            </w:tcBorders>
            <w:shd w:val="clear" w:color="auto" w:fill="auto"/>
            <w:noWrap/>
            <w:vAlign w:val="center"/>
            <w:hideMark/>
          </w:tcPr>
          <w:p w14:paraId="2E4A48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£8,707.81</w:t>
            </w:r>
          </w:p>
        </w:tc>
        <w:tc>
          <w:tcPr>
            <w:tcW w:w="1587" w:type="dxa"/>
            <w:tcBorders>
              <w:top w:val="nil"/>
              <w:left w:val="nil"/>
              <w:bottom w:val="single" w:sz="4" w:space="0" w:color="auto"/>
              <w:right w:val="single" w:sz="4" w:space="0" w:color="auto"/>
            </w:tcBorders>
            <w:shd w:val="clear" w:color="auto" w:fill="auto"/>
            <w:noWrap/>
            <w:vAlign w:val="center"/>
            <w:hideMark/>
          </w:tcPr>
          <w:p w14:paraId="72C231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£34,831.24</w:t>
            </w:r>
          </w:p>
        </w:tc>
      </w:tr>
      <w:tr w:rsidR="004433D7" w:rsidRPr="004433D7" w14:paraId="0021648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A21426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510" w:type="dxa"/>
            <w:tcBorders>
              <w:top w:val="nil"/>
              <w:left w:val="nil"/>
              <w:bottom w:val="single" w:sz="4" w:space="0" w:color="auto"/>
              <w:right w:val="single" w:sz="4" w:space="0" w:color="auto"/>
            </w:tcBorders>
            <w:shd w:val="clear" w:color="auto" w:fill="auto"/>
            <w:noWrap/>
            <w:vAlign w:val="center"/>
            <w:hideMark/>
          </w:tcPr>
          <w:p w14:paraId="08FD58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£2,488,231.55</w:t>
            </w:r>
          </w:p>
        </w:tc>
        <w:tc>
          <w:tcPr>
            <w:tcW w:w="1510" w:type="dxa"/>
            <w:tcBorders>
              <w:top w:val="nil"/>
              <w:left w:val="nil"/>
              <w:bottom w:val="single" w:sz="4" w:space="0" w:color="auto"/>
              <w:right w:val="single" w:sz="4" w:space="0" w:color="auto"/>
            </w:tcBorders>
            <w:shd w:val="clear" w:color="auto" w:fill="auto"/>
            <w:noWrap/>
            <w:vAlign w:val="center"/>
            <w:hideMark/>
          </w:tcPr>
          <w:p w14:paraId="7A2C08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£622,057.89</w:t>
            </w:r>
          </w:p>
        </w:tc>
        <w:tc>
          <w:tcPr>
            <w:tcW w:w="1510" w:type="dxa"/>
            <w:tcBorders>
              <w:top w:val="nil"/>
              <w:left w:val="nil"/>
              <w:bottom w:val="single" w:sz="4" w:space="0" w:color="auto"/>
              <w:right w:val="single" w:sz="4" w:space="0" w:color="auto"/>
            </w:tcBorders>
            <w:shd w:val="clear" w:color="auto" w:fill="auto"/>
            <w:noWrap/>
            <w:vAlign w:val="center"/>
            <w:hideMark/>
          </w:tcPr>
          <w:p w14:paraId="06517D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£622,057.89</w:t>
            </w:r>
          </w:p>
        </w:tc>
        <w:tc>
          <w:tcPr>
            <w:tcW w:w="1510" w:type="dxa"/>
            <w:tcBorders>
              <w:top w:val="nil"/>
              <w:left w:val="nil"/>
              <w:bottom w:val="single" w:sz="4" w:space="0" w:color="auto"/>
              <w:right w:val="single" w:sz="4" w:space="0" w:color="auto"/>
            </w:tcBorders>
            <w:shd w:val="clear" w:color="auto" w:fill="auto"/>
            <w:noWrap/>
            <w:vAlign w:val="center"/>
            <w:hideMark/>
          </w:tcPr>
          <w:p w14:paraId="7F3C84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£622,057.89</w:t>
            </w:r>
          </w:p>
        </w:tc>
        <w:tc>
          <w:tcPr>
            <w:tcW w:w="1510" w:type="dxa"/>
            <w:tcBorders>
              <w:top w:val="nil"/>
              <w:left w:val="nil"/>
              <w:bottom w:val="single" w:sz="4" w:space="0" w:color="auto"/>
              <w:right w:val="single" w:sz="4" w:space="0" w:color="auto"/>
            </w:tcBorders>
            <w:shd w:val="clear" w:color="auto" w:fill="auto"/>
            <w:noWrap/>
            <w:vAlign w:val="center"/>
            <w:hideMark/>
          </w:tcPr>
          <w:p w14:paraId="4FB27D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£622,057.89</w:t>
            </w:r>
          </w:p>
        </w:tc>
        <w:tc>
          <w:tcPr>
            <w:tcW w:w="1587" w:type="dxa"/>
            <w:tcBorders>
              <w:top w:val="nil"/>
              <w:left w:val="nil"/>
              <w:bottom w:val="single" w:sz="4" w:space="0" w:color="auto"/>
              <w:right w:val="single" w:sz="4" w:space="0" w:color="auto"/>
            </w:tcBorders>
            <w:shd w:val="clear" w:color="auto" w:fill="auto"/>
            <w:noWrap/>
            <w:vAlign w:val="center"/>
            <w:hideMark/>
          </w:tcPr>
          <w:p w14:paraId="0D869C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£2,488,231.56</w:t>
            </w:r>
          </w:p>
        </w:tc>
      </w:tr>
      <w:tr w:rsidR="004433D7" w:rsidRPr="004433D7" w14:paraId="2B4EDA2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C1A592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So Energy Trading Limited</w:t>
            </w:r>
          </w:p>
        </w:tc>
        <w:tc>
          <w:tcPr>
            <w:tcW w:w="1510" w:type="dxa"/>
            <w:tcBorders>
              <w:top w:val="nil"/>
              <w:left w:val="nil"/>
              <w:bottom w:val="single" w:sz="4" w:space="0" w:color="auto"/>
              <w:right w:val="single" w:sz="4" w:space="0" w:color="auto"/>
            </w:tcBorders>
            <w:shd w:val="clear" w:color="auto" w:fill="auto"/>
            <w:noWrap/>
            <w:vAlign w:val="center"/>
            <w:hideMark/>
          </w:tcPr>
          <w:p w14:paraId="39DAD2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£95,059.10</w:t>
            </w:r>
          </w:p>
        </w:tc>
        <w:tc>
          <w:tcPr>
            <w:tcW w:w="1510" w:type="dxa"/>
            <w:tcBorders>
              <w:top w:val="nil"/>
              <w:left w:val="nil"/>
              <w:bottom w:val="single" w:sz="4" w:space="0" w:color="auto"/>
              <w:right w:val="single" w:sz="4" w:space="0" w:color="auto"/>
            </w:tcBorders>
            <w:shd w:val="clear" w:color="auto" w:fill="auto"/>
            <w:noWrap/>
            <w:vAlign w:val="center"/>
            <w:hideMark/>
          </w:tcPr>
          <w:p w14:paraId="1ADAF1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£23,764.77</w:t>
            </w:r>
          </w:p>
        </w:tc>
        <w:tc>
          <w:tcPr>
            <w:tcW w:w="1510" w:type="dxa"/>
            <w:tcBorders>
              <w:top w:val="nil"/>
              <w:left w:val="nil"/>
              <w:bottom w:val="single" w:sz="4" w:space="0" w:color="auto"/>
              <w:right w:val="single" w:sz="4" w:space="0" w:color="auto"/>
            </w:tcBorders>
            <w:shd w:val="clear" w:color="auto" w:fill="auto"/>
            <w:noWrap/>
            <w:vAlign w:val="center"/>
            <w:hideMark/>
          </w:tcPr>
          <w:p w14:paraId="5C75F4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£23,764.77</w:t>
            </w:r>
          </w:p>
        </w:tc>
        <w:tc>
          <w:tcPr>
            <w:tcW w:w="1510" w:type="dxa"/>
            <w:tcBorders>
              <w:top w:val="nil"/>
              <w:left w:val="nil"/>
              <w:bottom w:val="single" w:sz="4" w:space="0" w:color="auto"/>
              <w:right w:val="single" w:sz="4" w:space="0" w:color="auto"/>
            </w:tcBorders>
            <w:shd w:val="clear" w:color="auto" w:fill="auto"/>
            <w:noWrap/>
            <w:vAlign w:val="center"/>
            <w:hideMark/>
          </w:tcPr>
          <w:p w14:paraId="34359C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£23,764.77</w:t>
            </w:r>
          </w:p>
        </w:tc>
        <w:tc>
          <w:tcPr>
            <w:tcW w:w="1510" w:type="dxa"/>
            <w:tcBorders>
              <w:top w:val="nil"/>
              <w:left w:val="nil"/>
              <w:bottom w:val="single" w:sz="4" w:space="0" w:color="auto"/>
              <w:right w:val="single" w:sz="4" w:space="0" w:color="auto"/>
            </w:tcBorders>
            <w:shd w:val="clear" w:color="auto" w:fill="auto"/>
            <w:noWrap/>
            <w:vAlign w:val="center"/>
            <w:hideMark/>
          </w:tcPr>
          <w:p w14:paraId="07CA4A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£23,764.77</w:t>
            </w:r>
          </w:p>
        </w:tc>
        <w:tc>
          <w:tcPr>
            <w:tcW w:w="1587" w:type="dxa"/>
            <w:tcBorders>
              <w:top w:val="nil"/>
              <w:left w:val="nil"/>
              <w:bottom w:val="single" w:sz="4" w:space="0" w:color="auto"/>
              <w:right w:val="single" w:sz="4" w:space="0" w:color="auto"/>
            </w:tcBorders>
            <w:shd w:val="clear" w:color="auto" w:fill="auto"/>
            <w:noWrap/>
            <w:vAlign w:val="center"/>
            <w:hideMark/>
          </w:tcPr>
          <w:p w14:paraId="76A4CC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£95,059.08</w:t>
            </w:r>
          </w:p>
        </w:tc>
      </w:tr>
      <w:tr w:rsidR="004433D7" w:rsidRPr="004433D7" w14:paraId="32D031C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B1306D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Social Energy Supply Ltd</w:t>
            </w:r>
          </w:p>
        </w:tc>
        <w:tc>
          <w:tcPr>
            <w:tcW w:w="1510" w:type="dxa"/>
            <w:tcBorders>
              <w:top w:val="nil"/>
              <w:left w:val="nil"/>
              <w:bottom w:val="single" w:sz="4" w:space="0" w:color="auto"/>
              <w:right w:val="single" w:sz="4" w:space="0" w:color="auto"/>
            </w:tcBorders>
            <w:shd w:val="clear" w:color="auto" w:fill="auto"/>
            <w:noWrap/>
            <w:vAlign w:val="center"/>
            <w:hideMark/>
          </w:tcPr>
          <w:p w14:paraId="73F970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w:t>
            </w:r>
          </w:p>
        </w:tc>
        <w:tc>
          <w:tcPr>
            <w:tcW w:w="1510" w:type="dxa"/>
            <w:tcBorders>
              <w:top w:val="nil"/>
              <w:left w:val="nil"/>
              <w:bottom w:val="single" w:sz="4" w:space="0" w:color="auto"/>
              <w:right w:val="single" w:sz="4" w:space="0" w:color="auto"/>
            </w:tcBorders>
            <w:shd w:val="clear" w:color="auto" w:fill="auto"/>
            <w:noWrap/>
            <w:vAlign w:val="center"/>
            <w:hideMark/>
          </w:tcPr>
          <w:p w14:paraId="4350FF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w:t>
            </w:r>
          </w:p>
        </w:tc>
        <w:tc>
          <w:tcPr>
            <w:tcW w:w="1510" w:type="dxa"/>
            <w:tcBorders>
              <w:top w:val="nil"/>
              <w:left w:val="nil"/>
              <w:bottom w:val="single" w:sz="4" w:space="0" w:color="auto"/>
              <w:right w:val="single" w:sz="4" w:space="0" w:color="auto"/>
            </w:tcBorders>
            <w:shd w:val="clear" w:color="auto" w:fill="auto"/>
            <w:noWrap/>
            <w:vAlign w:val="center"/>
            <w:hideMark/>
          </w:tcPr>
          <w:p w14:paraId="155B69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6EDDA8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8A668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331474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w:t>
            </w:r>
          </w:p>
        </w:tc>
      </w:tr>
      <w:tr w:rsidR="004433D7" w:rsidRPr="004433D7" w14:paraId="76079EF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813AB4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259F0E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£40,790.20</w:t>
            </w:r>
          </w:p>
        </w:tc>
        <w:tc>
          <w:tcPr>
            <w:tcW w:w="1510" w:type="dxa"/>
            <w:tcBorders>
              <w:top w:val="nil"/>
              <w:left w:val="nil"/>
              <w:bottom w:val="single" w:sz="4" w:space="0" w:color="auto"/>
              <w:right w:val="single" w:sz="4" w:space="0" w:color="auto"/>
            </w:tcBorders>
            <w:shd w:val="clear" w:color="auto" w:fill="auto"/>
            <w:noWrap/>
            <w:vAlign w:val="center"/>
            <w:hideMark/>
          </w:tcPr>
          <w:p w14:paraId="61FFDF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£10,197.55</w:t>
            </w:r>
          </w:p>
        </w:tc>
        <w:tc>
          <w:tcPr>
            <w:tcW w:w="1510" w:type="dxa"/>
            <w:tcBorders>
              <w:top w:val="nil"/>
              <w:left w:val="nil"/>
              <w:bottom w:val="single" w:sz="4" w:space="0" w:color="auto"/>
              <w:right w:val="single" w:sz="4" w:space="0" w:color="auto"/>
            </w:tcBorders>
            <w:shd w:val="clear" w:color="auto" w:fill="auto"/>
            <w:noWrap/>
            <w:vAlign w:val="center"/>
            <w:hideMark/>
          </w:tcPr>
          <w:p w14:paraId="303A45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£10,197.55</w:t>
            </w:r>
          </w:p>
        </w:tc>
        <w:tc>
          <w:tcPr>
            <w:tcW w:w="1510" w:type="dxa"/>
            <w:tcBorders>
              <w:top w:val="nil"/>
              <w:left w:val="nil"/>
              <w:bottom w:val="single" w:sz="4" w:space="0" w:color="auto"/>
              <w:right w:val="single" w:sz="4" w:space="0" w:color="auto"/>
            </w:tcBorders>
            <w:shd w:val="clear" w:color="auto" w:fill="auto"/>
            <w:noWrap/>
            <w:vAlign w:val="center"/>
            <w:hideMark/>
          </w:tcPr>
          <w:p w14:paraId="46935F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£10,197.55</w:t>
            </w:r>
          </w:p>
        </w:tc>
        <w:tc>
          <w:tcPr>
            <w:tcW w:w="1510" w:type="dxa"/>
            <w:tcBorders>
              <w:top w:val="nil"/>
              <w:left w:val="nil"/>
              <w:bottom w:val="single" w:sz="4" w:space="0" w:color="auto"/>
              <w:right w:val="single" w:sz="4" w:space="0" w:color="auto"/>
            </w:tcBorders>
            <w:shd w:val="clear" w:color="auto" w:fill="auto"/>
            <w:noWrap/>
            <w:vAlign w:val="center"/>
            <w:hideMark/>
          </w:tcPr>
          <w:p w14:paraId="1EB6F5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£10,197.55</w:t>
            </w:r>
          </w:p>
        </w:tc>
        <w:tc>
          <w:tcPr>
            <w:tcW w:w="1587" w:type="dxa"/>
            <w:tcBorders>
              <w:top w:val="nil"/>
              <w:left w:val="nil"/>
              <w:bottom w:val="single" w:sz="4" w:space="0" w:color="auto"/>
              <w:right w:val="single" w:sz="4" w:space="0" w:color="auto"/>
            </w:tcBorders>
            <w:shd w:val="clear" w:color="auto" w:fill="auto"/>
            <w:noWrap/>
            <w:vAlign w:val="center"/>
            <w:hideMark/>
          </w:tcPr>
          <w:p w14:paraId="6BE973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£40,790.20</w:t>
            </w:r>
          </w:p>
        </w:tc>
      </w:tr>
      <w:tr w:rsidR="004433D7" w:rsidRPr="004433D7" w14:paraId="278ED56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D6B6CE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Electricity Limited</w:t>
            </w:r>
          </w:p>
        </w:tc>
        <w:tc>
          <w:tcPr>
            <w:tcW w:w="1510" w:type="dxa"/>
            <w:tcBorders>
              <w:top w:val="nil"/>
              <w:left w:val="nil"/>
              <w:bottom w:val="single" w:sz="4" w:space="0" w:color="auto"/>
              <w:right w:val="single" w:sz="4" w:space="0" w:color="auto"/>
            </w:tcBorders>
            <w:shd w:val="clear" w:color="auto" w:fill="auto"/>
            <w:noWrap/>
            <w:vAlign w:val="center"/>
            <w:hideMark/>
          </w:tcPr>
          <w:p w14:paraId="3D3D08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£3,752,883.75</w:t>
            </w:r>
          </w:p>
        </w:tc>
        <w:tc>
          <w:tcPr>
            <w:tcW w:w="1510" w:type="dxa"/>
            <w:tcBorders>
              <w:top w:val="nil"/>
              <w:left w:val="nil"/>
              <w:bottom w:val="single" w:sz="4" w:space="0" w:color="auto"/>
              <w:right w:val="single" w:sz="4" w:space="0" w:color="auto"/>
            </w:tcBorders>
            <w:shd w:val="clear" w:color="auto" w:fill="auto"/>
            <w:noWrap/>
            <w:vAlign w:val="center"/>
            <w:hideMark/>
          </w:tcPr>
          <w:p w14:paraId="698092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£938,220.94</w:t>
            </w:r>
          </w:p>
        </w:tc>
        <w:tc>
          <w:tcPr>
            <w:tcW w:w="1510" w:type="dxa"/>
            <w:tcBorders>
              <w:top w:val="nil"/>
              <w:left w:val="nil"/>
              <w:bottom w:val="single" w:sz="4" w:space="0" w:color="auto"/>
              <w:right w:val="single" w:sz="4" w:space="0" w:color="auto"/>
            </w:tcBorders>
            <w:shd w:val="clear" w:color="auto" w:fill="auto"/>
            <w:noWrap/>
            <w:vAlign w:val="center"/>
            <w:hideMark/>
          </w:tcPr>
          <w:p w14:paraId="04822B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£938,220.94</w:t>
            </w:r>
          </w:p>
        </w:tc>
        <w:tc>
          <w:tcPr>
            <w:tcW w:w="1510" w:type="dxa"/>
            <w:tcBorders>
              <w:top w:val="nil"/>
              <w:left w:val="nil"/>
              <w:bottom w:val="single" w:sz="4" w:space="0" w:color="auto"/>
              <w:right w:val="single" w:sz="4" w:space="0" w:color="auto"/>
            </w:tcBorders>
            <w:shd w:val="clear" w:color="auto" w:fill="auto"/>
            <w:noWrap/>
            <w:vAlign w:val="center"/>
            <w:hideMark/>
          </w:tcPr>
          <w:p w14:paraId="10DBBF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£938,220.94</w:t>
            </w:r>
          </w:p>
        </w:tc>
        <w:tc>
          <w:tcPr>
            <w:tcW w:w="1510" w:type="dxa"/>
            <w:tcBorders>
              <w:top w:val="nil"/>
              <w:left w:val="nil"/>
              <w:bottom w:val="single" w:sz="4" w:space="0" w:color="auto"/>
              <w:right w:val="single" w:sz="4" w:space="0" w:color="auto"/>
            </w:tcBorders>
            <w:shd w:val="clear" w:color="auto" w:fill="auto"/>
            <w:noWrap/>
            <w:vAlign w:val="center"/>
            <w:hideMark/>
          </w:tcPr>
          <w:p w14:paraId="59459F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£938,220.94</w:t>
            </w:r>
          </w:p>
        </w:tc>
        <w:tc>
          <w:tcPr>
            <w:tcW w:w="1587" w:type="dxa"/>
            <w:tcBorders>
              <w:top w:val="nil"/>
              <w:left w:val="nil"/>
              <w:bottom w:val="single" w:sz="4" w:space="0" w:color="auto"/>
              <w:right w:val="single" w:sz="4" w:space="0" w:color="auto"/>
            </w:tcBorders>
            <w:shd w:val="clear" w:color="auto" w:fill="auto"/>
            <w:noWrap/>
            <w:vAlign w:val="center"/>
            <w:hideMark/>
          </w:tcPr>
          <w:p w14:paraId="5EFCE9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£3,752,883.76</w:t>
            </w:r>
          </w:p>
        </w:tc>
      </w:tr>
      <w:tr w:rsidR="004433D7" w:rsidRPr="004433D7" w14:paraId="75CF05E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D9DFDF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212447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£6,184,658.19</w:t>
            </w:r>
          </w:p>
        </w:tc>
        <w:tc>
          <w:tcPr>
            <w:tcW w:w="1510" w:type="dxa"/>
            <w:tcBorders>
              <w:top w:val="nil"/>
              <w:left w:val="nil"/>
              <w:bottom w:val="single" w:sz="4" w:space="0" w:color="auto"/>
              <w:right w:val="single" w:sz="4" w:space="0" w:color="auto"/>
            </w:tcBorders>
            <w:shd w:val="clear" w:color="auto" w:fill="auto"/>
            <w:noWrap/>
            <w:vAlign w:val="center"/>
            <w:hideMark/>
          </w:tcPr>
          <w:p w14:paraId="07CBFC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£1,546,164.55</w:t>
            </w:r>
          </w:p>
        </w:tc>
        <w:tc>
          <w:tcPr>
            <w:tcW w:w="1510" w:type="dxa"/>
            <w:tcBorders>
              <w:top w:val="nil"/>
              <w:left w:val="nil"/>
              <w:bottom w:val="single" w:sz="4" w:space="0" w:color="auto"/>
              <w:right w:val="single" w:sz="4" w:space="0" w:color="auto"/>
            </w:tcBorders>
            <w:shd w:val="clear" w:color="auto" w:fill="auto"/>
            <w:noWrap/>
            <w:vAlign w:val="center"/>
            <w:hideMark/>
          </w:tcPr>
          <w:p w14:paraId="37A511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£1,546,164.55</w:t>
            </w:r>
          </w:p>
        </w:tc>
        <w:tc>
          <w:tcPr>
            <w:tcW w:w="1510" w:type="dxa"/>
            <w:tcBorders>
              <w:top w:val="nil"/>
              <w:left w:val="nil"/>
              <w:bottom w:val="single" w:sz="4" w:space="0" w:color="auto"/>
              <w:right w:val="single" w:sz="4" w:space="0" w:color="auto"/>
            </w:tcBorders>
            <w:shd w:val="clear" w:color="auto" w:fill="auto"/>
            <w:noWrap/>
            <w:vAlign w:val="center"/>
            <w:hideMark/>
          </w:tcPr>
          <w:p w14:paraId="529893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£1,546,164.55</w:t>
            </w:r>
          </w:p>
        </w:tc>
        <w:tc>
          <w:tcPr>
            <w:tcW w:w="1510" w:type="dxa"/>
            <w:tcBorders>
              <w:top w:val="nil"/>
              <w:left w:val="nil"/>
              <w:bottom w:val="single" w:sz="4" w:space="0" w:color="auto"/>
              <w:right w:val="single" w:sz="4" w:space="0" w:color="auto"/>
            </w:tcBorders>
            <w:shd w:val="clear" w:color="auto" w:fill="auto"/>
            <w:noWrap/>
            <w:vAlign w:val="center"/>
            <w:hideMark/>
          </w:tcPr>
          <w:p w14:paraId="4268FA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£1,546,164.55</w:t>
            </w:r>
          </w:p>
        </w:tc>
        <w:tc>
          <w:tcPr>
            <w:tcW w:w="1587" w:type="dxa"/>
            <w:tcBorders>
              <w:top w:val="nil"/>
              <w:left w:val="nil"/>
              <w:bottom w:val="single" w:sz="4" w:space="0" w:color="auto"/>
              <w:right w:val="single" w:sz="4" w:space="0" w:color="auto"/>
            </w:tcBorders>
            <w:shd w:val="clear" w:color="auto" w:fill="auto"/>
            <w:noWrap/>
            <w:vAlign w:val="center"/>
            <w:hideMark/>
          </w:tcPr>
          <w:p w14:paraId="5062B5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£6,184,658.20</w:t>
            </w:r>
          </w:p>
        </w:tc>
      </w:tr>
      <w:tr w:rsidR="004433D7" w:rsidRPr="004433D7" w14:paraId="2588B2C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223341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Statkraft</w:t>
            </w:r>
            <w:proofErr w:type="spellEnd"/>
            <w:r w:rsidRPr="004433D7">
              <w:rPr>
                <w:rFonts w:eastAsia="Times New Roman" w:cs="Times New Roman"/>
                <w:color w:val="000000"/>
                <w:sz w:val="16"/>
                <w:szCs w:val="16"/>
              </w:rPr>
              <w:t xml:space="preserve"> Markets GmbH</w:t>
            </w:r>
          </w:p>
        </w:tc>
        <w:tc>
          <w:tcPr>
            <w:tcW w:w="1510" w:type="dxa"/>
            <w:tcBorders>
              <w:top w:val="nil"/>
              <w:left w:val="nil"/>
              <w:bottom w:val="single" w:sz="4" w:space="0" w:color="auto"/>
              <w:right w:val="single" w:sz="4" w:space="0" w:color="auto"/>
            </w:tcBorders>
            <w:shd w:val="clear" w:color="auto" w:fill="auto"/>
            <w:noWrap/>
            <w:vAlign w:val="center"/>
            <w:hideMark/>
          </w:tcPr>
          <w:p w14:paraId="3B92D5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£29.51</w:t>
            </w:r>
          </w:p>
        </w:tc>
        <w:tc>
          <w:tcPr>
            <w:tcW w:w="1510" w:type="dxa"/>
            <w:tcBorders>
              <w:top w:val="nil"/>
              <w:left w:val="nil"/>
              <w:bottom w:val="single" w:sz="4" w:space="0" w:color="auto"/>
              <w:right w:val="single" w:sz="4" w:space="0" w:color="auto"/>
            </w:tcBorders>
            <w:shd w:val="clear" w:color="auto" w:fill="auto"/>
            <w:noWrap/>
            <w:vAlign w:val="center"/>
            <w:hideMark/>
          </w:tcPr>
          <w:p w14:paraId="0B2621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£29.52</w:t>
            </w:r>
          </w:p>
        </w:tc>
        <w:tc>
          <w:tcPr>
            <w:tcW w:w="1510" w:type="dxa"/>
            <w:tcBorders>
              <w:top w:val="nil"/>
              <w:left w:val="nil"/>
              <w:bottom w:val="single" w:sz="4" w:space="0" w:color="auto"/>
              <w:right w:val="single" w:sz="4" w:space="0" w:color="auto"/>
            </w:tcBorders>
            <w:shd w:val="clear" w:color="auto" w:fill="auto"/>
            <w:noWrap/>
            <w:vAlign w:val="center"/>
            <w:hideMark/>
          </w:tcPr>
          <w:p w14:paraId="50EA44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64A3D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916B1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66AD68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£29.52</w:t>
            </w:r>
          </w:p>
        </w:tc>
      </w:tr>
      <w:tr w:rsidR="004433D7" w:rsidRPr="004433D7" w14:paraId="15D8BF4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3FB96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Switch Business Gas and Power Ltd</w:t>
            </w:r>
          </w:p>
        </w:tc>
        <w:tc>
          <w:tcPr>
            <w:tcW w:w="1510" w:type="dxa"/>
            <w:tcBorders>
              <w:top w:val="nil"/>
              <w:left w:val="nil"/>
              <w:bottom w:val="single" w:sz="4" w:space="0" w:color="auto"/>
              <w:right w:val="single" w:sz="4" w:space="0" w:color="auto"/>
            </w:tcBorders>
            <w:shd w:val="clear" w:color="auto" w:fill="auto"/>
            <w:noWrap/>
            <w:vAlign w:val="center"/>
            <w:hideMark/>
          </w:tcPr>
          <w:p w14:paraId="0FB8DC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£1,576.32</w:t>
            </w:r>
          </w:p>
        </w:tc>
        <w:tc>
          <w:tcPr>
            <w:tcW w:w="1510" w:type="dxa"/>
            <w:tcBorders>
              <w:top w:val="nil"/>
              <w:left w:val="nil"/>
              <w:bottom w:val="single" w:sz="4" w:space="0" w:color="auto"/>
              <w:right w:val="single" w:sz="4" w:space="0" w:color="auto"/>
            </w:tcBorders>
            <w:shd w:val="clear" w:color="auto" w:fill="auto"/>
            <w:noWrap/>
            <w:vAlign w:val="center"/>
            <w:hideMark/>
          </w:tcPr>
          <w:p w14:paraId="41F658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£394.08</w:t>
            </w:r>
          </w:p>
        </w:tc>
        <w:tc>
          <w:tcPr>
            <w:tcW w:w="1510" w:type="dxa"/>
            <w:tcBorders>
              <w:top w:val="nil"/>
              <w:left w:val="nil"/>
              <w:bottom w:val="single" w:sz="4" w:space="0" w:color="auto"/>
              <w:right w:val="single" w:sz="4" w:space="0" w:color="auto"/>
            </w:tcBorders>
            <w:shd w:val="clear" w:color="auto" w:fill="auto"/>
            <w:noWrap/>
            <w:vAlign w:val="center"/>
            <w:hideMark/>
          </w:tcPr>
          <w:p w14:paraId="22B596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£394.08</w:t>
            </w:r>
          </w:p>
        </w:tc>
        <w:tc>
          <w:tcPr>
            <w:tcW w:w="1510" w:type="dxa"/>
            <w:tcBorders>
              <w:top w:val="nil"/>
              <w:left w:val="nil"/>
              <w:bottom w:val="single" w:sz="4" w:space="0" w:color="auto"/>
              <w:right w:val="single" w:sz="4" w:space="0" w:color="auto"/>
            </w:tcBorders>
            <w:shd w:val="clear" w:color="auto" w:fill="auto"/>
            <w:noWrap/>
            <w:vAlign w:val="center"/>
            <w:hideMark/>
          </w:tcPr>
          <w:p w14:paraId="2B6C02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£394.08</w:t>
            </w:r>
          </w:p>
        </w:tc>
        <w:tc>
          <w:tcPr>
            <w:tcW w:w="1510" w:type="dxa"/>
            <w:tcBorders>
              <w:top w:val="nil"/>
              <w:left w:val="nil"/>
              <w:bottom w:val="single" w:sz="4" w:space="0" w:color="auto"/>
              <w:right w:val="single" w:sz="4" w:space="0" w:color="auto"/>
            </w:tcBorders>
            <w:shd w:val="clear" w:color="auto" w:fill="auto"/>
            <w:noWrap/>
            <w:vAlign w:val="center"/>
            <w:hideMark/>
          </w:tcPr>
          <w:p w14:paraId="69A3F5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£394.08</w:t>
            </w:r>
          </w:p>
        </w:tc>
        <w:tc>
          <w:tcPr>
            <w:tcW w:w="1587" w:type="dxa"/>
            <w:tcBorders>
              <w:top w:val="nil"/>
              <w:left w:val="nil"/>
              <w:bottom w:val="single" w:sz="4" w:space="0" w:color="auto"/>
              <w:right w:val="single" w:sz="4" w:space="0" w:color="auto"/>
            </w:tcBorders>
            <w:shd w:val="clear" w:color="auto" w:fill="auto"/>
            <w:noWrap/>
            <w:vAlign w:val="center"/>
            <w:hideMark/>
          </w:tcPr>
          <w:p w14:paraId="520E9E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£1,576.32</w:t>
            </w:r>
          </w:p>
        </w:tc>
      </w:tr>
      <w:tr w:rsidR="004433D7" w:rsidRPr="004433D7" w14:paraId="2E85A0C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3001E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Symbio</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47C6E5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£217.42</w:t>
            </w:r>
          </w:p>
        </w:tc>
        <w:tc>
          <w:tcPr>
            <w:tcW w:w="1510" w:type="dxa"/>
            <w:tcBorders>
              <w:top w:val="nil"/>
              <w:left w:val="nil"/>
              <w:bottom w:val="single" w:sz="4" w:space="0" w:color="auto"/>
              <w:right w:val="single" w:sz="4" w:space="0" w:color="auto"/>
            </w:tcBorders>
            <w:shd w:val="clear" w:color="auto" w:fill="auto"/>
            <w:noWrap/>
            <w:vAlign w:val="center"/>
            <w:hideMark/>
          </w:tcPr>
          <w:p w14:paraId="345391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£217.42</w:t>
            </w:r>
          </w:p>
        </w:tc>
        <w:tc>
          <w:tcPr>
            <w:tcW w:w="1510" w:type="dxa"/>
            <w:tcBorders>
              <w:top w:val="nil"/>
              <w:left w:val="nil"/>
              <w:bottom w:val="single" w:sz="4" w:space="0" w:color="auto"/>
              <w:right w:val="single" w:sz="4" w:space="0" w:color="auto"/>
            </w:tcBorders>
            <w:shd w:val="clear" w:color="auto" w:fill="auto"/>
            <w:noWrap/>
            <w:vAlign w:val="center"/>
            <w:hideMark/>
          </w:tcPr>
          <w:p w14:paraId="0511CD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70B14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F23F8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20AAC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£217.42</w:t>
            </w:r>
          </w:p>
        </w:tc>
      </w:tr>
      <w:tr w:rsidR="004433D7" w:rsidRPr="004433D7" w14:paraId="2C6C4D4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7768BB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510" w:type="dxa"/>
            <w:tcBorders>
              <w:top w:val="nil"/>
              <w:left w:val="nil"/>
              <w:bottom w:val="single" w:sz="4" w:space="0" w:color="auto"/>
              <w:right w:val="single" w:sz="4" w:space="0" w:color="auto"/>
            </w:tcBorders>
            <w:shd w:val="clear" w:color="auto" w:fill="auto"/>
            <w:noWrap/>
            <w:vAlign w:val="center"/>
            <w:hideMark/>
          </w:tcPr>
          <w:p w14:paraId="79DB1B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£313,103.78</w:t>
            </w:r>
          </w:p>
        </w:tc>
        <w:tc>
          <w:tcPr>
            <w:tcW w:w="1510" w:type="dxa"/>
            <w:tcBorders>
              <w:top w:val="nil"/>
              <w:left w:val="nil"/>
              <w:bottom w:val="single" w:sz="4" w:space="0" w:color="auto"/>
              <w:right w:val="single" w:sz="4" w:space="0" w:color="auto"/>
            </w:tcBorders>
            <w:shd w:val="clear" w:color="auto" w:fill="auto"/>
            <w:noWrap/>
            <w:vAlign w:val="center"/>
            <w:hideMark/>
          </w:tcPr>
          <w:p w14:paraId="65B497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£78,275.95</w:t>
            </w:r>
          </w:p>
        </w:tc>
        <w:tc>
          <w:tcPr>
            <w:tcW w:w="1510" w:type="dxa"/>
            <w:tcBorders>
              <w:top w:val="nil"/>
              <w:left w:val="nil"/>
              <w:bottom w:val="single" w:sz="4" w:space="0" w:color="auto"/>
              <w:right w:val="single" w:sz="4" w:space="0" w:color="auto"/>
            </w:tcBorders>
            <w:shd w:val="clear" w:color="auto" w:fill="auto"/>
            <w:noWrap/>
            <w:vAlign w:val="center"/>
            <w:hideMark/>
          </w:tcPr>
          <w:p w14:paraId="5C37DE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£78,275.95</w:t>
            </w:r>
          </w:p>
        </w:tc>
        <w:tc>
          <w:tcPr>
            <w:tcW w:w="1510" w:type="dxa"/>
            <w:tcBorders>
              <w:top w:val="nil"/>
              <w:left w:val="nil"/>
              <w:bottom w:val="single" w:sz="4" w:space="0" w:color="auto"/>
              <w:right w:val="single" w:sz="4" w:space="0" w:color="auto"/>
            </w:tcBorders>
            <w:shd w:val="clear" w:color="auto" w:fill="auto"/>
            <w:noWrap/>
            <w:vAlign w:val="center"/>
            <w:hideMark/>
          </w:tcPr>
          <w:p w14:paraId="666E8E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£78,275.95</w:t>
            </w:r>
          </w:p>
        </w:tc>
        <w:tc>
          <w:tcPr>
            <w:tcW w:w="1510" w:type="dxa"/>
            <w:tcBorders>
              <w:top w:val="nil"/>
              <w:left w:val="nil"/>
              <w:bottom w:val="single" w:sz="4" w:space="0" w:color="auto"/>
              <w:right w:val="single" w:sz="4" w:space="0" w:color="auto"/>
            </w:tcBorders>
            <w:shd w:val="clear" w:color="auto" w:fill="auto"/>
            <w:noWrap/>
            <w:vAlign w:val="center"/>
            <w:hideMark/>
          </w:tcPr>
          <w:p w14:paraId="3A6604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£78,275.95</w:t>
            </w:r>
          </w:p>
        </w:tc>
        <w:tc>
          <w:tcPr>
            <w:tcW w:w="1587" w:type="dxa"/>
            <w:tcBorders>
              <w:top w:val="nil"/>
              <w:left w:val="nil"/>
              <w:bottom w:val="single" w:sz="4" w:space="0" w:color="auto"/>
              <w:right w:val="single" w:sz="4" w:space="0" w:color="auto"/>
            </w:tcBorders>
            <w:shd w:val="clear" w:color="auto" w:fill="auto"/>
            <w:noWrap/>
            <w:vAlign w:val="center"/>
            <w:hideMark/>
          </w:tcPr>
          <w:p w14:paraId="76B582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£313,103.80</w:t>
            </w:r>
          </w:p>
        </w:tc>
      </w:tr>
      <w:tr w:rsidR="004433D7" w:rsidRPr="004433D7" w14:paraId="629A70A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DEA4B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Together Energy Supply Limited</w:t>
            </w:r>
          </w:p>
        </w:tc>
        <w:tc>
          <w:tcPr>
            <w:tcW w:w="1510" w:type="dxa"/>
            <w:tcBorders>
              <w:top w:val="nil"/>
              <w:left w:val="nil"/>
              <w:bottom w:val="single" w:sz="4" w:space="0" w:color="auto"/>
              <w:right w:val="single" w:sz="4" w:space="0" w:color="auto"/>
            </w:tcBorders>
            <w:shd w:val="clear" w:color="auto" w:fill="auto"/>
            <w:noWrap/>
            <w:vAlign w:val="center"/>
            <w:hideMark/>
          </w:tcPr>
          <w:p w14:paraId="6562ED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£411.55</w:t>
            </w:r>
          </w:p>
        </w:tc>
        <w:tc>
          <w:tcPr>
            <w:tcW w:w="1510" w:type="dxa"/>
            <w:tcBorders>
              <w:top w:val="nil"/>
              <w:left w:val="nil"/>
              <w:bottom w:val="single" w:sz="4" w:space="0" w:color="auto"/>
              <w:right w:val="single" w:sz="4" w:space="0" w:color="auto"/>
            </w:tcBorders>
            <w:shd w:val="clear" w:color="auto" w:fill="auto"/>
            <w:noWrap/>
            <w:vAlign w:val="center"/>
            <w:hideMark/>
          </w:tcPr>
          <w:p w14:paraId="1F2E13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£102.89</w:t>
            </w:r>
          </w:p>
        </w:tc>
        <w:tc>
          <w:tcPr>
            <w:tcW w:w="1510" w:type="dxa"/>
            <w:tcBorders>
              <w:top w:val="nil"/>
              <w:left w:val="nil"/>
              <w:bottom w:val="single" w:sz="4" w:space="0" w:color="auto"/>
              <w:right w:val="single" w:sz="4" w:space="0" w:color="auto"/>
            </w:tcBorders>
            <w:shd w:val="clear" w:color="auto" w:fill="auto"/>
            <w:noWrap/>
            <w:vAlign w:val="center"/>
            <w:hideMark/>
          </w:tcPr>
          <w:p w14:paraId="45A44E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£102.89</w:t>
            </w:r>
          </w:p>
        </w:tc>
        <w:tc>
          <w:tcPr>
            <w:tcW w:w="1510" w:type="dxa"/>
            <w:tcBorders>
              <w:top w:val="nil"/>
              <w:left w:val="nil"/>
              <w:bottom w:val="single" w:sz="4" w:space="0" w:color="auto"/>
              <w:right w:val="single" w:sz="4" w:space="0" w:color="auto"/>
            </w:tcBorders>
            <w:shd w:val="clear" w:color="auto" w:fill="auto"/>
            <w:noWrap/>
            <w:vAlign w:val="center"/>
            <w:hideMark/>
          </w:tcPr>
          <w:p w14:paraId="4B5D66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£102.89</w:t>
            </w:r>
          </w:p>
        </w:tc>
        <w:tc>
          <w:tcPr>
            <w:tcW w:w="1510" w:type="dxa"/>
            <w:tcBorders>
              <w:top w:val="nil"/>
              <w:left w:val="nil"/>
              <w:bottom w:val="single" w:sz="4" w:space="0" w:color="auto"/>
              <w:right w:val="single" w:sz="4" w:space="0" w:color="auto"/>
            </w:tcBorders>
            <w:shd w:val="clear" w:color="auto" w:fill="auto"/>
            <w:noWrap/>
            <w:vAlign w:val="center"/>
            <w:hideMark/>
          </w:tcPr>
          <w:p w14:paraId="593B87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£102.89</w:t>
            </w:r>
          </w:p>
        </w:tc>
        <w:tc>
          <w:tcPr>
            <w:tcW w:w="1587" w:type="dxa"/>
            <w:tcBorders>
              <w:top w:val="nil"/>
              <w:left w:val="nil"/>
              <w:bottom w:val="single" w:sz="4" w:space="0" w:color="auto"/>
              <w:right w:val="single" w:sz="4" w:space="0" w:color="auto"/>
            </w:tcBorders>
            <w:shd w:val="clear" w:color="auto" w:fill="auto"/>
            <w:noWrap/>
            <w:vAlign w:val="center"/>
            <w:hideMark/>
          </w:tcPr>
          <w:p w14:paraId="5BD3AC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£411.56</w:t>
            </w:r>
          </w:p>
        </w:tc>
      </w:tr>
      <w:tr w:rsidR="004433D7" w:rsidRPr="004433D7" w14:paraId="4A46FE7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E0612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0FFBEE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£101,067.75</w:t>
            </w:r>
          </w:p>
        </w:tc>
        <w:tc>
          <w:tcPr>
            <w:tcW w:w="1510" w:type="dxa"/>
            <w:tcBorders>
              <w:top w:val="nil"/>
              <w:left w:val="nil"/>
              <w:bottom w:val="single" w:sz="4" w:space="0" w:color="auto"/>
              <w:right w:val="single" w:sz="4" w:space="0" w:color="auto"/>
            </w:tcBorders>
            <w:shd w:val="clear" w:color="auto" w:fill="auto"/>
            <w:noWrap/>
            <w:vAlign w:val="center"/>
            <w:hideMark/>
          </w:tcPr>
          <w:p w14:paraId="4EFE92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£25,266.94</w:t>
            </w:r>
          </w:p>
        </w:tc>
        <w:tc>
          <w:tcPr>
            <w:tcW w:w="1510" w:type="dxa"/>
            <w:tcBorders>
              <w:top w:val="nil"/>
              <w:left w:val="nil"/>
              <w:bottom w:val="single" w:sz="4" w:space="0" w:color="auto"/>
              <w:right w:val="single" w:sz="4" w:space="0" w:color="auto"/>
            </w:tcBorders>
            <w:shd w:val="clear" w:color="auto" w:fill="auto"/>
            <w:noWrap/>
            <w:vAlign w:val="center"/>
            <w:hideMark/>
          </w:tcPr>
          <w:p w14:paraId="17359D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EFAE5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7A4808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387A63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£25,266.94</w:t>
            </w:r>
          </w:p>
        </w:tc>
      </w:tr>
      <w:tr w:rsidR="004433D7" w:rsidRPr="004433D7" w14:paraId="770D9F2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9DB99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5DE651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£3,479,197.29</w:t>
            </w:r>
          </w:p>
        </w:tc>
        <w:tc>
          <w:tcPr>
            <w:tcW w:w="1510" w:type="dxa"/>
            <w:tcBorders>
              <w:top w:val="nil"/>
              <w:left w:val="nil"/>
              <w:bottom w:val="single" w:sz="4" w:space="0" w:color="auto"/>
              <w:right w:val="single" w:sz="4" w:space="0" w:color="auto"/>
            </w:tcBorders>
            <w:shd w:val="clear" w:color="auto" w:fill="auto"/>
            <w:noWrap/>
            <w:vAlign w:val="center"/>
            <w:hideMark/>
          </w:tcPr>
          <w:p w14:paraId="67E439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£869,799.32</w:t>
            </w:r>
          </w:p>
        </w:tc>
        <w:tc>
          <w:tcPr>
            <w:tcW w:w="1510" w:type="dxa"/>
            <w:tcBorders>
              <w:top w:val="nil"/>
              <w:left w:val="nil"/>
              <w:bottom w:val="single" w:sz="4" w:space="0" w:color="auto"/>
              <w:right w:val="single" w:sz="4" w:space="0" w:color="auto"/>
            </w:tcBorders>
            <w:shd w:val="clear" w:color="auto" w:fill="auto"/>
            <w:noWrap/>
            <w:vAlign w:val="center"/>
            <w:hideMark/>
          </w:tcPr>
          <w:p w14:paraId="3973D8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£869,799.32</w:t>
            </w:r>
          </w:p>
        </w:tc>
        <w:tc>
          <w:tcPr>
            <w:tcW w:w="1510" w:type="dxa"/>
            <w:tcBorders>
              <w:top w:val="nil"/>
              <w:left w:val="nil"/>
              <w:bottom w:val="single" w:sz="4" w:space="0" w:color="auto"/>
              <w:right w:val="single" w:sz="4" w:space="0" w:color="auto"/>
            </w:tcBorders>
            <w:shd w:val="clear" w:color="auto" w:fill="auto"/>
            <w:noWrap/>
            <w:vAlign w:val="center"/>
            <w:hideMark/>
          </w:tcPr>
          <w:p w14:paraId="2C5151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£869,799.32</w:t>
            </w:r>
          </w:p>
        </w:tc>
        <w:tc>
          <w:tcPr>
            <w:tcW w:w="1510" w:type="dxa"/>
            <w:tcBorders>
              <w:top w:val="nil"/>
              <w:left w:val="nil"/>
              <w:bottom w:val="single" w:sz="4" w:space="0" w:color="auto"/>
              <w:right w:val="single" w:sz="4" w:space="0" w:color="auto"/>
            </w:tcBorders>
            <w:shd w:val="clear" w:color="auto" w:fill="auto"/>
            <w:noWrap/>
            <w:vAlign w:val="center"/>
            <w:hideMark/>
          </w:tcPr>
          <w:p w14:paraId="46A796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£869,799.32</w:t>
            </w:r>
          </w:p>
        </w:tc>
        <w:tc>
          <w:tcPr>
            <w:tcW w:w="1587" w:type="dxa"/>
            <w:tcBorders>
              <w:top w:val="nil"/>
              <w:left w:val="nil"/>
              <w:bottom w:val="single" w:sz="4" w:space="0" w:color="auto"/>
              <w:right w:val="single" w:sz="4" w:space="0" w:color="auto"/>
            </w:tcBorders>
            <w:shd w:val="clear" w:color="auto" w:fill="auto"/>
            <w:noWrap/>
            <w:vAlign w:val="center"/>
            <w:hideMark/>
          </w:tcPr>
          <w:p w14:paraId="263C6C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£3,479,197.28</w:t>
            </w:r>
          </w:p>
        </w:tc>
      </w:tr>
      <w:tr w:rsidR="004433D7" w:rsidRPr="004433D7" w14:paraId="63BA50A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0A09C7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Toucan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0C9EC1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£174.72</w:t>
            </w:r>
          </w:p>
        </w:tc>
        <w:tc>
          <w:tcPr>
            <w:tcW w:w="1510" w:type="dxa"/>
            <w:tcBorders>
              <w:top w:val="nil"/>
              <w:left w:val="nil"/>
              <w:bottom w:val="single" w:sz="4" w:space="0" w:color="auto"/>
              <w:right w:val="single" w:sz="4" w:space="0" w:color="auto"/>
            </w:tcBorders>
            <w:shd w:val="clear" w:color="auto" w:fill="auto"/>
            <w:noWrap/>
            <w:vAlign w:val="center"/>
            <w:hideMark/>
          </w:tcPr>
          <w:p w14:paraId="41769C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£174.72</w:t>
            </w:r>
          </w:p>
        </w:tc>
        <w:tc>
          <w:tcPr>
            <w:tcW w:w="1510" w:type="dxa"/>
            <w:tcBorders>
              <w:top w:val="nil"/>
              <w:left w:val="nil"/>
              <w:bottom w:val="single" w:sz="4" w:space="0" w:color="auto"/>
              <w:right w:val="single" w:sz="4" w:space="0" w:color="auto"/>
            </w:tcBorders>
            <w:shd w:val="clear" w:color="auto" w:fill="auto"/>
            <w:noWrap/>
            <w:vAlign w:val="center"/>
            <w:hideMark/>
          </w:tcPr>
          <w:p w14:paraId="7E4E37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9C473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096F2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59E93C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£174.72</w:t>
            </w:r>
          </w:p>
        </w:tc>
      </w:tr>
      <w:tr w:rsidR="004433D7" w:rsidRPr="004433D7" w14:paraId="4628673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B5D15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510" w:type="dxa"/>
            <w:tcBorders>
              <w:top w:val="nil"/>
              <w:left w:val="nil"/>
              <w:bottom w:val="single" w:sz="4" w:space="0" w:color="auto"/>
              <w:right w:val="single" w:sz="4" w:space="0" w:color="auto"/>
            </w:tcBorders>
            <w:shd w:val="clear" w:color="auto" w:fill="auto"/>
            <w:noWrap/>
            <w:vAlign w:val="center"/>
            <w:hideMark/>
          </w:tcPr>
          <w:p w14:paraId="432DD8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£239.17</w:t>
            </w:r>
          </w:p>
        </w:tc>
        <w:tc>
          <w:tcPr>
            <w:tcW w:w="1510" w:type="dxa"/>
            <w:tcBorders>
              <w:top w:val="nil"/>
              <w:left w:val="nil"/>
              <w:bottom w:val="single" w:sz="4" w:space="0" w:color="auto"/>
              <w:right w:val="single" w:sz="4" w:space="0" w:color="auto"/>
            </w:tcBorders>
            <w:shd w:val="clear" w:color="auto" w:fill="auto"/>
            <w:noWrap/>
            <w:vAlign w:val="center"/>
            <w:hideMark/>
          </w:tcPr>
          <w:p w14:paraId="50E2AE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£59.79</w:t>
            </w:r>
          </w:p>
        </w:tc>
        <w:tc>
          <w:tcPr>
            <w:tcW w:w="1510" w:type="dxa"/>
            <w:tcBorders>
              <w:top w:val="nil"/>
              <w:left w:val="nil"/>
              <w:bottom w:val="single" w:sz="4" w:space="0" w:color="auto"/>
              <w:right w:val="single" w:sz="4" w:space="0" w:color="auto"/>
            </w:tcBorders>
            <w:shd w:val="clear" w:color="auto" w:fill="auto"/>
            <w:noWrap/>
            <w:vAlign w:val="center"/>
            <w:hideMark/>
          </w:tcPr>
          <w:p w14:paraId="235C8E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£59.79</w:t>
            </w:r>
          </w:p>
        </w:tc>
        <w:tc>
          <w:tcPr>
            <w:tcW w:w="1510" w:type="dxa"/>
            <w:tcBorders>
              <w:top w:val="nil"/>
              <w:left w:val="nil"/>
              <w:bottom w:val="single" w:sz="4" w:space="0" w:color="auto"/>
              <w:right w:val="single" w:sz="4" w:space="0" w:color="auto"/>
            </w:tcBorders>
            <w:shd w:val="clear" w:color="auto" w:fill="auto"/>
            <w:noWrap/>
            <w:vAlign w:val="center"/>
            <w:hideMark/>
          </w:tcPr>
          <w:p w14:paraId="30D413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£59.79</w:t>
            </w:r>
          </w:p>
        </w:tc>
        <w:tc>
          <w:tcPr>
            <w:tcW w:w="1510" w:type="dxa"/>
            <w:tcBorders>
              <w:top w:val="nil"/>
              <w:left w:val="nil"/>
              <w:bottom w:val="single" w:sz="4" w:space="0" w:color="auto"/>
              <w:right w:val="single" w:sz="4" w:space="0" w:color="auto"/>
            </w:tcBorders>
            <w:shd w:val="clear" w:color="auto" w:fill="auto"/>
            <w:noWrap/>
            <w:vAlign w:val="center"/>
            <w:hideMark/>
          </w:tcPr>
          <w:p w14:paraId="52ECB7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£59.79</w:t>
            </w:r>
          </w:p>
        </w:tc>
        <w:tc>
          <w:tcPr>
            <w:tcW w:w="1587" w:type="dxa"/>
            <w:tcBorders>
              <w:top w:val="nil"/>
              <w:left w:val="nil"/>
              <w:bottom w:val="single" w:sz="4" w:space="0" w:color="auto"/>
              <w:right w:val="single" w:sz="4" w:space="0" w:color="auto"/>
            </w:tcBorders>
            <w:shd w:val="clear" w:color="auto" w:fill="auto"/>
            <w:noWrap/>
            <w:vAlign w:val="center"/>
            <w:hideMark/>
          </w:tcPr>
          <w:p w14:paraId="5E538B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£239.16</w:t>
            </w:r>
          </w:p>
        </w:tc>
      </w:tr>
      <w:tr w:rsidR="004433D7" w:rsidRPr="004433D7" w14:paraId="77DC1F3A"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0C4DA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Tru</w:t>
            </w:r>
            <w:proofErr w:type="spellEnd"/>
            <w:r w:rsidRPr="004433D7">
              <w:rPr>
                <w:rFonts w:eastAsia="Times New Roman" w:cs="Times New Roman"/>
                <w:color w:val="000000"/>
                <w:sz w:val="16"/>
                <w:szCs w:val="16"/>
              </w:rPr>
              <w:t xml:space="preserve">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4E0A9F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£4,769.34</w:t>
            </w:r>
          </w:p>
        </w:tc>
        <w:tc>
          <w:tcPr>
            <w:tcW w:w="1510" w:type="dxa"/>
            <w:tcBorders>
              <w:top w:val="nil"/>
              <w:left w:val="nil"/>
              <w:bottom w:val="single" w:sz="4" w:space="0" w:color="auto"/>
              <w:right w:val="single" w:sz="4" w:space="0" w:color="auto"/>
            </w:tcBorders>
            <w:shd w:val="clear" w:color="auto" w:fill="auto"/>
            <w:noWrap/>
            <w:vAlign w:val="center"/>
            <w:hideMark/>
          </w:tcPr>
          <w:p w14:paraId="08A09F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£1,192.33</w:t>
            </w:r>
          </w:p>
        </w:tc>
        <w:tc>
          <w:tcPr>
            <w:tcW w:w="1510" w:type="dxa"/>
            <w:tcBorders>
              <w:top w:val="nil"/>
              <w:left w:val="nil"/>
              <w:bottom w:val="single" w:sz="4" w:space="0" w:color="auto"/>
              <w:right w:val="single" w:sz="4" w:space="0" w:color="auto"/>
            </w:tcBorders>
            <w:shd w:val="clear" w:color="auto" w:fill="auto"/>
            <w:noWrap/>
            <w:vAlign w:val="center"/>
            <w:hideMark/>
          </w:tcPr>
          <w:p w14:paraId="150F69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£1,192.33</w:t>
            </w:r>
          </w:p>
        </w:tc>
        <w:tc>
          <w:tcPr>
            <w:tcW w:w="1510" w:type="dxa"/>
            <w:tcBorders>
              <w:top w:val="nil"/>
              <w:left w:val="nil"/>
              <w:bottom w:val="single" w:sz="4" w:space="0" w:color="auto"/>
              <w:right w:val="single" w:sz="4" w:space="0" w:color="auto"/>
            </w:tcBorders>
            <w:shd w:val="clear" w:color="auto" w:fill="auto"/>
            <w:noWrap/>
            <w:vAlign w:val="center"/>
            <w:hideMark/>
          </w:tcPr>
          <w:p w14:paraId="0B584A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£1,192.33</w:t>
            </w:r>
          </w:p>
        </w:tc>
        <w:tc>
          <w:tcPr>
            <w:tcW w:w="1510" w:type="dxa"/>
            <w:tcBorders>
              <w:top w:val="nil"/>
              <w:left w:val="nil"/>
              <w:bottom w:val="single" w:sz="4" w:space="0" w:color="auto"/>
              <w:right w:val="single" w:sz="4" w:space="0" w:color="auto"/>
            </w:tcBorders>
            <w:shd w:val="clear" w:color="auto" w:fill="auto"/>
            <w:noWrap/>
            <w:vAlign w:val="center"/>
            <w:hideMark/>
          </w:tcPr>
          <w:p w14:paraId="5521B9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£1,192.33</w:t>
            </w:r>
          </w:p>
        </w:tc>
        <w:tc>
          <w:tcPr>
            <w:tcW w:w="1587" w:type="dxa"/>
            <w:tcBorders>
              <w:top w:val="nil"/>
              <w:left w:val="nil"/>
              <w:bottom w:val="single" w:sz="4" w:space="0" w:color="auto"/>
              <w:right w:val="single" w:sz="4" w:space="0" w:color="auto"/>
            </w:tcBorders>
            <w:shd w:val="clear" w:color="auto" w:fill="auto"/>
            <w:noWrap/>
            <w:vAlign w:val="center"/>
            <w:hideMark/>
          </w:tcPr>
          <w:p w14:paraId="09E381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£4,769.32</w:t>
            </w:r>
          </w:p>
        </w:tc>
      </w:tr>
      <w:tr w:rsidR="004433D7" w:rsidRPr="004433D7" w14:paraId="22030DB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A6E60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UK Power Reserve Limited</w:t>
            </w:r>
          </w:p>
        </w:tc>
        <w:tc>
          <w:tcPr>
            <w:tcW w:w="1510" w:type="dxa"/>
            <w:tcBorders>
              <w:top w:val="nil"/>
              <w:left w:val="nil"/>
              <w:bottom w:val="single" w:sz="4" w:space="0" w:color="auto"/>
              <w:right w:val="single" w:sz="4" w:space="0" w:color="auto"/>
            </w:tcBorders>
            <w:shd w:val="clear" w:color="auto" w:fill="auto"/>
            <w:noWrap/>
            <w:vAlign w:val="center"/>
            <w:hideMark/>
          </w:tcPr>
          <w:p w14:paraId="67D3CB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£2,919.69</w:t>
            </w:r>
          </w:p>
        </w:tc>
        <w:tc>
          <w:tcPr>
            <w:tcW w:w="1510" w:type="dxa"/>
            <w:tcBorders>
              <w:top w:val="nil"/>
              <w:left w:val="nil"/>
              <w:bottom w:val="single" w:sz="4" w:space="0" w:color="auto"/>
              <w:right w:val="single" w:sz="4" w:space="0" w:color="auto"/>
            </w:tcBorders>
            <w:shd w:val="clear" w:color="auto" w:fill="auto"/>
            <w:noWrap/>
            <w:vAlign w:val="center"/>
            <w:hideMark/>
          </w:tcPr>
          <w:p w14:paraId="433C4E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£2,919.69</w:t>
            </w:r>
          </w:p>
        </w:tc>
        <w:tc>
          <w:tcPr>
            <w:tcW w:w="1510" w:type="dxa"/>
            <w:tcBorders>
              <w:top w:val="nil"/>
              <w:left w:val="nil"/>
              <w:bottom w:val="single" w:sz="4" w:space="0" w:color="auto"/>
              <w:right w:val="single" w:sz="4" w:space="0" w:color="auto"/>
            </w:tcBorders>
            <w:shd w:val="clear" w:color="auto" w:fill="auto"/>
            <w:noWrap/>
            <w:vAlign w:val="center"/>
            <w:hideMark/>
          </w:tcPr>
          <w:p w14:paraId="7B9B94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A965D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59EB1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03FD28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£2,919.69</w:t>
            </w:r>
          </w:p>
        </w:tc>
      </w:tr>
      <w:tr w:rsidR="004433D7" w:rsidRPr="004433D7" w14:paraId="7662488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3134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United Gas &amp; Power Ltd</w:t>
            </w:r>
          </w:p>
        </w:tc>
        <w:tc>
          <w:tcPr>
            <w:tcW w:w="1510" w:type="dxa"/>
            <w:tcBorders>
              <w:top w:val="nil"/>
              <w:left w:val="nil"/>
              <w:bottom w:val="single" w:sz="4" w:space="0" w:color="auto"/>
              <w:right w:val="single" w:sz="4" w:space="0" w:color="auto"/>
            </w:tcBorders>
            <w:shd w:val="clear" w:color="auto" w:fill="auto"/>
            <w:noWrap/>
            <w:vAlign w:val="center"/>
            <w:hideMark/>
          </w:tcPr>
          <w:p w14:paraId="7CABFD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£11,666.32</w:t>
            </w:r>
          </w:p>
        </w:tc>
        <w:tc>
          <w:tcPr>
            <w:tcW w:w="1510" w:type="dxa"/>
            <w:tcBorders>
              <w:top w:val="nil"/>
              <w:left w:val="nil"/>
              <w:bottom w:val="single" w:sz="4" w:space="0" w:color="auto"/>
              <w:right w:val="single" w:sz="4" w:space="0" w:color="auto"/>
            </w:tcBorders>
            <w:shd w:val="clear" w:color="auto" w:fill="auto"/>
            <w:noWrap/>
            <w:vAlign w:val="center"/>
            <w:hideMark/>
          </w:tcPr>
          <w:p w14:paraId="6D1830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£2,916.58</w:t>
            </w:r>
          </w:p>
        </w:tc>
        <w:tc>
          <w:tcPr>
            <w:tcW w:w="1510" w:type="dxa"/>
            <w:tcBorders>
              <w:top w:val="nil"/>
              <w:left w:val="nil"/>
              <w:bottom w:val="single" w:sz="4" w:space="0" w:color="auto"/>
              <w:right w:val="single" w:sz="4" w:space="0" w:color="auto"/>
            </w:tcBorders>
            <w:shd w:val="clear" w:color="auto" w:fill="auto"/>
            <w:noWrap/>
            <w:vAlign w:val="center"/>
            <w:hideMark/>
          </w:tcPr>
          <w:p w14:paraId="540FF2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£2,916.58</w:t>
            </w:r>
          </w:p>
        </w:tc>
        <w:tc>
          <w:tcPr>
            <w:tcW w:w="1510" w:type="dxa"/>
            <w:tcBorders>
              <w:top w:val="nil"/>
              <w:left w:val="nil"/>
              <w:bottom w:val="single" w:sz="4" w:space="0" w:color="auto"/>
              <w:right w:val="single" w:sz="4" w:space="0" w:color="auto"/>
            </w:tcBorders>
            <w:shd w:val="clear" w:color="auto" w:fill="auto"/>
            <w:noWrap/>
            <w:vAlign w:val="center"/>
            <w:hideMark/>
          </w:tcPr>
          <w:p w14:paraId="02DCC5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£2,916.58</w:t>
            </w:r>
          </w:p>
        </w:tc>
        <w:tc>
          <w:tcPr>
            <w:tcW w:w="1510" w:type="dxa"/>
            <w:tcBorders>
              <w:top w:val="nil"/>
              <w:left w:val="nil"/>
              <w:bottom w:val="single" w:sz="4" w:space="0" w:color="auto"/>
              <w:right w:val="single" w:sz="4" w:space="0" w:color="auto"/>
            </w:tcBorders>
            <w:shd w:val="clear" w:color="auto" w:fill="auto"/>
            <w:noWrap/>
            <w:vAlign w:val="center"/>
            <w:hideMark/>
          </w:tcPr>
          <w:p w14:paraId="6A82B8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£2,916.58</w:t>
            </w:r>
          </w:p>
        </w:tc>
        <w:tc>
          <w:tcPr>
            <w:tcW w:w="1587" w:type="dxa"/>
            <w:tcBorders>
              <w:top w:val="nil"/>
              <w:left w:val="nil"/>
              <w:bottom w:val="single" w:sz="4" w:space="0" w:color="auto"/>
              <w:right w:val="single" w:sz="4" w:space="0" w:color="auto"/>
            </w:tcBorders>
            <w:shd w:val="clear" w:color="auto" w:fill="auto"/>
            <w:noWrap/>
            <w:vAlign w:val="center"/>
            <w:hideMark/>
          </w:tcPr>
          <w:p w14:paraId="33E1BE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£11,666.32</w:t>
            </w:r>
          </w:p>
        </w:tc>
      </w:tr>
      <w:tr w:rsidR="004433D7" w:rsidRPr="004433D7" w14:paraId="1AFA8DA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85D69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 </w:t>
            </w:r>
          </w:p>
        </w:tc>
        <w:tc>
          <w:tcPr>
            <w:tcW w:w="1510" w:type="dxa"/>
            <w:tcBorders>
              <w:top w:val="nil"/>
              <w:left w:val="nil"/>
              <w:bottom w:val="single" w:sz="4" w:space="0" w:color="auto"/>
              <w:right w:val="single" w:sz="4" w:space="0" w:color="auto"/>
            </w:tcBorders>
            <w:shd w:val="clear" w:color="auto" w:fill="auto"/>
            <w:noWrap/>
            <w:vAlign w:val="center"/>
            <w:hideMark/>
          </w:tcPr>
          <w:p w14:paraId="308512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£884,244.20</w:t>
            </w:r>
          </w:p>
        </w:tc>
        <w:tc>
          <w:tcPr>
            <w:tcW w:w="1510" w:type="dxa"/>
            <w:tcBorders>
              <w:top w:val="nil"/>
              <w:left w:val="nil"/>
              <w:bottom w:val="single" w:sz="4" w:space="0" w:color="auto"/>
              <w:right w:val="single" w:sz="4" w:space="0" w:color="auto"/>
            </w:tcBorders>
            <w:shd w:val="clear" w:color="auto" w:fill="auto"/>
            <w:noWrap/>
            <w:vAlign w:val="center"/>
            <w:hideMark/>
          </w:tcPr>
          <w:p w14:paraId="7C2A51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£221,061.05</w:t>
            </w:r>
          </w:p>
        </w:tc>
        <w:tc>
          <w:tcPr>
            <w:tcW w:w="1510" w:type="dxa"/>
            <w:tcBorders>
              <w:top w:val="nil"/>
              <w:left w:val="nil"/>
              <w:bottom w:val="single" w:sz="4" w:space="0" w:color="auto"/>
              <w:right w:val="single" w:sz="4" w:space="0" w:color="auto"/>
            </w:tcBorders>
            <w:shd w:val="clear" w:color="auto" w:fill="auto"/>
            <w:noWrap/>
            <w:vAlign w:val="center"/>
            <w:hideMark/>
          </w:tcPr>
          <w:p w14:paraId="7E915F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£221,061.05</w:t>
            </w:r>
          </w:p>
        </w:tc>
        <w:tc>
          <w:tcPr>
            <w:tcW w:w="1510" w:type="dxa"/>
            <w:tcBorders>
              <w:top w:val="nil"/>
              <w:left w:val="nil"/>
              <w:bottom w:val="single" w:sz="4" w:space="0" w:color="auto"/>
              <w:right w:val="single" w:sz="4" w:space="0" w:color="auto"/>
            </w:tcBorders>
            <w:shd w:val="clear" w:color="auto" w:fill="auto"/>
            <w:noWrap/>
            <w:vAlign w:val="center"/>
            <w:hideMark/>
          </w:tcPr>
          <w:p w14:paraId="2A100B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£221,061.05</w:t>
            </w:r>
          </w:p>
        </w:tc>
        <w:tc>
          <w:tcPr>
            <w:tcW w:w="1510" w:type="dxa"/>
            <w:tcBorders>
              <w:top w:val="nil"/>
              <w:left w:val="nil"/>
              <w:bottom w:val="single" w:sz="4" w:space="0" w:color="auto"/>
              <w:right w:val="single" w:sz="4" w:space="0" w:color="auto"/>
            </w:tcBorders>
            <w:shd w:val="clear" w:color="auto" w:fill="auto"/>
            <w:noWrap/>
            <w:vAlign w:val="center"/>
            <w:hideMark/>
          </w:tcPr>
          <w:p w14:paraId="4495E2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£221,061.05</w:t>
            </w:r>
          </w:p>
        </w:tc>
        <w:tc>
          <w:tcPr>
            <w:tcW w:w="1587" w:type="dxa"/>
            <w:tcBorders>
              <w:top w:val="nil"/>
              <w:left w:val="nil"/>
              <w:bottom w:val="single" w:sz="4" w:space="0" w:color="auto"/>
              <w:right w:val="single" w:sz="4" w:space="0" w:color="auto"/>
            </w:tcBorders>
            <w:shd w:val="clear" w:color="auto" w:fill="auto"/>
            <w:noWrap/>
            <w:vAlign w:val="center"/>
            <w:hideMark/>
          </w:tcPr>
          <w:p w14:paraId="450CE6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£884,244.20</w:t>
            </w:r>
          </w:p>
        </w:tc>
      </w:tr>
      <w:tr w:rsidR="004433D7" w:rsidRPr="004433D7" w14:paraId="0E75913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18535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Utility Point Limited</w:t>
            </w:r>
          </w:p>
        </w:tc>
        <w:tc>
          <w:tcPr>
            <w:tcW w:w="1510" w:type="dxa"/>
            <w:tcBorders>
              <w:top w:val="nil"/>
              <w:left w:val="nil"/>
              <w:bottom w:val="single" w:sz="4" w:space="0" w:color="auto"/>
              <w:right w:val="single" w:sz="4" w:space="0" w:color="auto"/>
            </w:tcBorders>
            <w:shd w:val="clear" w:color="auto" w:fill="auto"/>
            <w:noWrap/>
            <w:vAlign w:val="center"/>
            <w:hideMark/>
          </w:tcPr>
          <w:p w14:paraId="554157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£58,222.12</w:t>
            </w:r>
          </w:p>
        </w:tc>
        <w:tc>
          <w:tcPr>
            <w:tcW w:w="1510" w:type="dxa"/>
            <w:tcBorders>
              <w:top w:val="nil"/>
              <w:left w:val="nil"/>
              <w:bottom w:val="single" w:sz="4" w:space="0" w:color="auto"/>
              <w:right w:val="single" w:sz="4" w:space="0" w:color="auto"/>
            </w:tcBorders>
            <w:shd w:val="clear" w:color="auto" w:fill="auto"/>
            <w:noWrap/>
            <w:vAlign w:val="center"/>
            <w:hideMark/>
          </w:tcPr>
          <w:p w14:paraId="46D87D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£14,555.53</w:t>
            </w:r>
          </w:p>
        </w:tc>
        <w:tc>
          <w:tcPr>
            <w:tcW w:w="1510" w:type="dxa"/>
            <w:tcBorders>
              <w:top w:val="nil"/>
              <w:left w:val="nil"/>
              <w:bottom w:val="single" w:sz="4" w:space="0" w:color="auto"/>
              <w:right w:val="single" w:sz="4" w:space="0" w:color="auto"/>
            </w:tcBorders>
            <w:shd w:val="clear" w:color="auto" w:fill="auto"/>
            <w:noWrap/>
            <w:vAlign w:val="center"/>
            <w:hideMark/>
          </w:tcPr>
          <w:p w14:paraId="7A45A2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£14,555.53</w:t>
            </w:r>
          </w:p>
        </w:tc>
        <w:tc>
          <w:tcPr>
            <w:tcW w:w="1510" w:type="dxa"/>
            <w:tcBorders>
              <w:top w:val="nil"/>
              <w:left w:val="nil"/>
              <w:bottom w:val="single" w:sz="4" w:space="0" w:color="auto"/>
              <w:right w:val="single" w:sz="4" w:space="0" w:color="auto"/>
            </w:tcBorders>
            <w:shd w:val="clear" w:color="auto" w:fill="auto"/>
            <w:noWrap/>
            <w:vAlign w:val="center"/>
            <w:hideMark/>
          </w:tcPr>
          <w:p w14:paraId="5C843C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£14,555.53</w:t>
            </w:r>
          </w:p>
        </w:tc>
        <w:tc>
          <w:tcPr>
            <w:tcW w:w="1510" w:type="dxa"/>
            <w:tcBorders>
              <w:top w:val="nil"/>
              <w:left w:val="nil"/>
              <w:bottom w:val="single" w:sz="4" w:space="0" w:color="auto"/>
              <w:right w:val="single" w:sz="4" w:space="0" w:color="auto"/>
            </w:tcBorders>
            <w:shd w:val="clear" w:color="auto" w:fill="auto"/>
            <w:noWrap/>
            <w:vAlign w:val="center"/>
            <w:hideMark/>
          </w:tcPr>
          <w:p w14:paraId="581EC2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£14,555.53</w:t>
            </w:r>
          </w:p>
        </w:tc>
        <w:tc>
          <w:tcPr>
            <w:tcW w:w="1587" w:type="dxa"/>
            <w:tcBorders>
              <w:top w:val="nil"/>
              <w:left w:val="nil"/>
              <w:bottom w:val="single" w:sz="4" w:space="0" w:color="auto"/>
              <w:right w:val="single" w:sz="4" w:space="0" w:color="auto"/>
            </w:tcBorders>
            <w:shd w:val="clear" w:color="auto" w:fill="auto"/>
            <w:noWrap/>
            <w:vAlign w:val="center"/>
            <w:hideMark/>
          </w:tcPr>
          <w:p w14:paraId="2F2A8D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£58,222.12</w:t>
            </w:r>
          </w:p>
        </w:tc>
      </w:tr>
      <w:tr w:rsidR="004433D7" w:rsidRPr="004433D7" w14:paraId="7373DEE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F51D85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Vattenfall Energy Trading GmbH</w:t>
            </w:r>
          </w:p>
        </w:tc>
        <w:tc>
          <w:tcPr>
            <w:tcW w:w="1510" w:type="dxa"/>
            <w:tcBorders>
              <w:top w:val="nil"/>
              <w:left w:val="nil"/>
              <w:bottom w:val="single" w:sz="4" w:space="0" w:color="auto"/>
              <w:right w:val="single" w:sz="4" w:space="0" w:color="auto"/>
            </w:tcBorders>
            <w:shd w:val="clear" w:color="auto" w:fill="auto"/>
            <w:noWrap/>
            <w:vAlign w:val="center"/>
            <w:hideMark/>
          </w:tcPr>
          <w:p w14:paraId="11E502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£52.03</w:t>
            </w:r>
          </w:p>
        </w:tc>
        <w:tc>
          <w:tcPr>
            <w:tcW w:w="1510" w:type="dxa"/>
            <w:tcBorders>
              <w:top w:val="nil"/>
              <w:left w:val="nil"/>
              <w:bottom w:val="single" w:sz="4" w:space="0" w:color="auto"/>
              <w:right w:val="single" w:sz="4" w:space="0" w:color="auto"/>
            </w:tcBorders>
            <w:shd w:val="clear" w:color="auto" w:fill="auto"/>
            <w:noWrap/>
            <w:vAlign w:val="center"/>
            <w:hideMark/>
          </w:tcPr>
          <w:p w14:paraId="199B0F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£52.03</w:t>
            </w:r>
          </w:p>
        </w:tc>
        <w:tc>
          <w:tcPr>
            <w:tcW w:w="1510" w:type="dxa"/>
            <w:tcBorders>
              <w:top w:val="nil"/>
              <w:left w:val="nil"/>
              <w:bottom w:val="single" w:sz="4" w:space="0" w:color="auto"/>
              <w:right w:val="single" w:sz="4" w:space="0" w:color="auto"/>
            </w:tcBorders>
            <w:shd w:val="clear" w:color="auto" w:fill="auto"/>
            <w:noWrap/>
            <w:vAlign w:val="center"/>
            <w:hideMark/>
          </w:tcPr>
          <w:p w14:paraId="6CB71D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47EAE3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193762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7CC6D8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£52.03</w:t>
            </w:r>
          </w:p>
        </w:tc>
      </w:tr>
      <w:tr w:rsidR="004433D7" w:rsidRPr="004433D7" w14:paraId="1F9549F3"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3A63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Wilton Energy Limited</w:t>
            </w:r>
          </w:p>
        </w:tc>
        <w:tc>
          <w:tcPr>
            <w:tcW w:w="1510" w:type="dxa"/>
            <w:tcBorders>
              <w:top w:val="nil"/>
              <w:left w:val="nil"/>
              <w:bottom w:val="single" w:sz="4" w:space="0" w:color="auto"/>
              <w:right w:val="single" w:sz="4" w:space="0" w:color="auto"/>
            </w:tcBorders>
            <w:shd w:val="clear" w:color="auto" w:fill="auto"/>
            <w:noWrap/>
            <w:vAlign w:val="center"/>
            <w:hideMark/>
          </w:tcPr>
          <w:p w14:paraId="3DFBEF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£26,646.02</w:t>
            </w:r>
          </w:p>
        </w:tc>
        <w:tc>
          <w:tcPr>
            <w:tcW w:w="1510" w:type="dxa"/>
            <w:tcBorders>
              <w:top w:val="nil"/>
              <w:left w:val="nil"/>
              <w:bottom w:val="single" w:sz="4" w:space="0" w:color="auto"/>
              <w:right w:val="single" w:sz="4" w:space="0" w:color="auto"/>
            </w:tcBorders>
            <w:shd w:val="clear" w:color="auto" w:fill="auto"/>
            <w:noWrap/>
            <w:vAlign w:val="center"/>
            <w:hideMark/>
          </w:tcPr>
          <w:p w14:paraId="051610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£26,646.02</w:t>
            </w:r>
          </w:p>
        </w:tc>
        <w:tc>
          <w:tcPr>
            <w:tcW w:w="1510" w:type="dxa"/>
            <w:tcBorders>
              <w:top w:val="nil"/>
              <w:left w:val="nil"/>
              <w:bottom w:val="single" w:sz="4" w:space="0" w:color="auto"/>
              <w:right w:val="single" w:sz="4" w:space="0" w:color="auto"/>
            </w:tcBorders>
            <w:shd w:val="clear" w:color="auto" w:fill="auto"/>
            <w:noWrap/>
            <w:vAlign w:val="center"/>
            <w:hideMark/>
          </w:tcPr>
          <w:p w14:paraId="3A7CB1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CAE2B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0C70B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0F21D2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£26,646.02</w:t>
            </w:r>
          </w:p>
        </w:tc>
      </w:tr>
      <w:tr w:rsidR="004433D7" w:rsidRPr="004433D7" w14:paraId="49076BC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42B3C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Zebra Power Limited</w:t>
            </w:r>
          </w:p>
        </w:tc>
        <w:tc>
          <w:tcPr>
            <w:tcW w:w="1510" w:type="dxa"/>
            <w:tcBorders>
              <w:top w:val="nil"/>
              <w:left w:val="nil"/>
              <w:bottom w:val="single" w:sz="4" w:space="0" w:color="auto"/>
              <w:right w:val="single" w:sz="4" w:space="0" w:color="auto"/>
            </w:tcBorders>
            <w:shd w:val="clear" w:color="auto" w:fill="auto"/>
            <w:noWrap/>
            <w:vAlign w:val="center"/>
            <w:hideMark/>
          </w:tcPr>
          <w:p w14:paraId="42F71A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£10,173.09</w:t>
            </w:r>
          </w:p>
        </w:tc>
        <w:tc>
          <w:tcPr>
            <w:tcW w:w="1510" w:type="dxa"/>
            <w:tcBorders>
              <w:top w:val="nil"/>
              <w:left w:val="nil"/>
              <w:bottom w:val="single" w:sz="4" w:space="0" w:color="auto"/>
              <w:right w:val="single" w:sz="4" w:space="0" w:color="auto"/>
            </w:tcBorders>
            <w:shd w:val="clear" w:color="auto" w:fill="auto"/>
            <w:noWrap/>
            <w:vAlign w:val="center"/>
            <w:hideMark/>
          </w:tcPr>
          <w:p w14:paraId="1CBDB8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£26,826.00</w:t>
            </w:r>
          </w:p>
        </w:tc>
        <w:tc>
          <w:tcPr>
            <w:tcW w:w="1510" w:type="dxa"/>
            <w:tcBorders>
              <w:top w:val="nil"/>
              <w:left w:val="nil"/>
              <w:bottom w:val="single" w:sz="4" w:space="0" w:color="auto"/>
              <w:right w:val="single" w:sz="4" w:space="0" w:color="auto"/>
            </w:tcBorders>
            <w:shd w:val="clear" w:color="auto" w:fill="auto"/>
            <w:noWrap/>
            <w:vAlign w:val="center"/>
            <w:hideMark/>
          </w:tcPr>
          <w:p w14:paraId="355F4F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2475CE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10" w:type="dxa"/>
            <w:tcBorders>
              <w:top w:val="nil"/>
              <w:left w:val="nil"/>
              <w:bottom w:val="single" w:sz="4" w:space="0" w:color="auto"/>
              <w:right w:val="single" w:sz="4" w:space="0" w:color="auto"/>
            </w:tcBorders>
            <w:shd w:val="clear" w:color="auto" w:fill="auto"/>
            <w:noWrap/>
            <w:vAlign w:val="center"/>
            <w:hideMark/>
          </w:tcPr>
          <w:p w14:paraId="566DB1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87" w:type="dxa"/>
            <w:tcBorders>
              <w:top w:val="nil"/>
              <w:left w:val="nil"/>
              <w:bottom w:val="single" w:sz="4" w:space="0" w:color="auto"/>
              <w:right w:val="single" w:sz="4" w:space="0" w:color="auto"/>
            </w:tcBorders>
            <w:shd w:val="clear" w:color="auto" w:fill="auto"/>
            <w:noWrap/>
            <w:vAlign w:val="center"/>
            <w:hideMark/>
          </w:tcPr>
          <w:p w14:paraId="493D20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£26,826.00</w:t>
            </w:r>
          </w:p>
        </w:tc>
      </w:tr>
      <w:tr w:rsidR="004433D7" w:rsidRPr="004433D7" w14:paraId="065DD22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2363AF"/>
            <w:noWrap/>
            <w:vAlign w:val="center"/>
            <w:hideMark/>
          </w:tcPr>
          <w:p w14:paraId="3CBEBBE9"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510" w:type="dxa"/>
            <w:tcBorders>
              <w:top w:val="nil"/>
              <w:left w:val="nil"/>
              <w:bottom w:val="single" w:sz="4" w:space="0" w:color="auto"/>
              <w:right w:val="single" w:sz="4" w:space="0" w:color="auto"/>
            </w:tcBorders>
            <w:shd w:val="clear" w:color="auto" w:fill="2363AF"/>
            <w:noWrap/>
            <w:vAlign w:val="center"/>
            <w:hideMark/>
          </w:tcPr>
          <w:p w14:paraId="7C3BB4D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£88,104,505.42</w:t>
            </w:r>
          </w:p>
        </w:tc>
        <w:tc>
          <w:tcPr>
            <w:tcW w:w="1510" w:type="dxa"/>
            <w:tcBorders>
              <w:top w:val="nil"/>
              <w:left w:val="nil"/>
              <w:bottom w:val="single" w:sz="4" w:space="0" w:color="auto"/>
              <w:right w:val="single" w:sz="4" w:space="0" w:color="auto"/>
            </w:tcBorders>
            <w:shd w:val="clear" w:color="auto" w:fill="2363AF"/>
            <w:noWrap/>
            <w:vAlign w:val="center"/>
            <w:hideMark/>
          </w:tcPr>
          <w:p w14:paraId="19952B65"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£22,468,934.14</w:t>
            </w:r>
          </w:p>
        </w:tc>
        <w:tc>
          <w:tcPr>
            <w:tcW w:w="1510" w:type="dxa"/>
            <w:tcBorders>
              <w:top w:val="nil"/>
              <w:left w:val="nil"/>
              <w:bottom w:val="single" w:sz="4" w:space="0" w:color="auto"/>
              <w:right w:val="single" w:sz="4" w:space="0" w:color="auto"/>
            </w:tcBorders>
            <w:shd w:val="clear" w:color="auto" w:fill="2363AF"/>
            <w:noWrap/>
            <w:vAlign w:val="center"/>
            <w:hideMark/>
          </w:tcPr>
          <w:p w14:paraId="0AAE7745"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£21,899,017.90</w:t>
            </w:r>
          </w:p>
        </w:tc>
        <w:tc>
          <w:tcPr>
            <w:tcW w:w="1510" w:type="dxa"/>
            <w:tcBorders>
              <w:top w:val="nil"/>
              <w:left w:val="nil"/>
              <w:bottom w:val="single" w:sz="4" w:space="0" w:color="auto"/>
              <w:right w:val="single" w:sz="4" w:space="0" w:color="auto"/>
            </w:tcBorders>
            <w:shd w:val="clear" w:color="auto" w:fill="2363AF"/>
            <w:noWrap/>
            <w:vAlign w:val="center"/>
            <w:hideMark/>
          </w:tcPr>
          <w:p w14:paraId="622240AC"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£21,774,592.16</w:t>
            </w:r>
          </w:p>
        </w:tc>
        <w:tc>
          <w:tcPr>
            <w:tcW w:w="1510" w:type="dxa"/>
            <w:tcBorders>
              <w:top w:val="nil"/>
              <w:left w:val="nil"/>
              <w:bottom w:val="single" w:sz="4" w:space="0" w:color="auto"/>
              <w:right w:val="single" w:sz="4" w:space="0" w:color="auto"/>
            </w:tcBorders>
            <w:shd w:val="clear" w:color="auto" w:fill="2363AF"/>
            <w:noWrap/>
            <w:vAlign w:val="center"/>
            <w:hideMark/>
          </w:tcPr>
          <w:p w14:paraId="5717DF9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£21,758,187.43</w:t>
            </w:r>
          </w:p>
        </w:tc>
        <w:tc>
          <w:tcPr>
            <w:tcW w:w="1587" w:type="dxa"/>
            <w:tcBorders>
              <w:top w:val="nil"/>
              <w:left w:val="nil"/>
              <w:bottom w:val="single" w:sz="4" w:space="0" w:color="auto"/>
              <w:right w:val="single" w:sz="4" w:space="0" w:color="auto"/>
            </w:tcBorders>
            <w:shd w:val="clear" w:color="auto" w:fill="2363AF"/>
            <w:noWrap/>
            <w:vAlign w:val="center"/>
            <w:hideMark/>
          </w:tcPr>
          <w:p w14:paraId="49E8E31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£87,900,731.62</w:t>
            </w:r>
          </w:p>
        </w:tc>
      </w:tr>
    </w:tbl>
    <w:p w14:paraId="7C9A67F5" w14:textId="77777777" w:rsidR="00EE4D96" w:rsidRDefault="00EE4D96">
      <w:pPr>
        <w:spacing w:line="276" w:lineRule="auto"/>
        <w:rPr>
          <w:rFonts w:cstheme="minorHAnsi"/>
        </w:rPr>
      </w:pPr>
    </w:p>
    <w:p w14:paraId="0A043809" w14:textId="77777777" w:rsidR="00EE4D96" w:rsidRDefault="00EE4D96">
      <w:pPr>
        <w:spacing w:line="276" w:lineRule="auto"/>
        <w:rPr>
          <w:rFonts w:cstheme="minorHAnsi"/>
        </w:rPr>
      </w:pPr>
      <w:r>
        <w:rPr>
          <w:rFonts w:cstheme="minorHAnsi"/>
        </w:rPr>
        <w:br w:type="page"/>
      </w:r>
    </w:p>
    <w:p w14:paraId="48A25A53" w14:textId="4EE16CD9" w:rsidR="00EE4D96" w:rsidRDefault="00EE4D96" w:rsidP="00EE4D96">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sidR="00017E6B">
        <w:rPr>
          <w:rFonts w:eastAsiaTheme="minorEastAsia"/>
          <w:b/>
          <w:color w:val="000000" w:themeColor="text1"/>
        </w:rPr>
        <w:t>4</w:t>
      </w:r>
      <w:r w:rsidRPr="006B3AC6">
        <w:rPr>
          <w:rFonts w:eastAsiaTheme="minorEastAsia"/>
          <w:b/>
          <w:color w:val="000000" w:themeColor="text1"/>
        </w:rPr>
        <w:t xml:space="preserve">: </w:t>
      </w:r>
      <w:r>
        <w:rPr>
          <w:rFonts w:eastAsiaTheme="minorEastAsia"/>
          <w:b/>
          <w:color w:val="000000" w:themeColor="text1"/>
        </w:rPr>
        <w:t>ROS mutualisation payments received</w:t>
      </w:r>
      <w:r w:rsidR="00F741F5">
        <w:rPr>
          <w:rStyle w:val="FootnoteReference"/>
          <w:rFonts w:eastAsiaTheme="minorEastAsia"/>
          <w:b/>
          <w:color w:val="000000" w:themeColor="text1"/>
        </w:rPr>
        <w:footnoteReference w:id="107"/>
      </w:r>
      <w:r>
        <w:rPr>
          <w:rFonts w:eastAsiaTheme="minorEastAsia"/>
          <w:b/>
          <w:color w:val="000000" w:themeColor="text1"/>
        </w:rPr>
        <w:t xml:space="preserve"> 2018-19</w:t>
      </w:r>
    </w:p>
    <w:tbl>
      <w:tblPr>
        <w:tblW w:w="10462" w:type="dxa"/>
        <w:tblInd w:w="-289" w:type="dxa"/>
        <w:tblLook w:val="04A0" w:firstRow="1" w:lastRow="0" w:firstColumn="1" w:lastColumn="0" w:noHBand="0" w:noVBand="1"/>
      </w:tblPr>
      <w:tblGrid>
        <w:gridCol w:w="1560"/>
        <w:gridCol w:w="1418"/>
        <w:gridCol w:w="1417"/>
        <w:gridCol w:w="1559"/>
        <w:gridCol w:w="1418"/>
        <w:gridCol w:w="1559"/>
        <w:gridCol w:w="1531"/>
      </w:tblGrid>
      <w:tr w:rsidR="004433D7" w:rsidRPr="004433D7" w14:paraId="3CF07113" w14:textId="77777777" w:rsidTr="00780608">
        <w:trPr>
          <w:trHeight w:val="420"/>
          <w:tblHeader/>
        </w:trPr>
        <w:tc>
          <w:tcPr>
            <w:tcW w:w="1560"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29CF9A60"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418" w:type="dxa"/>
            <w:tcBorders>
              <w:top w:val="single" w:sz="4" w:space="0" w:color="auto"/>
              <w:left w:val="nil"/>
              <w:bottom w:val="single" w:sz="4" w:space="0" w:color="auto"/>
              <w:right w:val="single" w:sz="4" w:space="0" w:color="auto"/>
            </w:tcBorders>
            <w:shd w:val="clear" w:color="auto" w:fill="2363AF"/>
            <w:vAlign w:val="center"/>
            <w:hideMark/>
          </w:tcPr>
          <w:p w14:paraId="1C6213D1"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Amount due</w:t>
            </w:r>
          </w:p>
        </w:tc>
        <w:tc>
          <w:tcPr>
            <w:tcW w:w="1417" w:type="dxa"/>
            <w:tcBorders>
              <w:top w:val="single" w:sz="4" w:space="0" w:color="auto"/>
              <w:left w:val="nil"/>
              <w:bottom w:val="single" w:sz="4" w:space="0" w:color="auto"/>
              <w:right w:val="single" w:sz="4" w:space="0" w:color="auto"/>
            </w:tcBorders>
            <w:shd w:val="clear" w:color="auto" w:fill="2363AF"/>
            <w:vAlign w:val="center"/>
            <w:hideMark/>
          </w:tcPr>
          <w:p w14:paraId="799F029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Q1</w:t>
            </w:r>
            <w:r w:rsidRPr="004433D7">
              <w:rPr>
                <w:rFonts w:eastAsia="Times New Roman" w:cs="Times New Roman"/>
                <w:color w:val="FFFFFF"/>
                <w:sz w:val="16"/>
                <w:szCs w:val="16"/>
              </w:rPr>
              <w:br/>
              <w:t>Payment received</w:t>
            </w:r>
          </w:p>
        </w:tc>
        <w:tc>
          <w:tcPr>
            <w:tcW w:w="1559" w:type="dxa"/>
            <w:tcBorders>
              <w:top w:val="single" w:sz="4" w:space="0" w:color="auto"/>
              <w:left w:val="nil"/>
              <w:bottom w:val="single" w:sz="4" w:space="0" w:color="auto"/>
              <w:right w:val="single" w:sz="4" w:space="0" w:color="auto"/>
            </w:tcBorders>
            <w:shd w:val="clear" w:color="auto" w:fill="2363AF"/>
            <w:vAlign w:val="center"/>
            <w:hideMark/>
          </w:tcPr>
          <w:p w14:paraId="6432D6C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Q2</w:t>
            </w:r>
            <w:r w:rsidRPr="004433D7">
              <w:rPr>
                <w:rFonts w:eastAsia="Times New Roman" w:cs="Times New Roman"/>
                <w:color w:val="FFFFFF"/>
                <w:sz w:val="16"/>
                <w:szCs w:val="16"/>
              </w:rPr>
              <w:br/>
              <w:t>Payment received</w:t>
            </w:r>
          </w:p>
        </w:tc>
        <w:tc>
          <w:tcPr>
            <w:tcW w:w="1418" w:type="dxa"/>
            <w:tcBorders>
              <w:top w:val="single" w:sz="4" w:space="0" w:color="auto"/>
              <w:left w:val="nil"/>
              <w:bottom w:val="single" w:sz="4" w:space="0" w:color="auto"/>
              <w:right w:val="single" w:sz="4" w:space="0" w:color="auto"/>
            </w:tcBorders>
            <w:shd w:val="clear" w:color="auto" w:fill="2363AF"/>
            <w:vAlign w:val="center"/>
            <w:hideMark/>
          </w:tcPr>
          <w:p w14:paraId="0D67A489"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Q3</w:t>
            </w:r>
            <w:r w:rsidRPr="004433D7">
              <w:rPr>
                <w:rFonts w:eastAsia="Times New Roman" w:cs="Times New Roman"/>
                <w:color w:val="FFFFFF"/>
                <w:sz w:val="16"/>
                <w:szCs w:val="16"/>
              </w:rPr>
              <w:br/>
              <w:t>Payment received</w:t>
            </w:r>
          </w:p>
        </w:tc>
        <w:tc>
          <w:tcPr>
            <w:tcW w:w="1559" w:type="dxa"/>
            <w:tcBorders>
              <w:top w:val="single" w:sz="4" w:space="0" w:color="auto"/>
              <w:left w:val="nil"/>
              <w:bottom w:val="single" w:sz="4" w:space="0" w:color="auto"/>
              <w:right w:val="single" w:sz="4" w:space="0" w:color="auto"/>
            </w:tcBorders>
            <w:shd w:val="clear" w:color="auto" w:fill="2363AF"/>
            <w:vAlign w:val="center"/>
            <w:hideMark/>
          </w:tcPr>
          <w:p w14:paraId="5C1FCD5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Q4</w:t>
            </w:r>
            <w:r w:rsidRPr="004433D7">
              <w:rPr>
                <w:rFonts w:eastAsia="Times New Roman" w:cs="Times New Roman"/>
                <w:color w:val="FFFFFF"/>
                <w:sz w:val="16"/>
                <w:szCs w:val="16"/>
              </w:rPr>
              <w:br/>
              <w:t>Payment received</w:t>
            </w:r>
          </w:p>
        </w:tc>
        <w:tc>
          <w:tcPr>
            <w:tcW w:w="1531" w:type="dxa"/>
            <w:tcBorders>
              <w:top w:val="single" w:sz="4" w:space="0" w:color="auto"/>
              <w:left w:val="nil"/>
              <w:bottom w:val="single" w:sz="4" w:space="0" w:color="auto"/>
              <w:right w:val="single" w:sz="4" w:space="0" w:color="auto"/>
            </w:tcBorders>
            <w:shd w:val="clear" w:color="auto" w:fill="2363AF"/>
            <w:vAlign w:val="center"/>
            <w:hideMark/>
          </w:tcPr>
          <w:p w14:paraId="4B1698C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w:t>
            </w:r>
            <w:r w:rsidRPr="004433D7">
              <w:rPr>
                <w:rFonts w:eastAsia="Times New Roman" w:cs="Times New Roman"/>
                <w:color w:val="FFFFFF"/>
                <w:sz w:val="16"/>
                <w:szCs w:val="16"/>
              </w:rPr>
              <w:br/>
              <w:t>Total received</w:t>
            </w:r>
          </w:p>
        </w:tc>
      </w:tr>
      <w:tr w:rsidR="004433D7" w:rsidRPr="004433D7" w14:paraId="313CA4A7"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F2EAAC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Affect Energy Ltd</w:t>
            </w:r>
          </w:p>
        </w:tc>
        <w:tc>
          <w:tcPr>
            <w:tcW w:w="1418" w:type="dxa"/>
            <w:tcBorders>
              <w:top w:val="nil"/>
              <w:left w:val="nil"/>
              <w:bottom w:val="single" w:sz="4" w:space="0" w:color="auto"/>
              <w:right w:val="single" w:sz="4" w:space="0" w:color="auto"/>
            </w:tcBorders>
            <w:shd w:val="clear" w:color="auto" w:fill="auto"/>
            <w:noWrap/>
            <w:vAlign w:val="center"/>
            <w:hideMark/>
          </w:tcPr>
          <w:p w14:paraId="6C59D1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£116.99</w:t>
            </w:r>
          </w:p>
        </w:tc>
        <w:tc>
          <w:tcPr>
            <w:tcW w:w="1417" w:type="dxa"/>
            <w:tcBorders>
              <w:top w:val="nil"/>
              <w:left w:val="nil"/>
              <w:bottom w:val="single" w:sz="4" w:space="0" w:color="auto"/>
              <w:right w:val="single" w:sz="4" w:space="0" w:color="auto"/>
            </w:tcBorders>
            <w:shd w:val="clear" w:color="auto" w:fill="auto"/>
            <w:noWrap/>
            <w:vAlign w:val="center"/>
            <w:hideMark/>
          </w:tcPr>
          <w:p w14:paraId="4CD68D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£29.25</w:t>
            </w:r>
          </w:p>
        </w:tc>
        <w:tc>
          <w:tcPr>
            <w:tcW w:w="1559" w:type="dxa"/>
            <w:tcBorders>
              <w:top w:val="nil"/>
              <w:left w:val="nil"/>
              <w:bottom w:val="single" w:sz="4" w:space="0" w:color="auto"/>
              <w:right w:val="single" w:sz="4" w:space="0" w:color="auto"/>
            </w:tcBorders>
            <w:shd w:val="clear" w:color="auto" w:fill="auto"/>
            <w:noWrap/>
            <w:vAlign w:val="center"/>
            <w:hideMark/>
          </w:tcPr>
          <w:p w14:paraId="5E0B71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£29.25</w:t>
            </w:r>
          </w:p>
        </w:tc>
        <w:tc>
          <w:tcPr>
            <w:tcW w:w="1418" w:type="dxa"/>
            <w:tcBorders>
              <w:top w:val="nil"/>
              <w:left w:val="nil"/>
              <w:bottom w:val="single" w:sz="4" w:space="0" w:color="auto"/>
              <w:right w:val="single" w:sz="4" w:space="0" w:color="auto"/>
            </w:tcBorders>
            <w:shd w:val="clear" w:color="auto" w:fill="auto"/>
            <w:noWrap/>
            <w:vAlign w:val="center"/>
            <w:hideMark/>
          </w:tcPr>
          <w:p w14:paraId="78086F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£29.25</w:t>
            </w:r>
          </w:p>
        </w:tc>
        <w:tc>
          <w:tcPr>
            <w:tcW w:w="1559" w:type="dxa"/>
            <w:tcBorders>
              <w:top w:val="nil"/>
              <w:left w:val="nil"/>
              <w:bottom w:val="single" w:sz="4" w:space="0" w:color="auto"/>
              <w:right w:val="single" w:sz="4" w:space="0" w:color="auto"/>
            </w:tcBorders>
            <w:shd w:val="clear" w:color="auto" w:fill="auto"/>
            <w:noWrap/>
            <w:vAlign w:val="center"/>
            <w:hideMark/>
          </w:tcPr>
          <w:p w14:paraId="769CDC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£29.25</w:t>
            </w:r>
          </w:p>
        </w:tc>
        <w:tc>
          <w:tcPr>
            <w:tcW w:w="1531" w:type="dxa"/>
            <w:tcBorders>
              <w:top w:val="nil"/>
              <w:left w:val="nil"/>
              <w:bottom w:val="single" w:sz="4" w:space="0" w:color="auto"/>
              <w:right w:val="single" w:sz="4" w:space="0" w:color="auto"/>
            </w:tcBorders>
            <w:shd w:val="clear" w:color="auto" w:fill="auto"/>
            <w:noWrap/>
            <w:vAlign w:val="center"/>
            <w:hideMark/>
          </w:tcPr>
          <w:p w14:paraId="7ABFF5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£117.00</w:t>
            </w:r>
          </w:p>
        </w:tc>
      </w:tr>
      <w:tr w:rsidR="004433D7" w:rsidRPr="004433D7" w14:paraId="7E8D2C9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856093"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Ampoweruk</w:t>
            </w:r>
            <w:proofErr w:type="spellEnd"/>
            <w:r w:rsidRPr="004433D7">
              <w:rPr>
                <w:rFonts w:eastAsia="Times New Roman" w:cs="Times New Roman"/>
                <w:color w:val="000000"/>
                <w:sz w:val="16"/>
                <w:szCs w:val="16"/>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5DD6D3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£540.48</w:t>
            </w:r>
          </w:p>
        </w:tc>
        <w:tc>
          <w:tcPr>
            <w:tcW w:w="1417" w:type="dxa"/>
            <w:tcBorders>
              <w:top w:val="nil"/>
              <w:left w:val="nil"/>
              <w:bottom w:val="single" w:sz="4" w:space="0" w:color="auto"/>
              <w:right w:val="single" w:sz="4" w:space="0" w:color="auto"/>
            </w:tcBorders>
            <w:shd w:val="clear" w:color="auto" w:fill="auto"/>
            <w:noWrap/>
            <w:vAlign w:val="center"/>
            <w:hideMark/>
          </w:tcPr>
          <w:p w14:paraId="1574FA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£135.12</w:t>
            </w:r>
          </w:p>
        </w:tc>
        <w:tc>
          <w:tcPr>
            <w:tcW w:w="1559" w:type="dxa"/>
            <w:tcBorders>
              <w:top w:val="nil"/>
              <w:left w:val="nil"/>
              <w:bottom w:val="single" w:sz="4" w:space="0" w:color="auto"/>
              <w:right w:val="single" w:sz="4" w:space="0" w:color="auto"/>
            </w:tcBorders>
            <w:shd w:val="clear" w:color="auto" w:fill="auto"/>
            <w:noWrap/>
            <w:vAlign w:val="center"/>
            <w:hideMark/>
          </w:tcPr>
          <w:p w14:paraId="43A8BC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£135.12</w:t>
            </w:r>
          </w:p>
        </w:tc>
        <w:tc>
          <w:tcPr>
            <w:tcW w:w="1418" w:type="dxa"/>
            <w:tcBorders>
              <w:top w:val="nil"/>
              <w:left w:val="nil"/>
              <w:bottom w:val="single" w:sz="4" w:space="0" w:color="auto"/>
              <w:right w:val="single" w:sz="4" w:space="0" w:color="auto"/>
            </w:tcBorders>
            <w:shd w:val="clear" w:color="auto" w:fill="auto"/>
            <w:noWrap/>
            <w:vAlign w:val="center"/>
            <w:hideMark/>
          </w:tcPr>
          <w:p w14:paraId="3B48F2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£135.12</w:t>
            </w:r>
          </w:p>
        </w:tc>
        <w:tc>
          <w:tcPr>
            <w:tcW w:w="1559" w:type="dxa"/>
            <w:tcBorders>
              <w:top w:val="nil"/>
              <w:left w:val="nil"/>
              <w:bottom w:val="single" w:sz="4" w:space="0" w:color="auto"/>
              <w:right w:val="single" w:sz="4" w:space="0" w:color="auto"/>
            </w:tcBorders>
            <w:shd w:val="clear" w:color="auto" w:fill="auto"/>
            <w:noWrap/>
            <w:vAlign w:val="center"/>
            <w:hideMark/>
          </w:tcPr>
          <w:p w14:paraId="7892C4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£135.12</w:t>
            </w:r>
          </w:p>
        </w:tc>
        <w:tc>
          <w:tcPr>
            <w:tcW w:w="1531" w:type="dxa"/>
            <w:tcBorders>
              <w:top w:val="nil"/>
              <w:left w:val="nil"/>
              <w:bottom w:val="single" w:sz="4" w:space="0" w:color="auto"/>
              <w:right w:val="single" w:sz="4" w:space="0" w:color="auto"/>
            </w:tcBorders>
            <w:shd w:val="clear" w:color="auto" w:fill="auto"/>
            <w:noWrap/>
            <w:vAlign w:val="center"/>
            <w:hideMark/>
          </w:tcPr>
          <w:p w14:paraId="317F5F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£540.48</w:t>
            </w:r>
          </w:p>
        </w:tc>
      </w:tr>
      <w:tr w:rsidR="004433D7" w:rsidRPr="004433D7" w14:paraId="4CE4F7B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F4D3D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Avid Energy Limited </w:t>
            </w:r>
          </w:p>
        </w:tc>
        <w:tc>
          <w:tcPr>
            <w:tcW w:w="1418" w:type="dxa"/>
            <w:tcBorders>
              <w:top w:val="nil"/>
              <w:left w:val="nil"/>
              <w:bottom w:val="single" w:sz="4" w:space="0" w:color="auto"/>
              <w:right w:val="single" w:sz="4" w:space="0" w:color="auto"/>
            </w:tcBorders>
            <w:shd w:val="clear" w:color="auto" w:fill="auto"/>
            <w:noWrap/>
            <w:vAlign w:val="center"/>
            <w:hideMark/>
          </w:tcPr>
          <w:p w14:paraId="336F5B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£3,698.47</w:t>
            </w:r>
          </w:p>
        </w:tc>
        <w:tc>
          <w:tcPr>
            <w:tcW w:w="1417" w:type="dxa"/>
            <w:tcBorders>
              <w:top w:val="nil"/>
              <w:left w:val="nil"/>
              <w:bottom w:val="single" w:sz="4" w:space="0" w:color="auto"/>
              <w:right w:val="single" w:sz="4" w:space="0" w:color="auto"/>
            </w:tcBorders>
            <w:shd w:val="clear" w:color="auto" w:fill="auto"/>
            <w:noWrap/>
            <w:vAlign w:val="center"/>
            <w:hideMark/>
          </w:tcPr>
          <w:p w14:paraId="521F0E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£3,698.47</w:t>
            </w:r>
          </w:p>
        </w:tc>
        <w:tc>
          <w:tcPr>
            <w:tcW w:w="1559" w:type="dxa"/>
            <w:tcBorders>
              <w:top w:val="nil"/>
              <w:left w:val="nil"/>
              <w:bottom w:val="single" w:sz="4" w:space="0" w:color="auto"/>
              <w:right w:val="single" w:sz="4" w:space="0" w:color="auto"/>
            </w:tcBorders>
            <w:shd w:val="clear" w:color="auto" w:fill="auto"/>
            <w:noWrap/>
            <w:vAlign w:val="center"/>
            <w:hideMark/>
          </w:tcPr>
          <w:p w14:paraId="0C7ADC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60792C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39D1B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D2AC5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£3,698.47</w:t>
            </w:r>
          </w:p>
        </w:tc>
      </w:tr>
      <w:tr w:rsidR="004433D7" w:rsidRPr="004433D7" w14:paraId="025111D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700BAE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Avro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420F98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£17,137.87</w:t>
            </w:r>
          </w:p>
        </w:tc>
        <w:tc>
          <w:tcPr>
            <w:tcW w:w="1417" w:type="dxa"/>
            <w:tcBorders>
              <w:top w:val="nil"/>
              <w:left w:val="nil"/>
              <w:bottom w:val="single" w:sz="4" w:space="0" w:color="auto"/>
              <w:right w:val="single" w:sz="4" w:space="0" w:color="auto"/>
            </w:tcBorders>
            <w:shd w:val="clear" w:color="auto" w:fill="auto"/>
            <w:noWrap/>
            <w:vAlign w:val="center"/>
            <w:hideMark/>
          </w:tcPr>
          <w:p w14:paraId="6B4BB3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£4,284.47</w:t>
            </w:r>
          </w:p>
        </w:tc>
        <w:tc>
          <w:tcPr>
            <w:tcW w:w="1559" w:type="dxa"/>
            <w:tcBorders>
              <w:top w:val="nil"/>
              <w:left w:val="nil"/>
              <w:bottom w:val="single" w:sz="4" w:space="0" w:color="auto"/>
              <w:right w:val="single" w:sz="4" w:space="0" w:color="auto"/>
            </w:tcBorders>
            <w:shd w:val="clear" w:color="auto" w:fill="auto"/>
            <w:noWrap/>
            <w:vAlign w:val="center"/>
            <w:hideMark/>
          </w:tcPr>
          <w:p w14:paraId="522F58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£4,284.47</w:t>
            </w:r>
          </w:p>
        </w:tc>
        <w:tc>
          <w:tcPr>
            <w:tcW w:w="1418" w:type="dxa"/>
            <w:tcBorders>
              <w:top w:val="nil"/>
              <w:left w:val="nil"/>
              <w:bottom w:val="single" w:sz="4" w:space="0" w:color="auto"/>
              <w:right w:val="single" w:sz="4" w:space="0" w:color="auto"/>
            </w:tcBorders>
            <w:shd w:val="clear" w:color="auto" w:fill="auto"/>
            <w:noWrap/>
            <w:vAlign w:val="center"/>
            <w:hideMark/>
          </w:tcPr>
          <w:p w14:paraId="7D613D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£4,284.47</w:t>
            </w:r>
          </w:p>
        </w:tc>
        <w:tc>
          <w:tcPr>
            <w:tcW w:w="1559" w:type="dxa"/>
            <w:tcBorders>
              <w:top w:val="nil"/>
              <w:left w:val="nil"/>
              <w:bottom w:val="single" w:sz="4" w:space="0" w:color="auto"/>
              <w:right w:val="single" w:sz="4" w:space="0" w:color="auto"/>
            </w:tcBorders>
            <w:shd w:val="clear" w:color="auto" w:fill="auto"/>
            <w:noWrap/>
            <w:vAlign w:val="center"/>
            <w:hideMark/>
          </w:tcPr>
          <w:p w14:paraId="1689A5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£4,284.47</w:t>
            </w:r>
          </w:p>
        </w:tc>
        <w:tc>
          <w:tcPr>
            <w:tcW w:w="1531" w:type="dxa"/>
            <w:tcBorders>
              <w:top w:val="nil"/>
              <w:left w:val="nil"/>
              <w:bottom w:val="single" w:sz="4" w:space="0" w:color="auto"/>
              <w:right w:val="single" w:sz="4" w:space="0" w:color="auto"/>
            </w:tcBorders>
            <w:shd w:val="clear" w:color="auto" w:fill="auto"/>
            <w:noWrap/>
            <w:vAlign w:val="center"/>
            <w:hideMark/>
          </w:tcPr>
          <w:p w14:paraId="398D71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£17,137.88</w:t>
            </w:r>
          </w:p>
        </w:tc>
      </w:tr>
      <w:tr w:rsidR="004433D7" w:rsidRPr="004433D7" w14:paraId="1A7BFBF3"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B27199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Axis Telecom Limited</w:t>
            </w:r>
          </w:p>
        </w:tc>
        <w:tc>
          <w:tcPr>
            <w:tcW w:w="1418" w:type="dxa"/>
            <w:tcBorders>
              <w:top w:val="nil"/>
              <w:left w:val="nil"/>
              <w:bottom w:val="single" w:sz="4" w:space="0" w:color="auto"/>
              <w:right w:val="single" w:sz="4" w:space="0" w:color="auto"/>
            </w:tcBorders>
            <w:shd w:val="clear" w:color="auto" w:fill="auto"/>
            <w:noWrap/>
            <w:vAlign w:val="center"/>
            <w:hideMark/>
          </w:tcPr>
          <w:p w14:paraId="260D62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£715.14</w:t>
            </w:r>
          </w:p>
        </w:tc>
        <w:tc>
          <w:tcPr>
            <w:tcW w:w="1417" w:type="dxa"/>
            <w:tcBorders>
              <w:top w:val="nil"/>
              <w:left w:val="nil"/>
              <w:bottom w:val="single" w:sz="4" w:space="0" w:color="auto"/>
              <w:right w:val="single" w:sz="4" w:space="0" w:color="auto"/>
            </w:tcBorders>
            <w:shd w:val="clear" w:color="auto" w:fill="auto"/>
            <w:noWrap/>
            <w:vAlign w:val="center"/>
            <w:hideMark/>
          </w:tcPr>
          <w:p w14:paraId="6A7DB6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£715.16</w:t>
            </w:r>
          </w:p>
        </w:tc>
        <w:tc>
          <w:tcPr>
            <w:tcW w:w="1559" w:type="dxa"/>
            <w:tcBorders>
              <w:top w:val="nil"/>
              <w:left w:val="nil"/>
              <w:bottom w:val="single" w:sz="4" w:space="0" w:color="auto"/>
              <w:right w:val="single" w:sz="4" w:space="0" w:color="auto"/>
            </w:tcBorders>
            <w:shd w:val="clear" w:color="auto" w:fill="auto"/>
            <w:noWrap/>
            <w:vAlign w:val="center"/>
            <w:hideMark/>
          </w:tcPr>
          <w:p w14:paraId="73DF0E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F2F55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5E912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397A0E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£715.16</w:t>
            </w:r>
          </w:p>
        </w:tc>
      </w:tr>
      <w:tr w:rsidR="004433D7" w:rsidRPr="004433D7" w14:paraId="2DCDFF4B"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7D60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418" w:type="dxa"/>
            <w:tcBorders>
              <w:top w:val="nil"/>
              <w:left w:val="nil"/>
              <w:bottom w:val="single" w:sz="4" w:space="0" w:color="auto"/>
              <w:right w:val="single" w:sz="4" w:space="0" w:color="auto"/>
            </w:tcBorders>
            <w:shd w:val="clear" w:color="auto" w:fill="auto"/>
            <w:noWrap/>
            <w:vAlign w:val="center"/>
            <w:hideMark/>
          </w:tcPr>
          <w:p w14:paraId="61EA57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£21,506.99</w:t>
            </w:r>
          </w:p>
        </w:tc>
        <w:tc>
          <w:tcPr>
            <w:tcW w:w="1417" w:type="dxa"/>
            <w:tcBorders>
              <w:top w:val="nil"/>
              <w:left w:val="nil"/>
              <w:bottom w:val="single" w:sz="4" w:space="0" w:color="auto"/>
              <w:right w:val="single" w:sz="4" w:space="0" w:color="auto"/>
            </w:tcBorders>
            <w:shd w:val="clear" w:color="auto" w:fill="auto"/>
            <w:noWrap/>
            <w:vAlign w:val="center"/>
            <w:hideMark/>
          </w:tcPr>
          <w:p w14:paraId="763616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£5,376.75</w:t>
            </w:r>
          </w:p>
        </w:tc>
        <w:tc>
          <w:tcPr>
            <w:tcW w:w="1559" w:type="dxa"/>
            <w:tcBorders>
              <w:top w:val="nil"/>
              <w:left w:val="nil"/>
              <w:bottom w:val="single" w:sz="4" w:space="0" w:color="auto"/>
              <w:right w:val="single" w:sz="4" w:space="0" w:color="auto"/>
            </w:tcBorders>
            <w:shd w:val="clear" w:color="auto" w:fill="auto"/>
            <w:noWrap/>
            <w:vAlign w:val="center"/>
            <w:hideMark/>
          </w:tcPr>
          <w:p w14:paraId="140FE8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£5,376.75</w:t>
            </w:r>
          </w:p>
        </w:tc>
        <w:tc>
          <w:tcPr>
            <w:tcW w:w="1418" w:type="dxa"/>
            <w:tcBorders>
              <w:top w:val="nil"/>
              <w:left w:val="nil"/>
              <w:bottom w:val="single" w:sz="4" w:space="0" w:color="auto"/>
              <w:right w:val="single" w:sz="4" w:space="0" w:color="auto"/>
            </w:tcBorders>
            <w:shd w:val="clear" w:color="auto" w:fill="auto"/>
            <w:noWrap/>
            <w:vAlign w:val="center"/>
            <w:hideMark/>
          </w:tcPr>
          <w:p w14:paraId="415EE1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£5,376.75</w:t>
            </w:r>
          </w:p>
        </w:tc>
        <w:tc>
          <w:tcPr>
            <w:tcW w:w="1559" w:type="dxa"/>
            <w:tcBorders>
              <w:top w:val="nil"/>
              <w:left w:val="nil"/>
              <w:bottom w:val="single" w:sz="4" w:space="0" w:color="auto"/>
              <w:right w:val="single" w:sz="4" w:space="0" w:color="auto"/>
            </w:tcBorders>
            <w:shd w:val="clear" w:color="auto" w:fill="auto"/>
            <w:noWrap/>
            <w:vAlign w:val="center"/>
            <w:hideMark/>
          </w:tcPr>
          <w:p w14:paraId="6FF95B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£5,376.75</w:t>
            </w:r>
          </w:p>
        </w:tc>
        <w:tc>
          <w:tcPr>
            <w:tcW w:w="1531" w:type="dxa"/>
            <w:tcBorders>
              <w:top w:val="nil"/>
              <w:left w:val="nil"/>
              <w:bottom w:val="single" w:sz="4" w:space="0" w:color="auto"/>
              <w:right w:val="single" w:sz="4" w:space="0" w:color="auto"/>
            </w:tcBorders>
            <w:shd w:val="clear" w:color="auto" w:fill="auto"/>
            <w:noWrap/>
            <w:vAlign w:val="center"/>
            <w:hideMark/>
          </w:tcPr>
          <w:p w14:paraId="4C4929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£21,507.00</w:t>
            </w:r>
          </w:p>
        </w:tc>
      </w:tr>
      <w:tr w:rsidR="004433D7" w:rsidRPr="004433D7" w14:paraId="0CC420C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C7ADD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418" w:type="dxa"/>
            <w:tcBorders>
              <w:top w:val="nil"/>
              <w:left w:val="nil"/>
              <w:bottom w:val="single" w:sz="4" w:space="0" w:color="auto"/>
              <w:right w:val="single" w:sz="4" w:space="0" w:color="auto"/>
            </w:tcBorders>
            <w:shd w:val="clear" w:color="auto" w:fill="auto"/>
            <w:noWrap/>
            <w:vAlign w:val="center"/>
            <w:hideMark/>
          </w:tcPr>
          <w:p w14:paraId="516624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£16,766.29</w:t>
            </w:r>
          </w:p>
        </w:tc>
        <w:tc>
          <w:tcPr>
            <w:tcW w:w="1417" w:type="dxa"/>
            <w:tcBorders>
              <w:top w:val="nil"/>
              <w:left w:val="nil"/>
              <w:bottom w:val="single" w:sz="4" w:space="0" w:color="auto"/>
              <w:right w:val="single" w:sz="4" w:space="0" w:color="auto"/>
            </w:tcBorders>
            <w:shd w:val="clear" w:color="auto" w:fill="auto"/>
            <w:noWrap/>
            <w:vAlign w:val="center"/>
            <w:hideMark/>
          </w:tcPr>
          <w:p w14:paraId="569C79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£4,191.57</w:t>
            </w:r>
          </w:p>
        </w:tc>
        <w:tc>
          <w:tcPr>
            <w:tcW w:w="1559" w:type="dxa"/>
            <w:tcBorders>
              <w:top w:val="nil"/>
              <w:left w:val="nil"/>
              <w:bottom w:val="single" w:sz="4" w:space="0" w:color="auto"/>
              <w:right w:val="single" w:sz="4" w:space="0" w:color="auto"/>
            </w:tcBorders>
            <w:shd w:val="clear" w:color="auto" w:fill="auto"/>
            <w:noWrap/>
            <w:vAlign w:val="center"/>
            <w:hideMark/>
          </w:tcPr>
          <w:p w14:paraId="4BFFFC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£4,191.57</w:t>
            </w:r>
          </w:p>
        </w:tc>
        <w:tc>
          <w:tcPr>
            <w:tcW w:w="1418" w:type="dxa"/>
            <w:tcBorders>
              <w:top w:val="nil"/>
              <w:left w:val="nil"/>
              <w:bottom w:val="single" w:sz="4" w:space="0" w:color="auto"/>
              <w:right w:val="single" w:sz="4" w:space="0" w:color="auto"/>
            </w:tcBorders>
            <w:shd w:val="clear" w:color="auto" w:fill="auto"/>
            <w:noWrap/>
            <w:vAlign w:val="center"/>
            <w:hideMark/>
          </w:tcPr>
          <w:p w14:paraId="3698F3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£4,191.57</w:t>
            </w:r>
          </w:p>
        </w:tc>
        <w:tc>
          <w:tcPr>
            <w:tcW w:w="1559" w:type="dxa"/>
            <w:tcBorders>
              <w:top w:val="nil"/>
              <w:left w:val="nil"/>
              <w:bottom w:val="single" w:sz="4" w:space="0" w:color="auto"/>
              <w:right w:val="single" w:sz="4" w:space="0" w:color="auto"/>
            </w:tcBorders>
            <w:shd w:val="clear" w:color="auto" w:fill="auto"/>
            <w:noWrap/>
            <w:vAlign w:val="center"/>
            <w:hideMark/>
          </w:tcPr>
          <w:p w14:paraId="24C2C9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£4,191.57</w:t>
            </w:r>
          </w:p>
        </w:tc>
        <w:tc>
          <w:tcPr>
            <w:tcW w:w="1531" w:type="dxa"/>
            <w:tcBorders>
              <w:top w:val="nil"/>
              <w:left w:val="nil"/>
              <w:bottom w:val="single" w:sz="4" w:space="0" w:color="auto"/>
              <w:right w:val="single" w:sz="4" w:space="0" w:color="auto"/>
            </w:tcBorders>
            <w:shd w:val="clear" w:color="auto" w:fill="auto"/>
            <w:noWrap/>
            <w:vAlign w:val="center"/>
            <w:hideMark/>
          </w:tcPr>
          <w:p w14:paraId="5FBDBB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£16,766.28</w:t>
            </w:r>
          </w:p>
        </w:tc>
      </w:tr>
      <w:tr w:rsidR="004433D7" w:rsidRPr="004433D7" w14:paraId="15A7B47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290B3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Breeze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50A00F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£319.67</w:t>
            </w:r>
          </w:p>
        </w:tc>
        <w:tc>
          <w:tcPr>
            <w:tcW w:w="1417" w:type="dxa"/>
            <w:tcBorders>
              <w:top w:val="nil"/>
              <w:left w:val="nil"/>
              <w:bottom w:val="single" w:sz="4" w:space="0" w:color="auto"/>
              <w:right w:val="single" w:sz="4" w:space="0" w:color="auto"/>
            </w:tcBorders>
            <w:shd w:val="clear" w:color="auto" w:fill="auto"/>
            <w:noWrap/>
            <w:vAlign w:val="center"/>
            <w:hideMark/>
          </w:tcPr>
          <w:p w14:paraId="278FD3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3BF73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72CAEB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DA808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24F42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3B065025" w14:textId="77777777" w:rsidTr="00780608">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DC3FF7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432C73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£5,267.99</w:t>
            </w:r>
          </w:p>
        </w:tc>
        <w:tc>
          <w:tcPr>
            <w:tcW w:w="1417" w:type="dxa"/>
            <w:tcBorders>
              <w:top w:val="nil"/>
              <w:left w:val="nil"/>
              <w:bottom w:val="single" w:sz="4" w:space="0" w:color="auto"/>
              <w:right w:val="single" w:sz="4" w:space="0" w:color="auto"/>
            </w:tcBorders>
            <w:shd w:val="clear" w:color="auto" w:fill="auto"/>
            <w:noWrap/>
            <w:vAlign w:val="center"/>
            <w:hideMark/>
          </w:tcPr>
          <w:p w14:paraId="1B4BD5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£1,317.00</w:t>
            </w:r>
          </w:p>
        </w:tc>
        <w:tc>
          <w:tcPr>
            <w:tcW w:w="1559" w:type="dxa"/>
            <w:tcBorders>
              <w:top w:val="nil"/>
              <w:left w:val="nil"/>
              <w:bottom w:val="single" w:sz="4" w:space="0" w:color="auto"/>
              <w:right w:val="single" w:sz="4" w:space="0" w:color="auto"/>
            </w:tcBorders>
            <w:shd w:val="clear" w:color="auto" w:fill="auto"/>
            <w:noWrap/>
            <w:vAlign w:val="center"/>
            <w:hideMark/>
          </w:tcPr>
          <w:p w14:paraId="47391A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£1,317.00</w:t>
            </w:r>
          </w:p>
        </w:tc>
        <w:tc>
          <w:tcPr>
            <w:tcW w:w="1418" w:type="dxa"/>
            <w:tcBorders>
              <w:top w:val="nil"/>
              <w:left w:val="nil"/>
              <w:bottom w:val="single" w:sz="4" w:space="0" w:color="auto"/>
              <w:right w:val="single" w:sz="4" w:space="0" w:color="auto"/>
            </w:tcBorders>
            <w:shd w:val="clear" w:color="auto" w:fill="auto"/>
            <w:noWrap/>
            <w:vAlign w:val="center"/>
            <w:hideMark/>
          </w:tcPr>
          <w:p w14:paraId="74C15F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£1,317.00</w:t>
            </w:r>
          </w:p>
        </w:tc>
        <w:tc>
          <w:tcPr>
            <w:tcW w:w="1559" w:type="dxa"/>
            <w:tcBorders>
              <w:top w:val="nil"/>
              <w:left w:val="nil"/>
              <w:bottom w:val="single" w:sz="4" w:space="0" w:color="auto"/>
              <w:right w:val="single" w:sz="4" w:space="0" w:color="auto"/>
            </w:tcBorders>
            <w:shd w:val="clear" w:color="auto" w:fill="auto"/>
            <w:noWrap/>
            <w:vAlign w:val="center"/>
            <w:hideMark/>
          </w:tcPr>
          <w:p w14:paraId="397C66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£1,317.00</w:t>
            </w:r>
          </w:p>
        </w:tc>
        <w:tc>
          <w:tcPr>
            <w:tcW w:w="1531" w:type="dxa"/>
            <w:tcBorders>
              <w:top w:val="nil"/>
              <w:left w:val="nil"/>
              <w:bottom w:val="single" w:sz="4" w:space="0" w:color="auto"/>
              <w:right w:val="single" w:sz="4" w:space="0" w:color="auto"/>
            </w:tcBorders>
            <w:shd w:val="clear" w:color="auto" w:fill="auto"/>
            <w:noWrap/>
            <w:vAlign w:val="center"/>
            <w:hideMark/>
          </w:tcPr>
          <w:p w14:paraId="7474AC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£5,268.00</w:t>
            </w:r>
          </w:p>
        </w:tc>
      </w:tr>
      <w:tr w:rsidR="004433D7" w:rsidRPr="004433D7" w14:paraId="274C02B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3D70C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418" w:type="dxa"/>
            <w:tcBorders>
              <w:top w:val="nil"/>
              <w:left w:val="nil"/>
              <w:bottom w:val="single" w:sz="4" w:space="0" w:color="auto"/>
              <w:right w:val="single" w:sz="4" w:space="0" w:color="auto"/>
            </w:tcBorders>
            <w:shd w:val="clear" w:color="auto" w:fill="auto"/>
            <w:noWrap/>
            <w:vAlign w:val="center"/>
            <w:hideMark/>
          </w:tcPr>
          <w:p w14:paraId="5C1CA4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£874,603.10</w:t>
            </w:r>
          </w:p>
        </w:tc>
        <w:tc>
          <w:tcPr>
            <w:tcW w:w="1417" w:type="dxa"/>
            <w:tcBorders>
              <w:top w:val="nil"/>
              <w:left w:val="nil"/>
              <w:bottom w:val="single" w:sz="4" w:space="0" w:color="auto"/>
              <w:right w:val="single" w:sz="4" w:space="0" w:color="auto"/>
            </w:tcBorders>
            <w:shd w:val="clear" w:color="auto" w:fill="auto"/>
            <w:noWrap/>
            <w:vAlign w:val="center"/>
            <w:hideMark/>
          </w:tcPr>
          <w:p w14:paraId="51E2F9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£218,650.78</w:t>
            </w:r>
          </w:p>
        </w:tc>
        <w:tc>
          <w:tcPr>
            <w:tcW w:w="1559" w:type="dxa"/>
            <w:tcBorders>
              <w:top w:val="nil"/>
              <w:left w:val="nil"/>
              <w:bottom w:val="single" w:sz="4" w:space="0" w:color="auto"/>
              <w:right w:val="single" w:sz="4" w:space="0" w:color="auto"/>
            </w:tcBorders>
            <w:shd w:val="clear" w:color="auto" w:fill="auto"/>
            <w:noWrap/>
            <w:vAlign w:val="center"/>
            <w:hideMark/>
          </w:tcPr>
          <w:p w14:paraId="0B7BB9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£218,650.78</w:t>
            </w:r>
          </w:p>
        </w:tc>
        <w:tc>
          <w:tcPr>
            <w:tcW w:w="1418" w:type="dxa"/>
            <w:tcBorders>
              <w:top w:val="nil"/>
              <w:left w:val="nil"/>
              <w:bottom w:val="single" w:sz="4" w:space="0" w:color="auto"/>
              <w:right w:val="single" w:sz="4" w:space="0" w:color="auto"/>
            </w:tcBorders>
            <w:shd w:val="clear" w:color="auto" w:fill="auto"/>
            <w:noWrap/>
            <w:vAlign w:val="center"/>
            <w:hideMark/>
          </w:tcPr>
          <w:p w14:paraId="248B60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£218,650.78</w:t>
            </w:r>
          </w:p>
        </w:tc>
        <w:tc>
          <w:tcPr>
            <w:tcW w:w="1559" w:type="dxa"/>
            <w:tcBorders>
              <w:top w:val="nil"/>
              <w:left w:val="nil"/>
              <w:bottom w:val="single" w:sz="4" w:space="0" w:color="auto"/>
              <w:right w:val="single" w:sz="4" w:space="0" w:color="auto"/>
            </w:tcBorders>
            <w:shd w:val="clear" w:color="auto" w:fill="auto"/>
            <w:noWrap/>
            <w:vAlign w:val="center"/>
            <w:hideMark/>
          </w:tcPr>
          <w:p w14:paraId="11F35A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£218,650.78</w:t>
            </w:r>
          </w:p>
        </w:tc>
        <w:tc>
          <w:tcPr>
            <w:tcW w:w="1531" w:type="dxa"/>
            <w:tcBorders>
              <w:top w:val="nil"/>
              <w:left w:val="nil"/>
              <w:bottom w:val="single" w:sz="4" w:space="0" w:color="auto"/>
              <w:right w:val="single" w:sz="4" w:space="0" w:color="auto"/>
            </w:tcBorders>
            <w:shd w:val="clear" w:color="auto" w:fill="auto"/>
            <w:noWrap/>
            <w:vAlign w:val="center"/>
            <w:hideMark/>
          </w:tcPr>
          <w:p w14:paraId="3FEAA1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£874,603.12</w:t>
            </w:r>
          </w:p>
        </w:tc>
      </w:tr>
      <w:tr w:rsidR="004433D7" w:rsidRPr="004433D7" w14:paraId="2F9BE10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11EB2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418" w:type="dxa"/>
            <w:tcBorders>
              <w:top w:val="nil"/>
              <w:left w:val="nil"/>
              <w:bottom w:val="single" w:sz="4" w:space="0" w:color="auto"/>
              <w:right w:val="single" w:sz="4" w:space="0" w:color="auto"/>
            </w:tcBorders>
            <w:shd w:val="clear" w:color="auto" w:fill="auto"/>
            <w:noWrap/>
            <w:vAlign w:val="center"/>
            <w:hideMark/>
          </w:tcPr>
          <w:p w14:paraId="0C76C6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£12,454.02</w:t>
            </w:r>
          </w:p>
        </w:tc>
        <w:tc>
          <w:tcPr>
            <w:tcW w:w="1417" w:type="dxa"/>
            <w:tcBorders>
              <w:top w:val="nil"/>
              <w:left w:val="nil"/>
              <w:bottom w:val="single" w:sz="4" w:space="0" w:color="auto"/>
              <w:right w:val="single" w:sz="4" w:space="0" w:color="auto"/>
            </w:tcBorders>
            <w:shd w:val="clear" w:color="auto" w:fill="auto"/>
            <w:noWrap/>
            <w:vAlign w:val="center"/>
            <w:hideMark/>
          </w:tcPr>
          <w:p w14:paraId="439CAC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£3,113.50</w:t>
            </w:r>
          </w:p>
        </w:tc>
        <w:tc>
          <w:tcPr>
            <w:tcW w:w="1559" w:type="dxa"/>
            <w:tcBorders>
              <w:top w:val="nil"/>
              <w:left w:val="nil"/>
              <w:bottom w:val="single" w:sz="4" w:space="0" w:color="auto"/>
              <w:right w:val="single" w:sz="4" w:space="0" w:color="auto"/>
            </w:tcBorders>
            <w:shd w:val="clear" w:color="auto" w:fill="auto"/>
            <w:noWrap/>
            <w:vAlign w:val="center"/>
            <w:hideMark/>
          </w:tcPr>
          <w:p w14:paraId="6C9628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£3,113.50</w:t>
            </w:r>
          </w:p>
        </w:tc>
        <w:tc>
          <w:tcPr>
            <w:tcW w:w="1418" w:type="dxa"/>
            <w:tcBorders>
              <w:top w:val="nil"/>
              <w:left w:val="nil"/>
              <w:bottom w:val="single" w:sz="4" w:space="0" w:color="auto"/>
              <w:right w:val="single" w:sz="4" w:space="0" w:color="auto"/>
            </w:tcBorders>
            <w:shd w:val="clear" w:color="auto" w:fill="auto"/>
            <w:noWrap/>
            <w:vAlign w:val="center"/>
            <w:hideMark/>
          </w:tcPr>
          <w:p w14:paraId="57A326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£3,113.50</w:t>
            </w:r>
          </w:p>
        </w:tc>
        <w:tc>
          <w:tcPr>
            <w:tcW w:w="1559" w:type="dxa"/>
            <w:tcBorders>
              <w:top w:val="nil"/>
              <w:left w:val="nil"/>
              <w:bottom w:val="single" w:sz="4" w:space="0" w:color="auto"/>
              <w:right w:val="single" w:sz="4" w:space="0" w:color="auto"/>
            </w:tcBorders>
            <w:shd w:val="clear" w:color="auto" w:fill="auto"/>
            <w:noWrap/>
            <w:vAlign w:val="center"/>
            <w:hideMark/>
          </w:tcPr>
          <w:p w14:paraId="28F88D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£3,113.50</w:t>
            </w:r>
          </w:p>
        </w:tc>
        <w:tc>
          <w:tcPr>
            <w:tcW w:w="1531" w:type="dxa"/>
            <w:tcBorders>
              <w:top w:val="nil"/>
              <w:left w:val="nil"/>
              <w:bottom w:val="single" w:sz="4" w:space="0" w:color="auto"/>
              <w:right w:val="single" w:sz="4" w:space="0" w:color="auto"/>
            </w:tcBorders>
            <w:shd w:val="clear" w:color="auto" w:fill="auto"/>
            <w:noWrap/>
            <w:vAlign w:val="center"/>
            <w:hideMark/>
          </w:tcPr>
          <w:p w14:paraId="6263F4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£12,454.00</w:t>
            </w:r>
          </w:p>
        </w:tc>
      </w:tr>
      <w:tr w:rsidR="004433D7" w:rsidRPr="004433D7" w14:paraId="747AF1D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A14B29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Bruntwood</w:t>
            </w:r>
            <w:proofErr w:type="spellEnd"/>
            <w:r w:rsidRPr="004433D7">
              <w:rPr>
                <w:rFonts w:eastAsia="Times New Roman" w:cs="Times New Roman"/>
                <w:color w:val="000000"/>
                <w:sz w:val="16"/>
                <w:szCs w:val="16"/>
              </w:rPr>
              <w:t xml:space="preserve"> Energy Services Limited</w:t>
            </w:r>
          </w:p>
        </w:tc>
        <w:tc>
          <w:tcPr>
            <w:tcW w:w="1418" w:type="dxa"/>
            <w:tcBorders>
              <w:top w:val="nil"/>
              <w:left w:val="nil"/>
              <w:bottom w:val="single" w:sz="4" w:space="0" w:color="auto"/>
              <w:right w:val="single" w:sz="4" w:space="0" w:color="auto"/>
            </w:tcBorders>
            <w:shd w:val="clear" w:color="auto" w:fill="auto"/>
            <w:noWrap/>
            <w:vAlign w:val="center"/>
            <w:hideMark/>
          </w:tcPr>
          <w:p w14:paraId="57143E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£47.79</w:t>
            </w:r>
          </w:p>
        </w:tc>
        <w:tc>
          <w:tcPr>
            <w:tcW w:w="1417" w:type="dxa"/>
            <w:tcBorders>
              <w:top w:val="nil"/>
              <w:left w:val="nil"/>
              <w:bottom w:val="single" w:sz="4" w:space="0" w:color="auto"/>
              <w:right w:val="single" w:sz="4" w:space="0" w:color="auto"/>
            </w:tcBorders>
            <w:shd w:val="clear" w:color="auto" w:fill="auto"/>
            <w:noWrap/>
            <w:vAlign w:val="center"/>
            <w:hideMark/>
          </w:tcPr>
          <w:p w14:paraId="3E9C26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078295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37B4E7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2263C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FF4FC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£47.80</w:t>
            </w:r>
          </w:p>
        </w:tc>
      </w:tr>
      <w:tr w:rsidR="004433D7" w:rsidRPr="004433D7" w14:paraId="4CFE3B8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B9C6E1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2B384F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£17,595.13</w:t>
            </w:r>
          </w:p>
        </w:tc>
        <w:tc>
          <w:tcPr>
            <w:tcW w:w="1417" w:type="dxa"/>
            <w:tcBorders>
              <w:top w:val="nil"/>
              <w:left w:val="nil"/>
              <w:bottom w:val="single" w:sz="4" w:space="0" w:color="auto"/>
              <w:right w:val="single" w:sz="4" w:space="0" w:color="auto"/>
            </w:tcBorders>
            <w:shd w:val="clear" w:color="auto" w:fill="auto"/>
            <w:noWrap/>
            <w:vAlign w:val="center"/>
            <w:hideMark/>
          </w:tcPr>
          <w:p w14:paraId="2A6132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£4,398.78</w:t>
            </w:r>
          </w:p>
        </w:tc>
        <w:tc>
          <w:tcPr>
            <w:tcW w:w="1559" w:type="dxa"/>
            <w:tcBorders>
              <w:top w:val="nil"/>
              <w:left w:val="nil"/>
              <w:bottom w:val="single" w:sz="4" w:space="0" w:color="auto"/>
              <w:right w:val="single" w:sz="4" w:space="0" w:color="auto"/>
            </w:tcBorders>
            <w:shd w:val="clear" w:color="auto" w:fill="auto"/>
            <w:noWrap/>
            <w:vAlign w:val="center"/>
            <w:hideMark/>
          </w:tcPr>
          <w:p w14:paraId="6DC98C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£4,398.78</w:t>
            </w:r>
          </w:p>
        </w:tc>
        <w:tc>
          <w:tcPr>
            <w:tcW w:w="1418" w:type="dxa"/>
            <w:tcBorders>
              <w:top w:val="nil"/>
              <w:left w:val="nil"/>
              <w:bottom w:val="single" w:sz="4" w:space="0" w:color="auto"/>
              <w:right w:val="single" w:sz="4" w:space="0" w:color="auto"/>
            </w:tcBorders>
            <w:shd w:val="clear" w:color="auto" w:fill="auto"/>
            <w:noWrap/>
            <w:vAlign w:val="center"/>
            <w:hideMark/>
          </w:tcPr>
          <w:p w14:paraId="680D3B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£4,398.78</w:t>
            </w:r>
          </w:p>
        </w:tc>
        <w:tc>
          <w:tcPr>
            <w:tcW w:w="1559" w:type="dxa"/>
            <w:tcBorders>
              <w:top w:val="nil"/>
              <w:left w:val="nil"/>
              <w:bottom w:val="single" w:sz="4" w:space="0" w:color="auto"/>
              <w:right w:val="single" w:sz="4" w:space="0" w:color="auto"/>
            </w:tcBorders>
            <w:shd w:val="clear" w:color="auto" w:fill="auto"/>
            <w:noWrap/>
            <w:vAlign w:val="center"/>
            <w:hideMark/>
          </w:tcPr>
          <w:p w14:paraId="5EBF43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£4,398.78</w:t>
            </w:r>
          </w:p>
        </w:tc>
        <w:tc>
          <w:tcPr>
            <w:tcW w:w="1531" w:type="dxa"/>
            <w:tcBorders>
              <w:top w:val="nil"/>
              <w:left w:val="nil"/>
              <w:bottom w:val="single" w:sz="4" w:space="0" w:color="auto"/>
              <w:right w:val="single" w:sz="4" w:space="0" w:color="auto"/>
            </w:tcBorders>
            <w:shd w:val="clear" w:color="auto" w:fill="auto"/>
            <w:noWrap/>
            <w:vAlign w:val="center"/>
            <w:hideMark/>
          </w:tcPr>
          <w:p w14:paraId="6A8A0C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£17,595.12</w:t>
            </w:r>
          </w:p>
        </w:tc>
      </w:tr>
      <w:tr w:rsidR="004433D7" w:rsidRPr="004433D7" w14:paraId="41512505"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3F535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418" w:type="dxa"/>
            <w:tcBorders>
              <w:top w:val="nil"/>
              <w:left w:val="nil"/>
              <w:bottom w:val="single" w:sz="4" w:space="0" w:color="auto"/>
              <w:right w:val="single" w:sz="4" w:space="0" w:color="auto"/>
            </w:tcBorders>
            <w:shd w:val="clear" w:color="auto" w:fill="auto"/>
            <w:noWrap/>
            <w:vAlign w:val="center"/>
            <w:hideMark/>
          </w:tcPr>
          <w:p w14:paraId="286DC0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£135,593.57</w:t>
            </w:r>
          </w:p>
        </w:tc>
        <w:tc>
          <w:tcPr>
            <w:tcW w:w="1417" w:type="dxa"/>
            <w:tcBorders>
              <w:top w:val="nil"/>
              <w:left w:val="nil"/>
              <w:bottom w:val="single" w:sz="4" w:space="0" w:color="auto"/>
              <w:right w:val="single" w:sz="4" w:space="0" w:color="auto"/>
            </w:tcBorders>
            <w:shd w:val="clear" w:color="auto" w:fill="auto"/>
            <w:noWrap/>
            <w:vAlign w:val="center"/>
            <w:hideMark/>
          </w:tcPr>
          <w:p w14:paraId="15854E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£33,898.39</w:t>
            </w:r>
          </w:p>
        </w:tc>
        <w:tc>
          <w:tcPr>
            <w:tcW w:w="1559" w:type="dxa"/>
            <w:tcBorders>
              <w:top w:val="nil"/>
              <w:left w:val="nil"/>
              <w:bottom w:val="single" w:sz="4" w:space="0" w:color="auto"/>
              <w:right w:val="single" w:sz="4" w:space="0" w:color="auto"/>
            </w:tcBorders>
            <w:shd w:val="clear" w:color="auto" w:fill="auto"/>
            <w:noWrap/>
            <w:vAlign w:val="center"/>
            <w:hideMark/>
          </w:tcPr>
          <w:p w14:paraId="3623E0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£33,898.39</w:t>
            </w:r>
          </w:p>
        </w:tc>
        <w:tc>
          <w:tcPr>
            <w:tcW w:w="1418" w:type="dxa"/>
            <w:tcBorders>
              <w:top w:val="nil"/>
              <w:left w:val="nil"/>
              <w:bottom w:val="single" w:sz="4" w:space="0" w:color="auto"/>
              <w:right w:val="single" w:sz="4" w:space="0" w:color="auto"/>
            </w:tcBorders>
            <w:shd w:val="clear" w:color="auto" w:fill="auto"/>
            <w:noWrap/>
            <w:vAlign w:val="center"/>
            <w:hideMark/>
          </w:tcPr>
          <w:p w14:paraId="19676C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£33,898.39</w:t>
            </w:r>
          </w:p>
        </w:tc>
        <w:tc>
          <w:tcPr>
            <w:tcW w:w="1559" w:type="dxa"/>
            <w:tcBorders>
              <w:top w:val="nil"/>
              <w:left w:val="nil"/>
              <w:bottom w:val="single" w:sz="4" w:space="0" w:color="auto"/>
              <w:right w:val="single" w:sz="4" w:space="0" w:color="auto"/>
            </w:tcBorders>
            <w:shd w:val="clear" w:color="auto" w:fill="auto"/>
            <w:noWrap/>
            <w:vAlign w:val="center"/>
            <w:hideMark/>
          </w:tcPr>
          <w:p w14:paraId="2FCBB5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£33,898.39</w:t>
            </w:r>
          </w:p>
        </w:tc>
        <w:tc>
          <w:tcPr>
            <w:tcW w:w="1531" w:type="dxa"/>
            <w:tcBorders>
              <w:top w:val="nil"/>
              <w:left w:val="nil"/>
              <w:bottom w:val="single" w:sz="4" w:space="0" w:color="auto"/>
              <w:right w:val="single" w:sz="4" w:space="0" w:color="auto"/>
            </w:tcBorders>
            <w:shd w:val="clear" w:color="auto" w:fill="auto"/>
            <w:noWrap/>
            <w:vAlign w:val="center"/>
            <w:hideMark/>
          </w:tcPr>
          <w:p w14:paraId="34F1F5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£135,593.56</w:t>
            </w:r>
          </w:p>
        </w:tc>
      </w:tr>
      <w:tr w:rsidR="004433D7" w:rsidRPr="004433D7" w14:paraId="12D5C9B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105FBB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Business Power and Gas Limited</w:t>
            </w:r>
          </w:p>
        </w:tc>
        <w:tc>
          <w:tcPr>
            <w:tcW w:w="1418" w:type="dxa"/>
            <w:tcBorders>
              <w:top w:val="nil"/>
              <w:left w:val="nil"/>
              <w:bottom w:val="single" w:sz="4" w:space="0" w:color="auto"/>
              <w:right w:val="single" w:sz="4" w:space="0" w:color="auto"/>
            </w:tcBorders>
            <w:shd w:val="clear" w:color="auto" w:fill="auto"/>
            <w:noWrap/>
            <w:vAlign w:val="center"/>
            <w:hideMark/>
          </w:tcPr>
          <w:p w14:paraId="3D979A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£4,585.81</w:t>
            </w:r>
          </w:p>
        </w:tc>
        <w:tc>
          <w:tcPr>
            <w:tcW w:w="1417" w:type="dxa"/>
            <w:tcBorders>
              <w:top w:val="nil"/>
              <w:left w:val="nil"/>
              <w:bottom w:val="single" w:sz="4" w:space="0" w:color="auto"/>
              <w:right w:val="single" w:sz="4" w:space="0" w:color="auto"/>
            </w:tcBorders>
            <w:shd w:val="clear" w:color="auto" w:fill="auto"/>
            <w:noWrap/>
            <w:vAlign w:val="center"/>
            <w:hideMark/>
          </w:tcPr>
          <w:p w14:paraId="7C0CA2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£1,146.45</w:t>
            </w:r>
          </w:p>
        </w:tc>
        <w:tc>
          <w:tcPr>
            <w:tcW w:w="1559" w:type="dxa"/>
            <w:tcBorders>
              <w:top w:val="nil"/>
              <w:left w:val="nil"/>
              <w:bottom w:val="single" w:sz="4" w:space="0" w:color="auto"/>
              <w:right w:val="single" w:sz="4" w:space="0" w:color="auto"/>
            </w:tcBorders>
            <w:shd w:val="clear" w:color="auto" w:fill="auto"/>
            <w:noWrap/>
            <w:vAlign w:val="center"/>
            <w:hideMark/>
          </w:tcPr>
          <w:p w14:paraId="0BC458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£1,146.45</w:t>
            </w:r>
          </w:p>
        </w:tc>
        <w:tc>
          <w:tcPr>
            <w:tcW w:w="1418" w:type="dxa"/>
            <w:tcBorders>
              <w:top w:val="nil"/>
              <w:left w:val="nil"/>
              <w:bottom w:val="single" w:sz="4" w:space="0" w:color="auto"/>
              <w:right w:val="single" w:sz="4" w:space="0" w:color="auto"/>
            </w:tcBorders>
            <w:shd w:val="clear" w:color="auto" w:fill="auto"/>
            <w:noWrap/>
            <w:vAlign w:val="center"/>
            <w:hideMark/>
          </w:tcPr>
          <w:p w14:paraId="06852F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£1,146.45</w:t>
            </w:r>
          </w:p>
        </w:tc>
        <w:tc>
          <w:tcPr>
            <w:tcW w:w="1559" w:type="dxa"/>
            <w:tcBorders>
              <w:top w:val="nil"/>
              <w:left w:val="nil"/>
              <w:bottom w:val="single" w:sz="4" w:space="0" w:color="auto"/>
              <w:right w:val="single" w:sz="4" w:space="0" w:color="auto"/>
            </w:tcBorders>
            <w:shd w:val="clear" w:color="auto" w:fill="auto"/>
            <w:noWrap/>
            <w:vAlign w:val="center"/>
            <w:hideMark/>
          </w:tcPr>
          <w:p w14:paraId="3E7C10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£1,146.45</w:t>
            </w:r>
          </w:p>
        </w:tc>
        <w:tc>
          <w:tcPr>
            <w:tcW w:w="1531" w:type="dxa"/>
            <w:tcBorders>
              <w:top w:val="nil"/>
              <w:left w:val="nil"/>
              <w:bottom w:val="single" w:sz="4" w:space="0" w:color="auto"/>
              <w:right w:val="single" w:sz="4" w:space="0" w:color="auto"/>
            </w:tcBorders>
            <w:shd w:val="clear" w:color="auto" w:fill="auto"/>
            <w:noWrap/>
            <w:vAlign w:val="center"/>
            <w:hideMark/>
          </w:tcPr>
          <w:p w14:paraId="387F9D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£4,585.80</w:t>
            </w:r>
          </w:p>
        </w:tc>
      </w:tr>
      <w:tr w:rsidR="004433D7" w:rsidRPr="004433D7" w14:paraId="18DC969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A76DA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CNG Electricity Limited</w:t>
            </w:r>
          </w:p>
        </w:tc>
        <w:tc>
          <w:tcPr>
            <w:tcW w:w="1418" w:type="dxa"/>
            <w:tcBorders>
              <w:top w:val="nil"/>
              <w:left w:val="nil"/>
              <w:bottom w:val="single" w:sz="4" w:space="0" w:color="auto"/>
              <w:right w:val="single" w:sz="4" w:space="0" w:color="auto"/>
            </w:tcBorders>
            <w:shd w:val="clear" w:color="auto" w:fill="auto"/>
            <w:noWrap/>
            <w:vAlign w:val="center"/>
            <w:hideMark/>
          </w:tcPr>
          <w:p w14:paraId="682799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£45.31</w:t>
            </w:r>
          </w:p>
        </w:tc>
        <w:tc>
          <w:tcPr>
            <w:tcW w:w="1417" w:type="dxa"/>
            <w:tcBorders>
              <w:top w:val="nil"/>
              <w:left w:val="nil"/>
              <w:bottom w:val="single" w:sz="4" w:space="0" w:color="auto"/>
              <w:right w:val="single" w:sz="4" w:space="0" w:color="auto"/>
            </w:tcBorders>
            <w:shd w:val="clear" w:color="auto" w:fill="auto"/>
            <w:noWrap/>
            <w:vAlign w:val="center"/>
            <w:hideMark/>
          </w:tcPr>
          <w:p w14:paraId="5225B1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559" w:type="dxa"/>
            <w:tcBorders>
              <w:top w:val="nil"/>
              <w:left w:val="nil"/>
              <w:bottom w:val="single" w:sz="4" w:space="0" w:color="auto"/>
              <w:right w:val="single" w:sz="4" w:space="0" w:color="auto"/>
            </w:tcBorders>
            <w:shd w:val="clear" w:color="auto" w:fill="auto"/>
            <w:noWrap/>
            <w:vAlign w:val="center"/>
            <w:hideMark/>
          </w:tcPr>
          <w:p w14:paraId="0B1E0C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418" w:type="dxa"/>
            <w:tcBorders>
              <w:top w:val="nil"/>
              <w:left w:val="nil"/>
              <w:bottom w:val="single" w:sz="4" w:space="0" w:color="auto"/>
              <w:right w:val="single" w:sz="4" w:space="0" w:color="auto"/>
            </w:tcBorders>
            <w:shd w:val="clear" w:color="auto" w:fill="auto"/>
            <w:noWrap/>
            <w:vAlign w:val="center"/>
            <w:hideMark/>
          </w:tcPr>
          <w:p w14:paraId="1ACF45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559" w:type="dxa"/>
            <w:tcBorders>
              <w:top w:val="nil"/>
              <w:left w:val="nil"/>
              <w:bottom w:val="single" w:sz="4" w:space="0" w:color="auto"/>
              <w:right w:val="single" w:sz="4" w:space="0" w:color="auto"/>
            </w:tcBorders>
            <w:shd w:val="clear" w:color="auto" w:fill="auto"/>
            <w:noWrap/>
            <w:vAlign w:val="center"/>
            <w:hideMark/>
          </w:tcPr>
          <w:p w14:paraId="1C9CD2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£11.33</w:t>
            </w:r>
          </w:p>
        </w:tc>
        <w:tc>
          <w:tcPr>
            <w:tcW w:w="1531" w:type="dxa"/>
            <w:tcBorders>
              <w:top w:val="nil"/>
              <w:left w:val="nil"/>
              <w:bottom w:val="single" w:sz="4" w:space="0" w:color="auto"/>
              <w:right w:val="single" w:sz="4" w:space="0" w:color="auto"/>
            </w:tcBorders>
            <w:shd w:val="clear" w:color="auto" w:fill="auto"/>
            <w:noWrap/>
            <w:vAlign w:val="center"/>
            <w:hideMark/>
          </w:tcPr>
          <w:p w14:paraId="474ABA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£45.32</w:t>
            </w:r>
          </w:p>
        </w:tc>
      </w:tr>
      <w:tr w:rsidR="004433D7" w:rsidRPr="004433D7" w14:paraId="1E25D6F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18A150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095525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£22,062.30</w:t>
            </w:r>
          </w:p>
        </w:tc>
        <w:tc>
          <w:tcPr>
            <w:tcW w:w="1417" w:type="dxa"/>
            <w:tcBorders>
              <w:top w:val="nil"/>
              <w:left w:val="nil"/>
              <w:bottom w:val="single" w:sz="4" w:space="0" w:color="auto"/>
              <w:right w:val="single" w:sz="4" w:space="0" w:color="auto"/>
            </w:tcBorders>
            <w:shd w:val="clear" w:color="auto" w:fill="auto"/>
            <w:noWrap/>
            <w:vAlign w:val="center"/>
            <w:hideMark/>
          </w:tcPr>
          <w:p w14:paraId="228A95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£9,520.53</w:t>
            </w:r>
          </w:p>
        </w:tc>
        <w:tc>
          <w:tcPr>
            <w:tcW w:w="1559" w:type="dxa"/>
            <w:tcBorders>
              <w:top w:val="nil"/>
              <w:left w:val="nil"/>
              <w:bottom w:val="single" w:sz="4" w:space="0" w:color="auto"/>
              <w:right w:val="single" w:sz="4" w:space="0" w:color="auto"/>
            </w:tcBorders>
            <w:shd w:val="clear" w:color="auto" w:fill="auto"/>
            <w:noWrap/>
            <w:vAlign w:val="center"/>
            <w:hideMark/>
          </w:tcPr>
          <w:p w14:paraId="398E93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£9,520.53</w:t>
            </w:r>
          </w:p>
        </w:tc>
        <w:tc>
          <w:tcPr>
            <w:tcW w:w="1418" w:type="dxa"/>
            <w:tcBorders>
              <w:top w:val="nil"/>
              <w:left w:val="nil"/>
              <w:bottom w:val="single" w:sz="4" w:space="0" w:color="auto"/>
              <w:right w:val="single" w:sz="4" w:space="0" w:color="auto"/>
            </w:tcBorders>
            <w:shd w:val="clear" w:color="auto" w:fill="auto"/>
            <w:noWrap/>
            <w:vAlign w:val="center"/>
            <w:hideMark/>
          </w:tcPr>
          <w:p w14:paraId="2DC5F7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£9,520.53</w:t>
            </w:r>
          </w:p>
        </w:tc>
        <w:tc>
          <w:tcPr>
            <w:tcW w:w="1559" w:type="dxa"/>
            <w:tcBorders>
              <w:top w:val="nil"/>
              <w:left w:val="nil"/>
              <w:bottom w:val="single" w:sz="4" w:space="0" w:color="auto"/>
              <w:right w:val="single" w:sz="4" w:space="0" w:color="auto"/>
            </w:tcBorders>
            <w:shd w:val="clear" w:color="auto" w:fill="auto"/>
            <w:noWrap/>
            <w:vAlign w:val="center"/>
            <w:hideMark/>
          </w:tcPr>
          <w:p w14:paraId="1EB4B4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£9,520.53</w:t>
            </w:r>
          </w:p>
        </w:tc>
        <w:tc>
          <w:tcPr>
            <w:tcW w:w="1531" w:type="dxa"/>
            <w:tcBorders>
              <w:top w:val="nil"/>
              <w:left w:val="nil"/>
              <w:bottom w:val="single" w:sz="4" w:space="0" w:color="auto"/>
              <w:right w:val="single" w:sz="4" w:space="0" w:color="auto"/>
            </w:tcBorders>
            <w:shd w:val="clear" w:color="auto" w:fill="auto"/>
            <w:noWrap/>
            <w:vAlign w:val="center"/>
            <w:hideMark/>
          </w:tcPr>
          <w:p w14:paraId="157AAC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£38,082.12</w:t>
            </w:r>
          </w:p>
        </w:tc>
      </w:tr>
      <w:tr w:rsidR="004433D7" w:rsidRPr="004433D7" w14:paraId="3DF0CE4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CB3ABF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4 Limited</w:t>
            </w:r>
          </w:p>
        </w:tc>
        <w:tc>
          <w:tcPr>
            <w:tcW w:w="1418" w:type="dxa"/>
            <w:tcBorders>
              <w:top w:val="nil"/>
              <w:left w:val="nil"/>
              <w:bottom w:val="single" w:sz="4" w:space="0" w:color="auto"/>
              <w:right w:val="single" w:sz="4" w:space="0" w:color="auto"/>
            </w:tcBorders>
            <w:shd w:val="clear" w:color="auto" w:fill="auto"/>
            <w:noWrap/>
            <w:vAlign w:val="center"/>
            <w:hideMark/>
          </w:tcPr>
          <w:p w14:paraId="03D85F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£14,284.72</w:t>
            </w:r>
          </w:p>
        </w:tc>
        <w:tc>
          <w:tcPr>
            <w:tcW w:w="1417" w:type="dxa"/>
            <w:tcBorders>
              <w:top w:val="nil"/>
              <w:left w:val="nil"/>
              <w:bottom w:val="single" w:sz="4" w:space="0" w:color="auto"/>
              <w:right w:val="single" w:sz="4" w:space="0" w:color="auto"/>
            </w:tcBorders>
            <w:shd w:val="clear" w:color="auto" w:fill="auto"/>
            <w:noWrap/>
            <w:vAlign w:val="center"/>
            <w:hideMark/>
          </w:tcPr>
          <w:p w14:paraId="1ECCAE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£3,571.18</w:t>
            </w:r>
          </w:p>
        </w:tc>
        <w:tc>
          <w:tcPr>
            <w:tcW w:w="1559" w:type="dxa"/>
            <w:tcBorders>
              <w:top w:val="nil"/>
              <w:left w:val="nil"/>
              <w:bottom w:val="single" w:sz="4" w:space="0" w:color="auto"/>
              <w:right w:val="single" w:sz="4" w:space="0" w:color="auto"/>
            </w:tcBorders>
            <w:shd w:val="clear" w:color="auto" w:fill="auto"/>
            <w:noWrap/>
            <w:vAlign w:val="center"/>
            <w:hideMark/>
          </w:tcPr>
          <w:p w14:paraId="2D426D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£3,571.18</w:t>
            </w:r>
          </w:p>
        </w:tc>
        <w:tc>
          <w:tcPr>
            <w:tcW w:w="1418" w:type="dxa"/>
            <w:tcBorders>
              <w:top w:val="nil"/>
              <w:left w:val="nil"/>
              <w:bottom w:val="single" w:sz="4" w:space="0" w:color="auto"/>
              <w:right w:val="single" w:sz="4" w:space="0" w:color="auto"/>
            </w:tcBorders>
            <w:shd w:val="clear" w:color="auto" w:fill="auto"/>
            <w:noWrap/>
            <w:vAlign w:val="center"/>
            <w:hideMark/>
          </w:tcPr>
          <w:p w14:paraId="685CA0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£3,571.18</w:t>
            </w:r>
          </w:p>
        </w:tc>
        <w:tc>
          <w:tcPr>
            <w:tcW w:w="1559" w:type="dxa"/>
            <w:tcBorders>
              <w:top w:val="nil"/>
              <w:left w:val="nil"/>
              <w:bottom w:val="single" w:sz="4" w:space="0" w:color="auto"/>
              <w:right w:val="single" w:sz="4" w:space="0" w:color="auto"/>
            </w:tcBorders>
            <w:shd w:val="clear" w:color="auto" w:fill="auto"/>
            <w:noWrap/>
            <w:vAlign w:val="center"/>
            <w:hideMark/>
          </w:tcPr>
          <w:p w14:paraId="449364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£3,571.18</w:t>
            </w:r>
          </w:p>
        </w:tc>
        <w:tc>
          <w:tcPr>
            <w:tcW w:w="1531" w:type="dxa"/>
            <w:tcBorders>
              <w:top w:val="nil"/>
              <w:left w:val="nil"/>
              <w:bottom w:val="single" w:sz="4" w:space="0" w:color="auto"/>
              <w:right w:val="single" w:sz="4" w:space="0" w:color="auto"/>
            </w:tcBorders>
            <w:shd w:val="clear" w:color="auto" w:fill="auto"/>
            <w:noWrap/>
            <w:vAlign w:val="center"/>
            <w:hideMark/>
          </w:tcPr>
          <w:p w14:paraId="657E6B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£14,284.72</w:t>
            </w:r>
          </w:p>
        </w:tc>
      </w:tr>
      <w:tr w:rsidR="004433D7" w:rsidRPr="004433D7" w14:paraId="69187A4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271DC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Daisy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29AEA2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£1,019.16</w:t>
            </w:r>
          </w:p>
        </w:tc>
        <w:tc>
          <w:tcPr>
            <w:tcW w:w="1417" w:type="dxa"/>
            <w:tcBorders>
              <w:top w:val="nil"/>
              <w:left w:val="nil"/>
              <w:bottom w:val="single" w:sz="4" w:space="0" w:color="auto"/>
              <w:right w:val="single" w:sz="4" w:space="0" w:color="auto"/>
            </w:tcBorders>
            <w:shd w:val="clear" w:color="auto" w:fill="auto"/>
            <w:noWrap/>
            <w:vAlign w:val="center"/>
            <w:hideMark/>
          </w:tcPr>
          <w:p w14:paraId="2BA0CE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£254.79</w:t>
            </w:r>
          </w:p>
        </w:tc>
        <w:tc>
          <w:tcPr>
            <w:tcW w:w="1559" w:type="dxa"/>
            <w:tcBorders>
              <w:top w:val="nil"/>
              <w:left w:val="nil"/>
              <w:bottom w:val="single" w:sz="4" w:space="0" w:color="auto"/>
              <w:right w:val="single" w:sz="4" w:space="0" w:color="auto"/>
            </w:tcBorders>
            <w:shd w:val="clear" w:color="auto" w:fill="auto"/>
            <w:noWrap/>
            <w:vAlign w:val="center"/>
            <w:hideMark/>
          </w:tcPr>
          <w:p w14:paraId="530EB0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£254.79</w:t>
            </w:r>
          </w:p>
        </w:tc>
        <w:tc>
          <w:tcPr>
            <w:tcW w:w="1418" w:type="dxa"/>
            <w:tcBorders>
              <w:top w:val="nil"/>
              <w:left w:val="nil"/>
              <w:bottom w:val="single" w:sz="4" w:space="0" w:color="auto"/>
              <w:right w:val="single" w:sz="4" w:space="0" w:color="auto"/>
            </w:tcBorders>
            <w:shd w:val="clear" w:color="auto" w:fill="auto"/>
            <w:noWrap/>
            <w:vAlign w:val="center"/>
            <w:hideMark/>
          </w:tcPr>
          <w:p w14:paraId="75A28D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81B7B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15FF3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£509.58</w:t>
            </w:r>
          </w:p>
        </w:tc>
      </w:tr>
      <w:tr w:rsidR="004433D7" w:rsidRPr="004433D7" w14:paraId="571AFAF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B18C7B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Delta Gas and Power Limited </w:t>
            </w:r>
          </w:p>
        </w:tc>
        <w:tc>
          <w:tcPr>
            <w:tcW w:w="1418" w:type="dxa"/>
            <w:tcBorders>
              <w:top w:val="nil"/>
              <w:left w:val="nil"/>
              <w:bottom w:val="single" w:sz="4" w:space="0" w:color="auto"/>
              <w:right w:val="single" w:sz="4" w:space="0" w:color="auto"/>
            </w:tcBorders>
            <w:shd w:val="clear" w:color="auto" w:fill="auto"/>
            <w:noWrap/>
            <w:vAlign w:val="center"/>
            <w:hideMark/>
          </w:tcPr>
          <w:p w14:paraId="30B2BF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£173.84</w:t>
            </w:r>
          </w:p>
        </w:tc>
        <w:tc>
          <w:tcPr>
            <w:tcW w:w="1417" w:type="dxa"/>
            <w:tcBorders>
              <w:top w:val="nil"/>
              <w:left w:val="nil"/>
              <w:bottom w:val="single" w:sz="4" w:space="0" w:color="auto"/>
              <w:right w:val="single" w:sz="4" w:space="0" w:color="auto"/>
            </w:tcBorders>
            <w:shd w:val="clear" w:color="auto" w:fill="auto"/>
            <w:noWrap/>
            <w:vAlign w:val="center"/>
            <w:hideMark/>
          </w:tcPr>
          <w:p w14:paraId="5462B9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£43.46</w:t>
            </w:r>
          </w:p>
        </w:tc>
        <w:tc>
          <w:tcPr>
            <w:tcW w:w="1559" w:type="dxa"/>
            <w:tcBorders>
              <w:top w:val="nil"/>
              <w:left w:val="nil"/>
              <w:bottom w:val="single" w:sz="4" w:space="0" w:color="auto"/>
              <w:right w:val="single" w:sz="4" w:space="0" w:color="auto"/>
            </w:tcBorders>
            <w:shd w:val="clear" w:color="auto" w:fill="auto"/>
            <w:noWrap/>
            <w:vAlign w:val="center"/>
            <w:hideMark/>
          </w:tcPr>
          <w:p w14:paraId="6A6508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£43.46</w:t>
            </w:r>
          </w:p>
        </w:tc>
        <w:tc>
          <w:tcPr>
            <w:tcW w:w="1418" w:type="dxa"/>
            <w:tcBorders>
              <w:top w:val="nil"/>
              <w:left w:val="nil"/>
              <w:bottom w:val="single" w:sz="4" w:space="0" w:color="auto"/>
              <w:right w:val="single" w:sz="4" w:space="0" w:color="auto"/>
            </w:tcBorders>
            <w:shd w:val="clear" w:color="auto" w:fill="auto"/>
            <w:noWrap/>
            <w:vAlign w:val="center"/>
            <w:hideMark/>
          </w:tcPr>
          <w:p w14:paraId="4116E8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£43.88</w:t>
            </w:r>
          </w:p>
        </w:tc>
        <w:tc>
          <w:tcPr>
            <w:tcW w:w="1559" w:type="dxa"/>
            <w:tcBorders>
              <w:top w:val="nil"/>
              <w:left w:val="nil"/>
              <w:bottom w:val="single" w:sz="4" w:space="0" w:color="auto"/>
              <w:right w:val="single" w:sz="4" w:space="0" w:color="auto"/>
            </w:tcBorders>
            <w:shd w:val="clear" w:color="auto" w:fill="auto"/>
            <w:noWrap/>
            <w:vAlign w:val="center"/>
            <w:hideMark/>
          </w:tcPr>
          <w:p w14:paraId="26E5CD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£43.22</w:t>
            </w:r>
          </w:p>
        </w:tc>
        <w:tc>
          <w:tcPr>
            <w:tcW w:w="1531" w:type="dxa"/>
            <w:tcBorders>
              <w:top w:val="nil"/>
              <w:left w:val="nil"/>
              <w:bottom w:val="single" w:sz="4" w:space="0" w:color="auto"/>
              <w:right w:val="single" w:sz="4" w:space="0" w:color="auto"/>
            </w:tcBorders>
            <w:shd w:val="clear" w:color="auto" w:fill="auto"/>
            <w:noWrap/>
            <w:vAlign w:val="center"/>
            <w:hideMark/>
          </w:tcPr>
          <w:p w14:paraId="590605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£174.02</w:t>
            </w:r>
          </w:p>
        </w:tc>
      </w:tr>
      <w:tr w:rsidR="004433D7" w:rsidRPr="004433D7" w14:paraId="260DD3B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1BE61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418" w:type="dxa"/>
            <w:tcBorders>
              <w:top w:val="nil"/>
              <w:left w:val="nil"/>
              <w:bottom w:val="single" w:sz="4" w:space="0" w:color="auto"/>
              <w:right w:val="single" w:sz="4" w:space="0" w:color="auto"/>
            </w:tcBorders>
            <w:shd w:val="clear" w:color="auto" w:fill="auto"/>
            <w:noWrap/>
            <w:vAlign w:val="center"/>
            <w:hideMark/>
          </w:tcPr>
          <w:p w14:paraId="66562D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£26,841.72</w:t>
            </w:r>
          </w:p>
        </w:tc>
        <w:tc>
          <w:tcPr>
            <w:tcW w:w="1417" w:type="dxa"/>
            <w:tcBorders>
              <w:top w:val="nil"/>
              <w:left w:val="nil"/>
              <w:bottom w:val="single" w:sz="4" w:space="0" w:color="auto"/>
              <w:right w:val="single" w:sz="4" w:space="0" w:color="auto"/>
            </w:tcBorders>
            <w:shd w:val="clear" w:color="auto" w:fill="auto"/>
            <w:noWrap/>
            <w:vAlign w:val="center"/>
            <w:hideMark/>
          </w:tcPr>
          <w:p w14:paraId="13274B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£6,710.43</w:t>
            </w:r>
          </w:p>
        </w:tc>
        <w:tc>
          <w:tcPr>
            <w:tcW w:w="1559" w:type="dxa"/>
            <w:tcBorders>
              <w:top w:val="nil"/>
              <w:left w:val="nil"/>
              <w:bottom w:val="single" w:sz="4" w:space="0" w:color="auto"/>
              <w:right w:val="single" w:sz="4" w:space="0" w:color="auto"/>
            </w:tcBorders>
            <w:shd w:val="clear" w:color="auto" w:fill="auto"/>
            <w:noWrap/>
            <w:vAlign w:val="center"/>
            <w:hideMark/>
          </w:tcPr>
          <w:p w14:paraId="658501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£6,710.43</w:t>
            </w:r>
          </w:p>
        </w:tc>
        <w:tc>
          <w:tcPr>
            <w:tcW w:w="1418" w:type="dxa"/>
            <w:tcBorders>
              <w:top w:val="nil"/>
              <w:left w:val="nil"/>
              <w:bottom w:val="single" w:sz="4" w:space="0" w:color="auto"/>
              <w:right w:val="single" w:sz="4" w:space="0" w:color="auto"/>
            </w:tcBorders>
            <w:shd w:val="clear" w:color="auto" w:fill="auto"/>
            <w:noWrap/>
            <w:vAlign w:val="center"/>
            <w:hideMark/>
          </w:tcPr>
          <w:p w14:paraId="3A9FAC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£6,710.43</w:t>
            </w:r>
          </w:p>
        </w:tc>
        <w:tc>
          <w:tcPr>
            <w:tcW w:w="1559" w:type="dxa"/>
            <w:tcBorders>
              <w:top w:val="nil"/>
              <w:left w:val="nil"/>
              <w:bottom w:val="single" w:sz="4" w:space="0" w:color="auto"/>
              <w:right w:val="single" w:sz="4" w:space="0" w:color="auto"/>
            </w:tcBorders>
            <w:shd w:val="clear" w:color="auto" w:fill="auto"/>
            <w:noWrap/>
            <w:vAlign w:val="center"/>
            <w:hideMark/>
          </w:tcPr>
          <w:p w14:paraId="1A96C3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£6,710.43</w:t>
            </w:r>
          </w:p>
        </w:tc>
        <w:tc>
          <w:tcPr>
            <w:tcW w:w="1531" w:type="dxa"/>
            <w:tcBorders>
              <w:top w:val="nil"/>
              <w:left w:val="nil"/>
              <w:bottom w:val="single" w:sz="4" w:space="0" w:color="auto"/>
              <w:right w:val="single" w:sz="4" w:space="0" w:color="auto"/>
            </w:tcBorders>
            <w:shd w:val="clear" w:color="auto" w:fill="auto"/>
            <w:noWrap/>
            <w:vAlign w:val="center"/>
            <w:hideMark/>
          </w:tcPr>
          <w:p w14:paraId="24D54D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£26,841.72</w:t>
            </w:r>
          </w:p>
        </w:tc>
      </w:tr>
      <w:tr w:rsidR="004433D7" w:rsidRPr="004433D7" w14:paraId="29130EE4"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B80397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 (Gas and Electricity) Limited</w:t>
            </w:r>
          </w:p>
        </w:tc>
        <w:tc>
          <w:tcPr>
            <w:tcW w:w="1418" w:type="dxa"/>
            <w:tcBorders>
              <w:top w:val="nil"/>
              <w:left w:val="nil"/>
              <w:bottom w:val="single" w:sz="4" w:space="0" w:color="auto"/>
              <w:right w:val="single" w:sz="4" w:space="0" w:color="auto"/>
            </w:tcBorders>
            <w:shd w:val="clear" w:color="auto" w:fill="auto"/>
            <w:noWrap/>
            <w:vAlign w:val="center"/>
            <w:hideMark/>
          </w:tcPr>
          <w:p w14:paraId="0128B1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£18,072.17</w:t>
            </w:r>
          </w:p>
        </w:tc>
        <w:tc>
          <w:tcPr>
            <w:tcW w:w="1417" w:type="dxa"/>
            <w:tcBorders>
              <w:top w:val="nil"/>
              <w:left w:val="nil"/>
              <w:bottom w:val="single" w:sz="4" w:space="0" w:color="auto"/>
              <w:right w:val="single" w:sz="4" w:space="0" w:color="auto"/>
            </w:tcBorders>
            <w:shd w:val="clear" w:color="auto" w:fill="auto"/>
            <w:noWrap/>
            <w:vAlign w:val="center"/>
            <w:hideMark/>
          </w:tcPr>
          <w:p w14:paraId="111DAD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£4,518.04</w:t>
            </w:r>
          </w:p>
        </w:tc>
        <w:tc>
          <w:tcPr>
            <w:tcW w:w="1559" w:type="dxa"/>
            <w:tcBorders>
              <w:top w:val="nil"/>
              <w:left w:val="nil"/>
              <w:bottom w:val="single" w:sz="4" w:space="0" w:color="auto"/>
              <w:right w:val="single" w:sz="4" w:space="0" w:color="auto"/>
            </w:tcBorders>
            <w:shd w:val="clear" w:color="auto" w:fill="auto"/>
            <w:noWrap/>
            <w:vAlign w:val="center"/>
            <w:hideMark/>
          </w:tcPr>
          <w:p w14:paraId="3A8EFB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£4,518.04</w:t>
            </w:r>
          </w:p>
        </w:tc>
        <w:tc>
          <w:tcPr>
            <w:tcW w:w="1418" w:type="dxa"/>
            <w:tcBorders>
              <w:top w:val="nil"/>
              <w:left w:val="nil"/>
              <w:bottom w:val="single" w:sz="4" w:space="0" w:color="auto"/>
              <w:right w:val="single" w:sz="4" w:space="0" w:color="auto"/>
            </w:tcBorders>
            <w:shd w:val="clear" w:color="auto" w:fill="auto"/>
            <w:noWrap/>
            <w:vAlign w:val="center"/>
            <w:hideMark/>
          </w:tcPr>
          <w:p w14:paraId="1A64AA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£4,518.04</w:t>
            </w:r>
          </w:p>
        </w:tc>
        <w:tc>
          <w:tcPr>
            <w:tcW w:w="1559" w:type="dxa"/>
            <w:tcBorders>
              <w:top w:val="nil"/>
              <w:left w:val="nil"/>
              <w:bottom w:val="single" w:sz="4" w:space="0" w:color="auto"/>
              <w:right w:val="single" w:sz="4" w:space="0" w:color="auto"/>
            </w:tcBorders>
            <w:shd w:val="clear" w:color="auto" w:fill="auto"/>
            <w:noWrap/>
            <w:vAlign w:val="center"/>
            <w:hideMark/>
          </w:tcPr>
          <w:p w14:paraId="22FA47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£4,518.04</w:t>
            </w:r>
          </w:p>
        </w:tc>
        <w:tc>
          <w:tcPr>
            <w:tcW w:w="1531" w:type="dxa"/>
            <w:tcBorders>
              <w:top w:val="nil"/>
              <w:left w:val="nil"/>
              <w:bottom w:val="single" w:sz="4" w:space="0" w:color="auto"/>
              <w:right w:val="single" w:sz="4" w:space="0" w:color="auto"/>
            </w:tcBorders>
            <w:shd w:val="clear" w:color="auto" w:fill="auto"/>
            <w:noWrap/>
            <w:vAlign w:val="center"/>
            <w:hideMark/>
          </w:tcPr>
          <w:p w14:paraId="76940F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£18,072.16</w:t>
            </w:r>
          </w:p>
        </w:tc>
      </w:tr>
      <w:tr w:rsidR="004433D7" w:rsidRPr="004433D7" w14:paraId="1B6D626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2F034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418" w:type="dxa"/>
            <w:tcBorders>
              <w:top w:val="nil"/>
              <w:left w:val="nil"/>
              <w:bottom w:val="single" w:sz="4" w:space="0" w:color="auto"/>
              <w:right w:val="single" w:sz="4" w:space="0" w:color="auto"/>
            </w:tcBorders>
            <w:shd w:val="clear" w:color="auto" w:fill="auto"/>
            <w:noWrap/>
            <w:vAlign w:val="center"/>
            <w:hideMark/>
          </w:tcPr>
          <w:p w14:paraId="359E0C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£338,172.40</w:t>
            </w:r>
          </w:p>
        </w:tc>
        <w:tc>
          <w:tcPr>
            <w:tcW w:w="1417" w:type="dxa"/>
            <w:tcBorders>
              <w:top w:val="nil"/>
              <w:left w:val="nil"/>
              <w:bottom w:val="single" w:sz="4" w:space="0" w:color="auto"/>
              <w:right w:val="single" w:sz="4" w:space="0" w:color="auto"/>
            </w:tcBorders>
            <w:shd w:val="clear" w:color="auto" w:fill="auto"/>
            <w:noWrap/>
            <w:vAlign w:val="center"/>
            <w:hideMark/>
          </w:tcPr>
          <w:p w14:paraId="0B44AE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£84,543.10</w:t>
            </w:r>
          </w:p>
        </w:tc>
        <w:tc>
          <w:tcPr>
            <w:tcW w:w="1559" w:type="dxa"/>
            <w:tcBorders>
              <w:top w:val="nil"/>
              <w:left w:val="nil"/>
              <w:bottom w:val="single" w:sz="4" w:space="0" w:color="auto"/>
              <w:right w:val="single" w:sz="4" w:space="0" w:color="auto"/>
            </w:tcBorders>
            <w:shd w:val="clear" w:color="auto" w:fill="auto"/>
            <w:noWrap/>
            <w:vAlign w:val="center"/>
            <w:hideMark/>
          </w:tcPr>
          <w:p w14:paraId="64DD99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£84,543.10</w:t>
            </w:r>
          </w:p>
        </w:tc>
        <w:tc>
          <w:tcPr>
            <w:tcW w:w="1418" w:type="dxa"/>
            <w:tcBorders>
              <w:top w:val="nil"/>
              <w:left w:val="nil"/>
              <w:bottom w:val="single" w:sz="4" w:space="0" w:color="auto"/>
              <w:right w:val="single" w:sz="4" w:space="0" w:color="auto"/>
            </w:tcBorders>
            <w:shd w:val="clear" w:color="auto" w:fill="auto"/>
            <w:noWrap/>
            <w:vAlign w:val="center"/>
            <w:hideMark/>
          </w:tcPr>
          <w:p w14:paraId="245D66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£84,543.10</w:t>
            </w:r>
          </w:p>
        </w:tc>
        <w:tc>
          <w:tcPr>
            <w:tcW w:w="1559" w:type="dxa"/>
            <w:tcBorders>
              <w:top w:val="nil"/>
              <w:left w:val="nil"/>
              <w:bottom w:val="single" w:sz="4" w:space="0" w:color="auto"/>
              <w:right w:val="single" w:sz="4" w:space="0" w:color="auto"/>
            </w:tcBorders>
            <w:shd w:val="clear" w:color="auto" w:fill="auto"/>
            <w:noWrap/>
            <w:vAlign w:val="center"/>
            <w:hideMark/>
          </w:tcPr>
          <w:p w14:paraId="2E25AE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£84,543.10</w:t>
            </w:r>
          </w:p>
        </w:tc>
        <w:tc>
          <w:tcPr>
            <w:tcW w:w="1531" w:type="dxa"/>
            <w:tcBorders>
              <w:top w:val="nil"/>
              <w:left w:val="nil"/>
              <w:bottom w:val="single" w:sz="4" w:space="0" w:color="auto"/>
              <w:right w:val="single" w:sz="4" w:space="0" w:color="auto"/>
            </w:tcBorders>
            <w:shd w:val="clear" w:color="auto" w:fill="auto"/>
            <w:noWrap/>
            <w:vAlign w:val="center"/>
            <w:hideMark/>
          </w:tcPr>
          <w:p w14:paraId="76A462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£338,172.40</w:t>
            </w:r>
          </w:p>
        </w:tc>
      </w:tr>
      <w:tr w:rsidR="004433D7" w:rsidRPr="004433D7" w14:paraId="02979C3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65C10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418" w:type="dxa"/>
            <w:tcBorders>
              <w:top w:val="nil"/>
              <w:left w:val="nil"/>
              <w:bottom w:val="single" w:sz="4" w:space="0" w:color="auto"/>
              <w:right w:val="single" w:sz="4" w:space="0" w:color="auto"/>
            </w:tcBorders>
            <w:shd w:val="clear" w:color="auto" w:fill="auto"/>
            <w:noWrap/>
            <w:vAlign w:val="center"/>
            <w:hideMark/>
          </w:tcPr>
          <w:p w14:paraId="30ABAD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£242,855.00</w:t>
            </w:r>
          </w:p>
        </w:tc>
        <w:tc>
          <w:tcPr>
            <w:tcW w:w="1417" w:type="dxa"/>
            <w:tcBorders>
              <w:top w:val="nil"/>
              <w:left w:val="nil"/>
              <w:bottom w:val="single" w:sz="4" w:space="0" w:color="auto"/>
              <w:right w:val="single" w:sz="4" w:space="0" w:color="auto"/>
            </w:tcBorders>
            <w:shd w:val="clear" w:color="auto" w:fill="auto"/>
            <w:noWrap/>
            <w:vAlign w:val="center"/>
            <w:hideMark/>
          </w:tcPr>
          <w:p w14:paraId="453912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£60,713.75</w:t>
            </w:r>
          </w:p>
        </w:tc>
        <w:tc>
          <w:tcPr>
            <w:tcW w:w="1559" w:type="dxa"/>
            <w:tcBorders>
              <w:top w:val="nil"/>
              <w:left w:val="nil"/>
              <w:bottom w:val="single" w:sz="4" w:space="0" w:color="auto"/>
              <w:right w:val="single" w:sz="4" w:space="0" w:color="auto"/>
            </w:tcBorders>
            <w:shd w:val="clear" w:color="auto" w:fill="auto"/>
            <w:noWrap/>
            <w:vAlign w:val="center"/>
            <w:hideMark/>
          </w:tcPr>
          <w:p w14:paraId="397694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£60,713.75</w:t>
            </w:r>
          </w:p>
        </w:tc>
        <w:tc>
          <w:tcPr>
            <w:tcW w:w="1418" w:type="dxa"/>
            <w:tcBorders>
              <w:top w:val="nil"/>
              <w:left w:val="nil"/>
              <w:bottom w:val="single" w:sz="4" w:space="0" w:color="auto"/>
              <w:right w:val="single" w:sz="4" w:space="0" w:color="auto"/>
            </w:tcBorders>
            <w:shd w:val="clear" w:color="auto" w:fill="auto"/>
            <w:noWrap/>
            <w:vAlign w:val="center"/>
            <w:hideMark/>
          </w:tcPr>
          <w:p w14:paraId="151B99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£60,713.75</w:t>
            </w:r>
          </w:p>
        </w:tc>
        <w:tc>
          <w:tcPr>
            <w:tcW w:w="1559" w:type="dxa"/>
            <w:tcBorders>
              <w:top w:val="nil"/>
              <w:left w:val="nil"/>
              <w:bottom w:val="single" w:sz="4" w:space="0" w:color="auto"/>
              <w:right w:val="single" w:sz="4" w:space="0" w:color="auto"/>
            </w:tcBorders>
            <w:shd w:val="clear" w:color="auto" w:fill="auto"/>
            <w:noWrap/>
            <w:vAlign w:val="center"/>
            <w:hideMark/>
          </w:tcPr>
          <w:p w14:paraId="5EE86C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£60,713.75</w:t>
            </w:r>
          </w:p>
        </w:tc>
        <w:tc>
          <w:tcPr>
            <w:tcW w:w="1531" w:type="dxa"/>
            <w:tcBorders>
              <w:top w:val="nil"/>
              <w:left w:val="nil"/>
              <w:bottom w:val="single" w:sz="4" w:space="0" w:color="auto"/>
              <w:right w:val="single" w:sz="4" w:space="0" w:color="auto"/>
            </w:tcBorders>
            <w:shd w:val="clear" w:color="auto" w:fill="auto"/>
            <w:noWrap/>
            <w:vAlign w:val="center"/>
            <w:hideMark/>
          </w:tcPr>
          <w:p w14:paraId="158AA2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£242,855.00</w:t>
            </w:r>
          </w:p>
        </w:tc>
      </w:tr>
      <w:tr w:rsidR="004433D7" w:rsidRPr="004433D7" w14:paraId="6F1A0271"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506A8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418" w:type="dxa"/>
            <w:tcBorders>
              <w:top w:val="nil"/>
              <w:left w:val="nil"/>
              <w:bottom w:val="single" w:sz="4" w:space="0" w:color="auto"/>
              <w:right w:val="single" w:sz="4" w:space="0" w:color="auto"/>
            </w:tcBorders>
            <w:shd w:val="clear" w:color="auto" w:fill="auto"/>
            <w:noWrap/>
            <w:vAlign w:val="center"/>
            <w:hideMark/>
          </w:tcPr>
          <w:p w14:paraId="6112BB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£1,719.47</w:t>
            </w:r>
          </w:p>
        </w:tc>
        <w:tc>
          <w:tcPr>
            <w:tcW w:w="1417" w:type="dxa"/>
            <w:tcBorders>
              <w:top w:val="nil"/>
              <w:left w:val="nil"/>
              <w:bottom w:val="single" w:sz="4" w:space="0" w:color="auto"/>
              <w:right w:val="single" w:sz="4" w:space="0" w:color="auto"/>
            </w:tcBorders>
            <w:shd w:val="clear" w:color="auto" w:fill="auto"/>
            <w:noWrap/>
            <w:vAlign w:val="center"/>
            <w:hideMark/>
          </w:tcPr>
          <w:p w14:paraId="26A160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£429.87</w:t>
            </w:r>
          </w:p>
        </w:tc>
        <w:tc>
          <w:tcPr>
            <w:tcW w:w="1559" w:type="dxa"/>
            <w:tcBorders>
              <w:top w:val="nil"/>
              <w:left w:val="nil"/>
              <w:bottom w:val="single" w:sz="4" w:space="0" w:color="auto"/>
              <w:right w:val="single" w:sz="4" w:space="0" w:color="auto"/>
            </w:tcBorders>
            <w:shd w:val="clear" w:color="auto" w:fill="auto"/>
            <w:noWrap/>
            <w:vAlign w:val="center"/>
            <w:hideMark/>
          </w:tcPr>
          <w:p w14:paraId="17EFC9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£429.87</w:t>
            </w:r>
          </w:p>
        </w:tc>
        <w:tc>
          <w:tcPr>
            <w:tcW w:w="1418" w:type="dxa"/>
            <w:tcBorders>
              <w:top w:val="nil"/>
              <w:left w:val="nil"/>
              <w:bottom w:val="single" w:sz="4" w:space="0" w:color="auto"/>
              <w:right w:val="single" w:sz="4" w:space="0" w:color="auto"/>
            </w:tcBorders>
            <w:shd w:val="clear" w:color="auto" w:fill="auto"/>
            <w:noWrap/>
            <w:vAlign w:val="center"/>
            <w:hideMark/>
          </w:tcPr>
          <w:p w14:paraId="6509F6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£429.87</w:t>
            </w:r>
          </w:p>
        </w:tc>
        <w:tc>
          <w:tcPr>
            <w:tcW w:w="1559" w:type="dxa"/>
            <w:tcBorders>
              <w:top w:val="nil"/>
              <w:left w:val="nil"/>
              <w:bottom w:val="single" w:sz="4" w:space="0" w:color="auto"/>
              <w:right w:val="single" w:sz="4" w:space="0" w:color="auto"/>
            </w:tcBorders>
            <w:shd w:val="clear" w:color="auto" w:fill="auto"/>
            <w:noWrap/>
            <w:vAlign w:val="center"/>
            <w:hideMark/>
          </w:tcPr>
          <w:p w14:paraId="4A442A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£429.87</w:t>
            </w:r>
          </w:p>
        </w:tc>
        <w:tc>
          <w:tcPr>
            <w:tcW w:w="1531" w:type="dxa"/>
            <w:tcBorders>
              <w:top w:val="nil"/>
              <w:left w:val="nil"/>
              <w:bottom w:val="single" w:sz="4" w:space="0" w:color="auto"/>
              <w:right w:val="single" w:sz="4" w:space="0" w:color="auto"/>
            </w:tcBorders>
            <w:shd w:val="clear" w:color="auto" w:fill="auto"/>
            <w:noWrap/>
            <w:vAlign w:val="center"/>
            <w:hideMark/>
          </w:tcPr>
          <w:p w14:paraId="341D9C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£1,719.48</w:t>
            </w:r>
          </w:p>
        </w:tc>
      </w:tr>
      <w:tr w:rsidR="004433D7" w:rsidRPr="004433D7" w14:paraId="24328A2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3DC9AC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Eddington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512B2D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£14,118.29</w:t>
            </w:r>
          </w:p>
        </w:tc>
        <w:tc>
          <w:tcPr>
            <w:tcW w:w="1417" w:type="dxa"/>
            <w:tcBorders>
              <w:top w:val="nil"/>
              <w:left w:val="nil"/>
              <w:bottom w:val="single" w:sz="4" w:space="0" w:color="auto"/>
              <w:right w:val="single" w:sz="4" w:space="0" w:color="auto"/>
            </w:tcBorders>
            <w:shd w:val="clear" w:color="auto" w:fill="auto"/>
            <w:noWrap/>
            <w:vAlign w:val="center"/>
            <w:hideMark/>
          </w:tcPr>
          <w:p w14:paraId="007958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£3,529.57</w:t>
            </w:r>
          </w:p>
        </w:tc>
        <w:tc>
          <w:tcPr>
            <w:tcW w:w="1559" w:type="dxa"/>
            <w:tcBorders>
              <w:top w:val="nil"/>
              <w:left w:val="nil"/>
              <w:bottom w:val="single" w:sz="4" w:space="0" w:color="auto"/>
              <w:right w:val="single" w:sz="4" w:space="0" w:color="auto"/>
            </w:tcBorders>
            <w:shd w:val="clear" w:color="auto" w:fill="auto"/>
            <w:noWrap/>
            <w:vAlign w:val="center"/>
            <w:hideMark/>
          </w:tcPr>
          <w:p w14:paraId="4A4EAE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£3,529.57</w:t>
            </w:r>
          </w:p>
        </w:tc>
        <w:tc>
          <w:tcPr>
            <w:tcW w:w="1418" w:type="dxa"/>
            <w:tcBorders>
              <w:top w:val="nil"/>
              <w:left w:val="nil"/>
              <w:bottom w:val="single" w:sz="4" w:space="0" w:color="auto"/>
              <w:right w:val="single" w:sz="4" w:space="0" w:color="auto"/>
            </w:tcBorders>
            <w:shd w:val="clear" w:color="auto" w:fill="auto"/>
            <w:noWrap/>
            <w:vAlign w:val="center"/>
            <w:hideMark/>
          </w:tcPr>
          <w:p w14:paraId="4789E5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£3,583.74</w:t>
            </w:r>
          </w:p>
        </w:tc>
        <w:tc>
          <w:tcPr>
            <w:tcW w:w="1559" w:type="dxa"/>
            <w:tcBorders>
              <w:top w:val="nil"/>
              <w:left w:val="nil"/>
              <w:bottom w:val="single" w:sz="4" w:space="0" w:color="auto"/>
              <w:right w:val="single" w:sz="4" w:space="0" w:color="auto"/>
            </w:tcBorders>
            <w:shd w:val="clear" w:color="auto" w:fill="auto"/>
            <w:noWrap/>
            <w:vAlign w:val="center"/>
            <w:hideMark/>
          </w:tcPr>
          <w:p w14:paraId="1047AB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£3,529.57</w:t>
            </w:r>
          </w:p>
        </w:tc>
        <w:tc>
          <w:tcPr>
            <w:tcW w:w="1531" w:type="dxa"/>
            <w:tcBorders>
              <w:top w:val="nil"/>
              <w:left w:val="nil"/>
              <w:bottom w:val="single" w:sz="4" w:space="0" w:color="auto"/>
              <w:right w:val="single" w:sz="4" w:space="0" w:color="auto"/>
            </w:tcBorders>
            <w:shd w:val="clear" w:color="auto" w:fill="auto"/>
            <w:noWrap/>
            <w:vAlign w:val="center"/>
            <w:hideMark/>
          </w:tcPr>
          <w:p w14:paraId="2888D3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£14,172.46</w:t>
            </w:r>
          </w:p>
        </w:tc>
      </w:tr>
      <w:tr w:rsidR="004433D7" w:rsidRPr="004433D7" w14:paraId="64F9B6F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EB18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418" w:type="dxa"/>
            <w:tcBorders>
              <w:top w:val="nil"/>
              <w:left w:val="nil"/>
              <w:bottom w:val="single" w:sz="4" w:space="0" w:color="auto"/>
              <w:right w:val="single" w:sz="4" w:space="0" w:color="auto"/>
            </w:tcBorders>
            <w:shd w:val="clear" w:color="auto" w:fill="auto"/>
            <w:noWrap/>
            <w:vAlign w:val="center"/>
            <w:hideMark/>
          </w:tcPr>
          <w:p w14:paraId="730BEC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£1,803,871.73</w:t>
            </w:r>
          </w:p>
        </w:tc>
        <w:tc>
          <w:tcPr>
            <w:tcW w:w="1417" w:type="dxa"/>
            <w:tcBorders>
              <w:top w:val="nil"/>
              <w:left w:val="nil"/>
              <w:bottom w:val="single" w:sz="4" w:space="0" w:color="auto"/>
              <w:right w:val="single" w:sz="4" w:space="0" w:color="auto"/>
            </w:tcBorders>
            <w:shd w:val="clear" w:color="auto" w:fill="auto"/>
            <w:noWrap/>
            <w:vAlign w:val="center"/>
            <w:hideMark/>
          </w:tcPr>
          <w:p w14:paraId="2B84E4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£450,967.93</w:t>
            </w:r>
          </w:p>
        </w:tc>
        <w:tc>
          <w:tcPr>
            <w:tcW w:w="1559" w:type="dxa"/>
            <w:tcBorders>
              <w:top w:val="nil"/>
              <w:left w:val="nil"/>
              <w:bottom w:val="single" w:sz="4" w:space="0" w:color="auto"/>
              <w:right w:val="single" w:sz="4" w:space="0" w:color="auto"/>
            </w:tcBorders>
            <w:shd w:val="clear" w:color="auto" w:fill="auto"/>
            <w:noWrap/>
            <w:vAlign w:val="center"/>
            <w:hideMark/>
          </w:tcPr>
          <w:p w14:paraId="245008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£450,967.93</w:t>
            </w:r>
          </w:p>
        </w:tc>
        <w:tc>
          <w:tcPr>
            <w:tcW w:w="1418" w:type="dxa"/>
            <w:tcBorders>
              <w:top w:val="nil"/>
              <w:left w:val="nil"/>
              <w:bottom w:val="single" w:sz="4" w:space="0" w:color="auto"/>
              <w:right w:val="single" w:sz="4" w:space="0" w:color="auto"/>
            </w:tcBorders>
            <w:shd w:val="clear" w:color="auto" w:fill="auto"/>
            <w:noWrap/>
            <w:vAlign w:val="center"/>
            <w:hideMark/>
          </w:tcPr>
          <w:p w14:paraId="2D58A3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£450,967.93</w:t>
            </w:r>
          </w:p>
        </w:tc>
        <w:tc>
          <w:tcPr>
            <w:tcW w:w="1559" w:type="dxa"/>
            <w:tcBorders>
              <w:top w:val="nil"/>
              <w:left w:val="nil"/>
              <w:bottom w:val="single" w:sz="4" w:space="0" w:color="auto"/>
              <w:right w:val="single" w:sz="4" w:space="0" w:color="auto"/>
            </w:tcBorders>
            <w:shd w:val="clear" w:color="auto" w:fill="auto"/>
            <w:noWrap/>
            <w:vAlign w:val="center"/>
            <w:hideMark/>
          </w:tcPr>
          <w:p w14:paraId="3C97F1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£450,967.93</w:t>
            </w:r>
          </w:p>
        </w:tc>
        <w:tc>
          <w:tcPr>
            <w:tcW w:w="1531" w:type="dxa"/>
            <w:tcBorders>
              <w:top w:val="nil"/>
              <w:left w:val="nil"/>
              <w:bottom w:val="single" w:sz="4" w:space="0" w:color="auto"/>
              <w:right w:val="single" w:sz="4" w:space="0" w:color="auto"/>
            </w:tcBorders>
            <w:shd w:val="clear" w:color="auto" w:fill="auto"/>
            <w:noWrap/>
            <w:vAlign w:val="center"/>
            <w:hideMark/>
          </w:tcPr>
          <w:p w14:paraId="2C1CB9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£1,803,871.72</w:t>
            </w:r>
          </w:p>
        </w:tc>
      </w:tr>
      <w:tr w:rsidR="004433D7" w:rsidRPr="004433D7" w14:paraId="6D84F8D6"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ECE89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Effortless Energy Ltd.</w:t>
            </w:r>
          </w:p>
        </w:tc>
        <w:tc>
          <w:tcPr>
            <w:tcW w:w="1418" w:type="dxa"/>
            <w:tcBorders>
              <w:top w:val="nil"/>
              <w:left w:val="nil"/>
              <w:bottom w:val="single" w:sz="4" w:space="0" w:color="auto"/>
              <w:right w:val="single" w:sz="4" w:space="0" w:color="auto"/>
            </w:tcBorders>
            <w:shd w:val="clear" w:color="auto" w:fill="auto"/>
            <w:noWrap/>
            <w:vAlign w:val="center"/>
            <w:hideMark/>
          </w:tcPr>
          <w:p w14:paraId="4DA4A2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£215.04</w:t>
            </w:r>
          </w:p>
        </w:tc>
        <w:tc>
          <w:tcPr>
            <w:tcW w:w="1417" w:type="dxa"/>
            <w:tcBorders>
              <w:top w:val="nil"/>
              <w:left w:val="nil"/>
              <w:bottom w:val="single" w:sz="4" w:space="0" w:color="auto"/>
              <w:right w:val="single" w:sz="4" w:space="0" w:color="auto"/>
            </w:tcBorders>
            <w:shd w:val="clear" w:color="auto" w:fill="auto"/>
            <w:noWrap/>
            <w:vAlign w:val="center"/>
            <w:hideMark/>
          </w:tcPr>
          <w:p w14:paraId="3FF836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042F2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135096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5ABF3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00B652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10A68D4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4B106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57C0D2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£34,690.98</w:t>
            </w:r>
          </w:p>
        </w:tc>
        <w:tc>
          <w:tcPr>
            <w:tcW w:w="1417" w:type="dxa"/>
            <w:tcBorders>
              <w:top w:val="nil"/>
              <w:left w:val="nil"/>
              <w:bottom w:val="single" w:sz="4" w:space="0" w:color="auto"/>
              <w:right w:val="single" w:sz="4" w:space="0" w:color="auto"/>
            </w:tcBorders>
            <w:shd w:val="clear" w:color="auto" w:fill="auto"/>
            <w:noWrap/>
            <w:vAlign w:val="center"/>
            <w:hideMark/>
          </w:tcPr>
          <w:p w14:paraId="1B4DC5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£8,672.75</w:t>
            </w:r>
          </w:p>
        </w:tc>
        <w:tc>
          <w:tcPr>
            <w:tcW w:w="1559" w:type="dxa"/>
            <w:tcBorders>
              <w:top w:val="nil"/>
              <w:left w:val="nil"/>
              <w:bottom w:val="single" w:sz="4" w:space="0" w:color="auto"/>
              <w:right w:val="single" w:sz="4" w:space="0" w:color="auto"/>
            </w:tcBorders>
            <w:shd w:val="clear" w:color="auto" w:fill="auto"/>
            <w:noWrap/>
            <w:vAlign w:val="center"/>
            <w:hideMark/>
          </w:tcPr>
          <w:p w14:paraId="1194FB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£8,672.75</w:t>
            </w:r>
          </w:p>
        </w:tc>
        <w:tc>
          <w:tcPr>
            <w:tcW w:w="1418" w:type="dxa"/>
            <w:tcBorders>
              <w:top w:val="nil"/>
              <w:left w:val="nil"/>
              <w:bottom w:val="single" w:sz="4" w:space="0" w:color="auto"/>
              <w:right w:val="single" w:sz="4" w:space="0" w:color="auto"/>
            </w:tcBorders>
            <w:shd w:val="clear" w:color="auto" w:fill="auto"/>
            <w:noWrap/>
            <w:vAlign w:val="center"/>
            <w:hideMark/>
          </w:tcPr>
          <w:p w14:paraId="1B7B49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£8,672.75</w:t>
            </w:r>
          </w:p>
        </w:tc>
        <w:tc>
          <w:tcPr>
            <w:tcW w:w="1559" w:type="dxa"/>
            <w:tcBorders>
              <w:top w:val="nil"/>
              <w:left w:val="nil"/>
              <w:bottom w:val="single" w:sz="4" w:space="0" w:color="auto"/>
              <w:right w:val="single" w:sz="4" w:space="0" w:color="auto"/>
            </w:tcBorders>
            <w:shd w:val="clear" w:color="auto" w:fill="auto"/>
            <w:noWrap/>
            <w:vAlign w:val="center"/>
            <w:hideMark/>
          </w:tcPr>
          <w:p w14:paraId="63C5F1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£8,672.75</w:t>
            </w:r>
          </w:p>
        </w:tc>
        <w:tc>
          <w:tcPr>
            <w:tcW w:w="1531" w:type="dxa"/>
            <w:tcBorders>
              <w:top w:val="nil"/>
              <w:left w:val="nil"/>
              <w:bottom w:val="single" w:sz="4" w:space="0" w:color="auto"/>
              <w:right w:val="single" w:sz="4" w:space="0" w:color="auto"/>
            </w:tcBorders>
            <w:shd w:val="clear" w:color="auto" w:fill="auto"/>
            <w:noWrap/>
            <w:vAlign w:val="center"/>
            <w:hideMark/>
          </w:tcPr>
          <w:p w14:paraId="3BD90B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£34,691.00</w:t>
            </w:r>
          </w:p>
        </w:tc>
      </w:tr>
      <w:tr w:rsidR="004433D7" w:rsidRPr="004433D7" w14:paraId="029F2EA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08642B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418" w:type="dxa"/>
            <w:tcBorders>
              <w:top w:val="nil"/>
              <w:left w:val="nil"/>
              <w:bottom w:val="single" w:sz="4" w:space="0" w:color="auto"/>
              <w:right w:val="single" w:sz="4" w:space="0" w:color="auto"/>
            </w:tcBorders>
            <w:shd w:val="clear" w:color="auto" w:fill="auto"/>
            <w:noWrap/>
            <w:vAlign w:val="center"/>
            <w:hideMark/>
          </w:tcPr>
          <w:p w14:paraId="19BA5E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£7,668.83</w:t>
            </w:r>
          </w:p>
        </w:tc>
        <w:tc>
          <w:tcPr>
            <w:tcW w:w="1417" w:type="dxa"/>
            <w:tcBorders>
              <w:top w:val="nil"/>
              <w:left w:val="nil"/>
              <w:bottom w:val="single" w:sz="4" w:space="0" w:color="auto"/>
              <w:right w:val="single" w:sz="4" w:space="0" w:color="auto"/>
            </w:tcBorders>
            <w:shd w:val="clear" w:color="auto" w:fill="auto"/>
            <w:noWrap/>
            <w:vAlign w:val="center"/>
            <w:hideMark/>
          </w:tcPr>
          <w:p w14:paraId="1DCBA7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£1,917.21</w:t>
            </w:r>
          </w:p>
        </w:tc>
        <w:tc>
          <w:tcPr>
            <w:tcW w:w="1559" w:type="dxa"/>
            <w:tcBorders>
              <w:top w:val="nil"/>
              <w:left w:val="nil"/>
              <w:bottom w:val="single" w:sz="4" w:space="0" w:color="auto"/>
              <w:right w:val="single" w:sz="4" w:space="0" w:color="auto"/>
            </w:tcBorders>
            <w:shd w:val="clear" w:color="auto" w:fill="auto"/>
            <w:noWrap/>
            <w:vAlign w:val="center"/>
            <w:hideMark/>
          </w:tcPr>
          <w:p w14:paraId="28DAB3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£1,917.21</w:t>
            </w:r>
          </w:p>
        </w:tc>
        <w:tc>
          <w:tcPr>
            <w:tcW w:w="1418" w:type="dxa"/>
            <w:tcBorders>
              <w:top w:val="nil"/>
              <w:left w:val="nil"/>
              <w:bottom w:val="single" w:sz="4" w:space="0" w:color="auto"/>
              <w:right w:val="single" w:sz="4" w:space="0" w:color="auto"/>
            </w:tcBorders>
            <w:shd w:val="clear" w:color="auto" w:fill="auto"/>
            <w:noWrap/>
            <w:vAlign w:val="center"/>
            <w:hideMark/>
          </w:tcPr>
          <w:p w14:paraId="69151F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£1,917.21</w:t>
            </w:r>
          </w:p>
        </w:tc>
        <w:tc>
          <w:tcPr>
            <w:tcW w:w="1559" w:type="dxa"/>
            <w:tcBorders>
              <w:top w:val="nil"/>
              <w:left w:val="nil"/>
              <w:bottom w:val="single" w:sz="4" w:space="0" w:color="auto"/>
              <w:right w:val="single" w:sz="4" w:space="0" w:color="auto"/>
            </w:tcBorders>
            <w:shd w:val="clear" w:color="auto" w:fill="auto"/>
            <w:noWrap/>
            <w:vAlign w:val="center"/>
            <w:hideMark/>
          </w:tcPr>
          <w:p w14:paraId="6A57B0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£1,917.21</w:t>
            </w:r>
          </w:p>
        </w:tc>
        <w:tc>
          <w:tcPr>
            <w:tcW w:w="1531" w:type="dxa"/>
            <w:tcBorders>
              <w:top w:val="nil"/>
              <w:left w:val="nil"/>
              <w:bottom w:val="single" w:sz="4" w:space="0" w:color="auto"/>
              <w:right w:val="single" w:sz="4" w:space="0" w:color="auto"/>
            </w:tcBorders>
            <w:shd w:val="clear" w:color="auto" w:fill="auto"/>
            <w:noWrap/>
            <w:vAlign w:val="center"/>
            <w:hideMark/>
          </w:tcPr>
          <w:p w14:paraId="41234F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£7,668.84</w:t>
            </w:r>
          </w:p>
        </w:tc>
      </w:tr>
      <w:tr w:rsidR="004433D7" w:rsidRPr="004433D7" w14:paraId="700AFFB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CDA71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7F8F0E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£257,639.00</w:t>
            </w:r>
          </w:p>
        </w:tc>
        <w:tc>
          <w:tcPr>
            <w:tcW w:w="1417" w:type="dxa"/>
            <w:tcBorders>
              <w:top w:val="nil"/>
              <w:left w:val="nil"/>
              <w:bottom w:val="single" w:sz="4" w:space="0" w:color="auto"/>
              <w:right w:val="single" w:sz="4" w:space="0" w:color="auto"/>
            </w:tcBorders>
            <w:shd w:val="clear" w:color="auto" w:fill="auto"/>
            <w:noWrap/>
            <w:vAlign w:val="center"/>
            <w:hideMark/>
          </w:tcPr>
          <w:p w14:paraId="2E2533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£64,409.75</w:t>
            </w:r>
          </w:p>
        </w:tc>
        <w:tc>
          <w:tcPr>
            <w:tcW w:w="1559" w:type="dxa"/>
            <w:tcBorders>
              <w:top w:val="nil"/>
              <w:left w:val="nil"/>
              <w:bottom w:val="single" w:sz="4" w:space="0" w:color="auto"/>
              <w:right w:val="single" w:sz="4" w:space="0" w:color="auto"/>
            </w:tcBorders>
            <w:shd w:val="clear" w:color="auto" w:fill="auto"/>
            <w:noWrap/>
            <w:vAlign w:val="center"/>
            <w:hideMark/>
          </w:tcPr>
          <w:p w14:paraId="644071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£64,409.75</w:t>
            </w:r>
          </w:p>
        </w:tc>
        <w:tc>
          <w:tcPr>
            <w:tcW w:w="1418" w:type="dxa"/>
            <w:tcBorders>
              <w:top w:val="nil"/>
              <w:left w:val="nil"/>
              <w:bottom w:val="single" w:sz="4" w:space="0" w:color="auto"/>
              <w:right w:val="single" w:sz="4" w:space="0" w:color="auto"/>
            </w:tcBorders>
            <w:shd w:val="clear" w:color="auto" w:fill="auto"/>
            <w:noWrap/>
            <w:vAlign w:val="center"/>
            <w:hideMark/>
          </w:tcPr>
          <w:p w14:paraId="174845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£64,409.75</w:t>
            </w:r>
          </w:p>
        </w:tc>
        <w:tc>
          <w:tcPr>
            <w:tcW w:w="1559" w:type="dxa"/>
            <w:tcBorders>
              <w:top w:val="nil"/>
              <w:left w:val="nil"/>
              <w:bottom w:val="single" w:sz="4" w:space="0" w:color="auto"/>
              <w:right w:val="single" w:sz="4" w:space="0" w:color="auto"/>
            </w:tcBorders>
            <w:shd w:val="clear" w:color="auto" w:fill="auto"/>
            <w:noWrap/>
            <w:vAlign w:val="center"/>
            <w:hideMark/>
          </w:tcPr>
          <w:p w14:paraId="4AA61D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£64,409.75</w:t>
            </w:r>
          </w:p>
        </w:tc>
        <w:tc>
          <w:tcPr>
            <w:tcW w:w="1531" w:type="dxa"/>
            <w:tcBorders>
              <w:top w:val="nil"/>
              <w:left w:val="nil"/>
              <w:bottom w:val="single" w:sz="4" w:space="0" w:color="auto"/>
              <w:right w:val="single" w:sz="4" w:space="0" w:color="auto"/>
            </w:tcBorders>
            <w:shd w:val="clear" w:color="auto" w:fill="auto"/>
            <w:noWrap/>
            <w:vAlign w:val="center"/>
            <w:hideMark/>
          </w:tcPr>
          <w:p w14:paraId="61D2D3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£257,639.00</w:t>
            </w:r>
          </w:p>
        </w:tc>
      </w:tr>
      <w:tr w:rsidR="004433D7" w:rsidRPr="004433D7" w14:paraId="630882A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012FD3"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Enstroga</w:t>
            </w:r>
            <w:proofErr w:type="spellEnd"/>
            <w:r w:rsidRPr="004433D7">
              <w:rPr>
                <w:rFonts w:eastAsia="Times New Roman" w:cs="Times New Roman"/>
                <w:color w:val="000000"/>
                <w:sz w:val="16"/>
                <w:szCs w:val="16"/>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5594A6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£5,581.07</w:t>
            </w:r>
          </w:p>
        </w:tc>
        <w:tc>
          <w:tcPr>
            <w:tcW w:w="1417" w:type="dxa"/>
            <w:tcBorders>
              <w:top w:val="nil"/>
              <w:left w:val="nil"/>
              <w:bottom w:val="single" w:sz="4" w:space="0" w:color="auto"/>
              <w:right w:val="single" w:sz="4" w:space="0" w:color="auto"/>
            </w:tcBorders>
            <w:shd w:val="clear" w:color="auto" w:fill="auto"/>
            <w:noWrap/>
            <w:vAlign w:val="center"/>
            <w:hideMark/>
          </w:tcPr>
          <w:p w14:paraId="42CE83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£1,395.27</w:t>
            </w:r>
          </w:p>
        </w:tc>
        <w:tc>
          <w:tcPr>
            <w:tcW w:w="1559" w:type="dxa"/>
            <w:tcBorders>
              <w:top w:val="nil"/>
              <w:left w:val="nil"/>
              <w:bottom w:val="single" w:sz="4" w:space="0" w:color="auto"/>
              <w:right w:val="single" w:sz="4" w:space="0" w:color="auto"/>
            </w:tcBorders>
            <w:shd w:val="clear" w:color="auto" w:fill="auto"/>
            <w:noWrap/>
            <w:vAlign w:val="center"/>
            <w:hideMark/>
          </w:tcPr>
          <w:p w14:paraId="079588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£4,185.81</w:t>
            </w:r>
          </w:p>
        </w:tc>
        <w:tc>
          <w:tcPr>
            <w:tcW w:w="1418" w:type="dxa"/>
            <w:tcBorders>
              <w:top w:val="nil"/>
              <w:left w:val="nil"/>
              <w:bottom w:val="single" w:sz="4" w:space="0" w:color="auto"/>
              <w:right w:val="single" w:sz="4" w:space="0" w:color="auto"/>
            </w:tcBorders>
            <w:shd w:val="clear" w:color="auto" w:fill="auto"/>
            <w:noWrap/>
            <w:vAlign w:val="center"/>
            <w:hideMark/>
          </w:tcPr>
          <w:p w14:paraId="0EB0D8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1786D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3FD99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£5,581.08</w:t>
            </w:r>
          </w:p>
        </w:tc>
      </w:tr>
      <w:tr w:rsidR="004433D7" w:rsidRPr="004433D7" w14:paraId="65EC5AA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8A210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EPG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4622F9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£1,314.94</w:t>
            </w:r>
          </w:p>
        </w:tc>
        <w:tc>
          <w:tcPr>
            <w:tcW w:w="1417" w:type="dxa"/>
            <w:tcBorders>
              <w:top w:val="nil"/>
              <w:left w:val="nil"/>
              <w:bottom w:val="single" w:sz="4" w:space="0" w:color="auto"/>
              <w:right w:val="single" w:sz="4" w:space="0" w:color="auto"/>
            </w:tcBorders>
            <w:shd w:val="clear" w:color="auto" w:fill="auto"/>
            <w:noWrap/>
            <w:vAlign w:val="center"/>
            <w:hideMark/>
          </w:tcPr>
          <w:p w14:paraId="46D3B7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£328.73</w:t>
            </w:r>
          </w:p>
        </w:tc>
        <w:tc>
          <w:tcPr>
            <w:tcW w:w="1559" w:type="dxa"/>
            <w:tcBorders>
              <w:top w:val="nil"/>
              <w:left w:val="nil"/>
              <w:bottom w:val="single" w:sz="4" w:space="0" w:color="auto"/>
              <w:right w:val="single" w:sz="4" w:space="0" w:color="auto"/>
            </w:tcBorders>
            <w:shd w:val="clear" w:color="auto" w:fill="auto"/>
            <w:noWrap/>
            <w:vAlign w:val="center"/>
            <w:hideMark/>
          </w:tcPr>
          <w:p w14:paraId="434016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£328.73</w:t>
            </w:r>
          </w:p>
        </w:tc>
        <w:tc>
          <w:tcPr>
            <w:tcW w:w="1418" w:type="dxa"/>
            <w:tcBorders>
              <w:top w:val="nil"/>
              <w:left w:val="nil"/>
              <w:bottom w:val="single" w:sz="4" w:space="0" w:color="auto"/>
              <w:right w:val="single" w:sz="4" w:space="0" w:color="auto"/>
            </w:tcBorders>
            <w:shd w:val="clear" w:color="auto" w:fill="auto"/>
            <w:noWrap/>
            <w:vAlign w:val="center"/>
            <w:hideMark/>
          </w:tcPr>
          <w:p w14:paraId="0CB11D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£328.73</w:t>
            </w:r>
          </w:p>
        </w:tc>
        <w:tc>
          <w:tcPr>
            <w:tcW w:w="1559" w:type="dxa"/>
            <w:tcBorders>
              <w:top w:val="nil"/>
              <w:left w:val="nil"/>
              <w:bottom w:val="single" w:sz="4" w:space="0" w:color="auto"/>
              <w:right w:val="single" w:sz="4" w:space="0" w:color="auto"/>
            </w:tcBorders>
            <w:shd w:val="clear" w:color="auto" w:fill="auto"/>
            <w:noWrap/>
            <w:vAlign w:val="center"/>
            <w:hideMark/>
          </w:tcPr>
          <w:p w14:paraId="01D0BF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£328.73</w:t>
            </w:r>
          </w:p>
        </w:tc>
        <w:tc>
          <w:tcPr>
            <w:tcW w:w="1531" w:type="dxa"/>
            <w:tcBorders>
              <w:top w:val="nil"/>
              <w:left w:val="nil"/>
              <w:bottom w:val="single" w:sz="4" w:space="0" w:color="auto"/>
              <w:right w:val="single" w:sz="4" w:space="0" w:color="auto"/>
            </w:tcBorders>
            <w:shd w:val="clear" w:color="auto" w:fill="auto"/>
            <w:noWrap/>
            <w:vAlign w:val="center"/>
            <w:hideMark/>
          </w:tcPr>
          <w:p w14:paraId="40505C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£1,314.92</w:t>
            </w:r>
          </w:p>
        </w:tc>
      </w:tr>
      <w:tr w:rsidR="004433D7" w:rsidRPr="004433D7" w14:paraId="6EEBE58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5D92C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1BD4B0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£1,910.62</w:t>
            </w:r>
          </w:p>
        </w:tc>
        <w:tc>
          <w:tcPr>
            <w:tcW w:w="1417" w:type="dxa"/>
            <w:tcBorders>
              <w:top w:val="nil"/>
              <w:left w:val="nil"/>
              <w:bottom w:val="single" w:sz="4" w:space="0" w:color="auto"/>
              <w:right w:val="single" w:sz="4" w:space="0" w:color="auto"/>
            </w:tcBorders>
            <w:shd w:val="clear" w:color="auto" w:fill="auto"/>
            <w:noWrap/>
            <w:vAlign w:val="center"/>
            <w:hideMark/>
          </w:tcPr>
          <w:p w14:paraId="497BD2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£477.65</w:t>
            </w:r>
          </w:p>
        </w:tc>
        <w:tc>
          <w:tcPr>
            <w:tcW w:w="1559" w:type="dxa"/>
            <w:tcBorders>
              <w:top w:val="nil"/>
              <w:left w:val="nil"/>
              <w:bottom w:val="single" w:sz="4" w:space="0" w:color="auto"/>
              <w:right w:val="single" w:sz="4" w:space="0" w:color="auto"/>
            </w:tcBorders>
            <w:shd w:val="clear" w:color="auto" w:fill="auto"/>
            <w:noWrap/>
            <w:vAlign w:val="center"/>
            <w:hideMark/>
          </w:tcPr>
          <w:p w14:paraId="2E3864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£1,432.95</w:t>
            </w:r>
          </w:p>
        </w:tc>
        <w:tc>
          <w:tcPr>
            <w:tcW w:w="1418" w:type="dxa"/>
            <w:tcBorders>
              <w:top w:val="nil"/>
              <w:left w:val="nil"/>
              <w:bottom w:val="single" w:sz="4" w:space="0" w:color="auto"/>
              <w:right w:val="single" w:sz="4" w:space="0" w:color="auto"/>
            </w:tcBorders>
            <w:shd w:val="clear" w:color="auto" w:fill="auto"/>
            <w:noWrap/>
            <w:vAlign w:val="center"/>
            <w:hideMark/>
          </w:tcPr>
          <w:p w14:paraId="4464EA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E830F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34FD27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£1,910.60</w:t>
            </w:r>
          </w:p>
        </w:tc>
      </w:tr>
      <w:tr w:rsidR="004433D7" w:rsidRPr="004433D7" w14:paraId="2190B49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D0EC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6C01FB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£2,127.30</w:t>
            </w:r>
          </w:p>
        </w:tc>
        <w:tc>
          <w:tcPr>
            <w:tcW w:w="1417" w:type="dxa"/>
            <w:tcBorders>
              <w:top w:val="nil"/>
              <w:left w:val="nil"/>
              <w:bottom w:val="single" w:sz="4" w:space="0" w:color="auto"/>
              <w:right w:val="single" w:sz="4" w:space="0" w:color="auto"/>
            </w:tcBorders>
            <w:shd w:val="clear" w:color="auto" w:fill="auto"/>
            <w:noWrap/>
            <w:vAlign w:val="center"/>
            <w:hideMark/>
          </w:tcPr>
          <w:p w14:paraId="2322E6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£531.83</w:t>
            </w:r>
          </w:p>
        </w:tc>
        <w:tc>
          <w:tcPr>
            <w:tcW w:w="1559" w:type="dxa"/>
            <w:tcBorders>
              <w:top w:val="nil"/>
              <w:left w:val="nil"/>
              <w:bottom w:val="single" w:sz="4" w:space="0" w:color="auto"/>
              <w:right w:val="single" w:sz="4" w:space="0" w:color="auto"/>
            </w:tcBorders>
            <w:shd w:val="clear" w:color="auto" w:fill="auto"/>
            <w:noWrap/>
            <w:vAlign w:val="center"/>
            <w:hideMark/>
          </w:tcPr>
          <w:p w14:paraId="0CDEDA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£531.83</w:t>
            </w:r>
          </w:p>
        </w:tc>
        <w:tc>
          <w:tcPr>
            <w:tcW w:w="1418" w:type="dxa"/>
            <w:tcBorders>
              <w:top w:val="nil"/>
              <w:left w:val="nil"/>
              <w:bottom w:val="single" w:sz="4" w:space="0" w:color="auto"/>
              <w:right w:val="single" w:sz="4" w:space="0" w:color="auto"/>
            </w:tcBorders>
            <w:shd w:val="clear" w:color="auto" w:fill="auto"/>
            <w:noWrap/>
            <w:vAlign w:val="center"/>
            <w:hideMark/>
          </w:tcPr>
          <w:p w14:paraId="5C5F2F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£1,063.66</w:t>
            </w:r>
          </w:p>
        </w:tc>
        <w:tc>
          <w:tcPr>
            <w:tcW w:w="1559" w:type="dxa"/>
            <w:tcBorders>
              <w:top w:val="nil"/>
              <w:left w:val="nil"/>
              <w:bottom w:val="single" w:sz="4" w:space="0" w:color="auto"/>
              <w:right w:val="single" w:sz="4" w:space="0" w:color="auto"/>
            </w:tcBorders>
            <w:shd w:val="clear" w:color="auto" w:fill="auto"/>
            <w:noWrap/>
            <w:vAlign w:val="center"/>
            <w:hideMark/>
          </w:tcPr>
          <w:p w14:paraId="4AB531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427AF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£2,127.32</w:t>
            </w:r>
          </w:p>
        </w:tc>
      </w:tr>
      <w:tr w:rsidR="004433D7" w:rsidRPr="004433D7" w14:paraId="47D2092F"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76C487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2024C7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£16,019.84</w:t>
            </w:r>
          </w:p>
        </w:tc>
        <w:tc>
          <w:tcPr>
            <w:tcW w:w="1417" w:type="dxa"/>
            <w:tcBorders>
              <w:top w:val="nil"/>
              <w:left w:val="nil"/>
              <w:bottom w:val="single" w:sz="4" w:space="0" w:color="auto"/>
              <w:right w:val="single" w:sz="4" w:space="0" w:color="auto"/>
            </w:tcBorders>
            <w:shd w:val="clear" w:color="auto" w:fill="auto"/>
            <w:noWrap/>
            <w:vAlign w:val="center"/>
            <w:hideMark/>
          </w:tcPr>
          <w:p w14:paraId="3E0B79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94E7E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3358F5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6C2D4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B5A71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r>
      <w:tr w:rsidR="004433D7" w:rsidRPr="004433D7" w14:paraId="0A1DAA9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B739B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Foxglove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132E4C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£14,386.06</w:t>
            </w:r>
          </w:p>
        </w:tc>
        <w:tc>
          <w:tcPr>
            <w:tcW w:w="1417" w:type="dxa"/>
            <w:tcBorders>
              <w:top w:val="nil"/>
              <w:left w:val="nil"/>
              <w:bottom w:val="single" w:sz="4" w:space="0" w:color="auto"/>
              <w:right w:val="single" w:sz="4" w:space="0" w:color="auto"/>
            </w:tcBorders>
            <w:shd w:val="clear" w:color="auto" w:fill="auto"/>
            <w:noWrap/>
            <w:vAlign w:val="center"/>
            <w:hideMark/>
          </w:tcPr>
          <w:p w14:paraId="72357E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£3,596.51</w:t>
            </w:r>
          </w:p>
        </w:tc>
        <w:tc>
          <w:tcPr>
            <w:tcW w:w="1559" w:type="dxa"/>
            <w:tcBorders>
              <w:top w:val="nil"/>
              <w:left w:val="nil"/>
              <w:bottom w:val="single" w:sz="4" w:space="0" w:color="auto"/>
              <w:right w:val="single" w:sz="4" w:space="0" w:color="auto"/>
            </w:tcBorders>
            <w:shd w:val="clear" w:color="auto" w:fill="auto"/>
            <w:noWrap/>
            <w:vAlign w:val="center"/>
            <w:hideMark/>
          </w:tcPr>
          <w:p w14:paraId="0943F7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£3,596.51</w:t>
            </w:r>
          </w:p>
        </w:tc>
        <w:tc>
          <w:tcPr>
            <w:tcW w:w="1418" w:type="dxa"/>
            <w:tcBorders>
              <w:top w:val="nil"/>
              <w:left w:val="nil"/>
              <w:bottom w:val="single" w:sz="4" w:space="0" w:color="auto"/>
              <w:right w:val="single" w:sz="4" w:space="0" w:color="auto"/>
            </w:tcBorders>
            <w:shd w:val="clear" w:color="auto" w:fill="auto"/>
            <w:noWrap/>
            <w:vAlign w:val="center"/>
            <w:hideMark/>
          </w:tcPr>
          <w:p w14:paraId="0F8C2F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£3,596.51</w:t>
            </w:r>
          </w:p>
        </w:tc>
        <w:tc>
          <w:tcPr>
            <w:tcW w:w="1559" w:type="dxa"/>
            <w:tcBorders>
              <w:top w:val="nil"/>
              <w:left w:val="nil"/>
              <w:bottom w:val="single" w:sz="4" w:space="0" w:color="auto"/>
              <w:right w:val="single" w:sz="4" w:space="0" w:color="auto"/>
            </w:tcBorders>
            <w:shd w:val="clear" w:color="auto" w:fill="auto"/>
            <w:noWrap/>
            <w:vAlign w:val="center"/>
            <w:hideMark/>
          </w:tcPr>
          <w:p w14:paraId="100D9F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£3,596.51</w:t>
            </w:r>
          </w:p>
        </w:tc>
        <w:tc>
          <w:tcPr>
            <w:tcW w:w="1531" w:type="dxa"/>
            <w:tcBorders>
              <w:top w:val="nil"/>
              <w:left w:val="nil"/>
              <w:bottom w:val="single" w:sz="4" w:space="0" w:color="auto"/>
              <w:right w:val="single" w:sz="4" w:space="0" w:color="auto"/>
            </w:tcBorders>
            <w:shd w:val="clear" w:color="auto" w:fill="auto"/>
            <w:noWrap/>
            <w:vAlign w:val="center"/>
            <w:hideMark/>
          </w:tcPr>
          <w:p w14:paraId="75B70A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£14,386.04</w:t>
            </w:r>
          </w:p>
        </w:tc>
      </w:tr>
      <w:tr w:rsidR="004433D7" w:rsidRPr="004433D7" w14:paraId="4A67E247"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25CF4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Gas and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588E87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£262.00</w:t>
            </w:r>
          </w:p>
        </w:tc>
        <w:tc>
          <w:tcPr>
            <w:tcW w:w="1417" w:type="dxa"/>
            <w:tcBorders>
              <w:top w:val="nil"/>
              <w:left w:val="nil"/>
              <w:bottom w:val="single" w:sz="4" w:space="0" w:color="auto"/>
              <w:right w:val="single" w:sz="4" w:space="0" w:color="auto"/>
            </w:tcBorders>
            <w:shd w:val="clear" w:color="auto" w:fill="auto"/>
            <w:noWrap/>
            <w:vAlign w:val="center"/>
            <w:hideMark/>
          </w:tcPr>
          <w:p w14:paraId="6EE3B6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£262.00</w:t>
            </w:r>
          </w:p>
        </w:tc>
        <w:tc>
          <w:tcPr>
            <w:tcW w:w="1559" w:type="dxa"/>
            <w:tcBorders>
              <w:top w:val="nil"/>
              <w:left w:val="nil"/>
              <w:bottom w:val="single" w:sz="4" w:space="0" w:color="auto"/>
              <w:right w:val="single" w:sz="4" w:space="0" w:color="auto"/>
            </w:tcBorders>
            <w:shd w:val="clear" w:color="auto" w:fill="auto"/>
            <w:noWrap/>
            <w:vAlign w:val="center"/>
            <w:hideMark/>
          </w:tcPr>
          <w:p w14:paraId="30D413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2EB33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41B4A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601B4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£262.00</w:t>
            </w:r>
          </w:p>
        </w:tc>
      </w:tr>
      <w:tr w:rsidR="004433D7" w:rsidRPr="004433D7" w14:paraId="6F0AA7F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E608F8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418" w:type="dxa"/>
            <w:tcBorders>
              <w:top w:val="nil"/>
              <w:left w:val="nil"/>
              <w:bottom w:val="single" w:sz="4" w:space="0" w:color="auto"/>
              <w:right w:val="single" w:sz="4" w:space="0" w:color="auto"/>
            </w:tcBorders>
            <w:shd w:val="clear" w:color="auto" w:fill="auto"/>
            <w:noWrap/>
            <w:vAlign w:val="center"/>
            <w:hideMark/>
          </w:tcPr>
          <w:p w14:paraId="296F81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£14,394.29</w:t>
            </w:r>
          </w:p>
        </w:tc>
        <w:tc>
          <w:tcPr>
            <w:tcW w:w="1417" w:type="dxa"/>
            <w:tcBorders>
              <w:top w:val="nil"/>
              <w:left w:val="nil"/>
              <w:bottom w:val="single" w:sz="4" w:space="0" w:color="auto"/>
              <w:right w:val="single" w:sz="4" w:space="0" w:color="auto"/>
            </w:tcBorders>
            <w:shd w:val="clear" w:color="auto" w:fill="auto"/>
            <w:noWrap/>
            <w:vAlign w:val="center"/>
            <w:hideMark/>
          </w:tcPr>
          <w:p w14:paraId="35C788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£3,598.57</w:t>
            </w:r>
          </w:p>
        </w:tc>
        <w:tc>
          <w:tcPr>
            <w:tcW w:w="1559" w:type="dxa"/>
            <w:tcBorders>
              <w:top w:val="nil"/>
              <w:left w:val="nil"/>
              <w:bottom w:val="single" w:sz="4" w:space="0" w:color="auto"/>
              <w:right w:val="single" w:sz="4" w:space="0" w:color="auto"/>
            </w:tcBorders>
            <w:shd w:val="clear" w:color="auto" w:fill="auto"/>
            <w:noWrap/>
            <w:vAlign w:val="center"/>
            <w:hideMark/>
          </w:tcPr>
          <w:p w14:paraId="42DAEB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£3,598.57</w:t>
            </w:r>
          </w:p>
        </w:tc>
        <w:tc>
          <w:tcPr>
            <w:tcW w:w="1418" w:type="dxa"/>
            <w:tcBorders>
              <w:top w:val="nil"/>
              <w:left w:val="nil"/>
              <w:bottom w:val="single" w:sz="4" w:space="0" w:color="auto"/>
              <w:right w:val="single" w:sz="4" w:space="0" w:color="auto"/>
            </w:tcBorders>
            <w:shd w:val="clear" w:color="auto" w:fill="auto"/>
            <w:noWrap/>
            <w:vAlign w:val="center"/>
            <w:hideMark/>
          </w:tcPr>
          <w:p w14:paraId="63976C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£3,598.57</w:t>
            </w:r>
          </w:p>
        </w:tc>
        <w:tc>
          <w:tcPr>
            <w:tcW w:w="1559" w:type="dxa"/>
            <w:tcBorders>
              <w:top w:val="nil"/>
              <w:left w:val="nil"/>
              <w:bottom w:val="single" w:sz="4" w:space="0" w:color="auto"/>
              <w:right w:val="single" w:sz="4" w:space="0" w:color="auto"/>
            </w:tcBorders>
            <w:shd w:val="clear" w:color="auto" w:fill="auto"/>
            <w:noWrap/>
            <w:vAlign w:val="center"/>
            <w:hideMark/>
          </w:tcPr>
          <w:p w14:paraId="431B14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£3,598.57</w:t>
            </w:r>
          </w:p>
        </w:tc>
        <w:tc>
          <w:tcPr>
            <w:tcW w:w="1531" w:type="dxa"/>
            <w:tcBorders>
              <w:top w:val="nil"/>
              <w:left w:val="nil"/>
              <w:bottom w:val="single" w:sz="4" w:space="0" w:color="auto"/>
              <w:right w:val="single" w:sz="4" w:space="0" w:color="auto"/>
            </w:tcBorders>
            <w:shd w:val="clear" w:color="auto" w:fill="auto"/>
            <w:noWrap/>
            <w:vAlign w:val="center"/>
            <w:hideMark/>
          </w:tcPr>
          <w:p w14:paraId="00DE66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£14,394.28</w:t>
            </w:r>
          </w:p>
        </w:tc>
      </w:tr>
      <w:tr w:rsidR="004433D7" w:rsidRPr="004433D7" w14:paraId="168713C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DBDF2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3C0C57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£12,432.60</w:t>
            </w:r>
          </w:p>
        </w:tc>
        <w:tc>
          <w:tcPr>
            <w:tcW w:w="1417" w:type="dxa"/>
            <w:tcBorders>
              <w:top w:val="nil"/>
              <w:left w:val="nil"/>
              <w:bottom w:val="single" w:sz="4" w:space="0" w:color="auto"/>
              <w:right w:val="single" w:sz="4" w:space="0" w:color="auto"/>
            </w:tcBorders>
            <w:shd w:val="clear" w:color="auto" w:fill="auto"/>
            <w:noWrap/>
            <w:vAlign w:val="center"/>
            <w:hideMark/>
          </w:tcPr>
          <w:p w14:paraId="407441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£3,108.15</w:t>
            </w:r>
          </w:p>
        </w:tc>
        <w:tc>
          <w:tcPr>
            <w:tcW w:w="1559" w:type="dxa"/>
            <w:tcBorders>
              <w:top w:val="nil"/>
              <w:left w:val="nil"/>
              <w:bottom w:val="single" w:sz="4" w:space="0" w:color="auto"/>
              <w:right w:val="single" w:sz="4" w:space="0" w:color="auto"/>
            </w:tcBorders>
            <w:shd w:val="clear" w:color="auto" w:fill="auto"/>
            <w:noWrap/>
            <w:vAlign w:val="center"/>
            <w:hideMark/>
          </w:tcPr>
          <w:p w14:paraId="470472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£3,108.15</w:t>
            </w:r>
          </w:p>
        </w:tc>
        <w:tc>
          <w:tcPr>
            <w:tcW w:w="1418" w:type="dxa"/>
            <w:tcBorders>
              <w:top w:val="nil"/>
              <w:left w:val="nil"/>
              <w:bottom w:val="single" w:sz="4" w:space="0" w:color="auto"/>
              <w:right w:val="single" w:sz="4" w:space="0" w:color="auto"/>
            </w:tcBorders>
            <w:shd w:val="clear" w:color="auto" w:fill="auto"/>
            <w:noWrap/>
            <w:vAlign w:val="center"/>
            <w:hideMark/>
          </w:tcPr>
          <w:p w14:paraId="10AB76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£3,108.15</w:t>
            </w:r>
          </w:p>
        </w:tc>
        <w:tc>
          <w:tcPr>
            <w:tcW w:w="1559" w:type="dxa"/>
            <w:tcBorders>
              <w:top w:val="nil"/>
              <w:left w:val="nil"/>
              <w:bottom w:val="single" w:sz="4" w:space="0" w:color="auto"/>
              <w:right w:val="single" w:sz="4" w:space="0" w:color="auto"/>
            </w:tcBorders>
            <w:shd w:val="clear" w:color="auto" w:fill="auto"/>
            <w:noWrap/>
            <w:vAlign w:val="center"/>
            <w:hideMark/>
          </w:tcPr>
          <w:p w14:paraId="1CE8EA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£3,108.15</w:t>
            </w:r>
          </w:p>
        </w:tc>
        <w:tc>
          <w:tcPr>
            <w:tcW w:w="1531" w:type="dxa"/>
            <w:tcBorders>
              <w:top w:val="nil"/>
              <w:left w:val="nil"/>
              <w:bottom w:val="single" w:sz="4" w:space="0" w:color="auto"/>
              <w:right w:val="single" w:sz="4" w:space="0" w:color="auto"/>
            </w:tcBorders>
            <w:shd w:val="clear" w:color="auto" w:fill="auto"/>
            <w:noWrap/>
            <w:vAlign w:val="center"/>
            <w:hideMark/>
          </w:tcPr>
          <w:p w14:paraId="2E7D43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£12,432.60</w:t>
            </w:r>
          </w:p>
        </w:tc>
      </w:tr>
      <w:tr w:rsidR="004433D7" w:rsidRPr="004433D7" w14:paraId="380A92B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70D96F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418" w:type="dxa"/>
            <w:tcBorders>
              <w:top w:val="nil"/>
              <w:left w:val="nil"/>
              <w:bottom w:val="single" w:sz="4" w:space="0" w:color="auto"/>
              <w:right w:val="single" w:sz="4" w:space="0" w:color="auto"/>
            </w:tcBorders>
            <w:shd w:val="clear" w:color="auto" w:fill="auto"/>
            <w:noWrap/>
            <w:vAlign w:val="center"/>
            <w:hideMark/>
          </w:tcPr>
          <w:p w14:paraId="3F66A4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£1,648.62</w:t>
            </w:r>
          </w:p>
        </w:tc>
        <w:tc>
          <w:tcPr>
            <w:tcW w:w="1417" w:type="dxa"/>
            <w:tcBorders>
              <w:top w:val="nil"/>
              <w:left w:val="nil"/>
              <w:bottom w:val="single" w:sz="4" w:space="0" w:color="auto"/>
              <w:right w:val="single" w:sz="4" w:space="0" w:color="auto"/>
            </w:tcBorders>
            <w:shd w:val="clear" w:color="auto" w:fill="auto"/>
            <w:noWrap/>
            <w:vAlign w:val="center"/>
            <w:hideMark/>
          </w:tcPr>
          <w:p w14:paraId="5FB64A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£412.15</w:t>
            </w:r>
          </w:p>
        </w:tc>
        <w:tc>
          <w:tcPr>
            <w:tcW w:w="1559" w:type="dxa"/>
            <w:tcBorders>
              <w:top w:val="nil"/>
              <w:left w:val="nil"/>
              <w:bottom w:val="single" w:sz="4" w:space="0" w:color="auto"/>
              <w:right w:val="single" w:sz="4" w:space="0" w:color="auto"/>
            </w:tcBorders>
            <w:shd w:val="clear" w:color="auto" w:fill="auto"/>
            <w:noWrap/>
            <w:vAlign w:val="center"/>
            <w:hideMark/>
          </w:tcPr>
          <w:p w14:paraId="6F5470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£412.15</w:t>
            </w:r>
          </w:p>
        </w:tc>
        <w:tc>
          <w:tcPr>
            <w:tcW w:w="1418" w:type="dxa"/>
            <w:tcBorders>
              <w:top w:val="nil"/>
              <w:left w:val="nil"/>
              <w:bottom w:val="single" w:sz="4" w:space="0" w:color="auto"/>
              <w:right w:val="single" w:sz="4" w:space="0" w:color="auto"/>
            </w:tcBorders>
            <w:shd w:val="clear" w:color="auto" w:fill="auto"/>
            <w:noWrap/>
            <w:vAlign w:val="center"/>
            <w:hideMark/>
          </w:tcPr>
          <w:p w14:paraId="157E2E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£412.15</w:t>
            </w:r>
          </w:p>
        </w:tc>
        <w:tc>
          <w:tcPr>
            <w:tcW w:w="1559" w:type="dxa"/>
            <w:tcBorders>
              <w:top w:val="nil"/>
              <w:left w:val="nil"/>
              <w:bottom w:val="single" w:sz="4" w:space="0" w:color="auto"/>
              <w:right w:val="single" w:sz="4" w:space="0" w:color="auto"/>
            </w:tcBorders>
            <w:shd w:val="clear" w:color="auto" w:fill="auto"/>
            <w:noWrap/>
            <w:vAlign w:val="center"/>
            <w:hideMark/>
          </w:tcPr>
          <w:p w14:paraId="24D5AF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£412.15</w:t>
            </w:r>
          </w:p>
        </w:tc>
        <w:tc>
          <w:tcPr>
            <w:tcW w:w="1531" w:type="dxa"/>
            <w:tcBorders>
              <w:top w:val="nil"/>
              <w:left w:val="nil"/>
              <w:bottom w:val="single" w:sz="4" w:space="0" w:color="auto"/>
              <w:right w:val="single" w:sz="4" w:space="0" w:color="auto"/>
            </w:tcBorders>
            <w:shd w:val="clear" w:color="auto" w:fill="auto"/>
            <w:noWrap/>
            <w:vAlign w:val="center"/>
            <w:hideMark/>
          </w:tcPr>
          <w:p w14:paraId="34B8FE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£1,648.60</w:t>
            </w:r>
          </w:p>
        </w:tc>
      </w:tr>
      <w:tr w:rsidR="004433D7" w:rsidRPr="004433D7" w14:paraId="1D7D9F1F"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AC078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4AA94F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£22,716.47</w:t>
            </w:r>
          </w:p>
        </w:tc>
        <w:tc>
          <w:tcPr>
            <w:tcW w:w="1417" w:type="dxa"/>
            <w:tcBorders>
              <w:top w:val="nil"/>
              <w:left w:val="nil"/>
              <w:bottom w:val="single" w:sz="4" w:space="0" w:color="auto"/>
              <w:right w:val="single" w:sz="4" w:space="0" w:color="auto"/>
            </w:tcBorders>
            <w:shd w:val="clear" w:color="auto" w:fill="auto"/>
            <w:noWrap/>
            <w:vAlign w:val="center"/>
            <w:hideMark/>
          </w:tcPr>
          <w:p w14:paraId="5C527D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£5,679.12</w:t>
            </w:r>
          </w:p>
        </w:tc>
        <w:tc>
          <w:tcPr>
            <w:tcW w:w="1559" w:type="dxa"/>
            <w:tcBorders>
              <w:top w:val="nil"/>
              <w:left w:val="nil"/>
              <w:bottom w:val="single" w:sz="4" w:space="0" w:color="auto"/>
              <w:right w:val="single" w:sz="4" w:space="0" w:color="auto"/>
            </w:tcBorders>
            <w:shd w:val="clear" w:color="auto" w:fill="auto"/>
            <w:noWrap/>
            <w:vAlign w:val="center"/>
            <w:hideMark/>
          </w:tcPr>
          <w:p w14:paraId="63B5DC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£5,679.12</w:t>
            </w:r>
          </w:p>
        </w:tc>
        <w:tc>
          <w:tcPr>
            <w:tcW w:w="1418" w:type="dxa"/>
            <w:tcBorders>
              <w:top w:val="nil"/>
              <w:left w:val="nil"/>
              <w:bottom w:val="single" w:sz="4" w:space="0" w:color="auto"/>
              <w:right w:val="single" w:sz="4" w:space="0" w:color="auto"/>
            </w:tcBorders>
            <w:shd w:val="clear" w:color="auto" w:fill="auto"/>
            <w:noWrap/>
            <w:vAlign w:val="center"/>
            <w:hideMark/>
          </w:tcPr>
          <w:p w14:paraId="52EAD0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55A8B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D99B9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£11,358.24</w:t>
            </w:r>
          </w:p>
        </w:tc>
      </w:tr>
      <w:tr w:rsidR="004433D7" w:rsidRPr="004433D7" w14:paraId="07A4FE23"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74E37A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0EBB23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£244,052.94</w:t>
            </w:r>
          </w:p>
        </w:tc>
        <w:tc>
          <w:tcPr>
            <w:tcW w:w="1417" w:type="dxa"/>
            <w:tcBorders>
              <w:top w:val="nil"/>
              <w:left w:val="nil"/>
              <w:bottom w:val="single" w:sz="4" w:space="0" w:color="auto"/>
              <w:right w:val="single" w:sz="4" w:space="0" w:color="auto"/>
            </w:tcBorders>
            <w:shd w:val="clear" w:color="auto" w:fill="auto"/>
            <w:noWrap/>
            <w:vAlign w:val="center"/>
            <w:hideMark/>
          </w:tcPr>
          <w:p w14:paraId="3C3E26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£61,013.24</w:t>
            </w:r>
          </w:p>
        </w:tc>
        <w:tc>
          <w:tcPr>
            <w:tcW w:w="1559" w:type="dxa"/>
            <w:tcBorders>
              <w:top w:val="nil"/>
              <w:left w:val="nil"/>
              <w:bottom w:val="single" w:sz="4" w:space="0" w:color="auto"/>
              <w:right w:val="single" w:sz="4" w:space="0" w:color="auto"/>
            </w:tcBorders>
            <w:shd w:val="clear" w:color="auto" w:fill="auto"/>
            <w:noWrap/>
            <w:vAlign w:val="center"/>
            <w:hideMark/>
          </w:tcPr>
          <w:p w14:paraId="375A29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£61,013.24</w:t>
            </w:r>
          </w:p>
        </w:tc>
        <w:tc>
          <w:tcPr>
            <w:tcW w:w="1418" w:type="dxa"/>
            <w:tcBorders>
              <w:top w:val="nil"/>
              <w:left w:val="nil"/>
              <w:bottom w:val="single" w:sz="4" w:space="0" w:color="auto"/>
              <w:right w:val="single" w:sz="4" w:space="0" w:color="auto"/>
            </w:tcBorders>
            <w:shd w:val="clear" w:color="auto" w:fill="auto"/>
            <w:noWrap/>
            <w:vAlign w:val="center"/>
            <w:hideMark/>
          </w:tcPr>
          <w:p w14:paraId="190235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£61,013.24</w:t>
            </w:r>
          </w:p>
        </w:tc>
        <w:tc>
          <w:tcPr>
            <w:tcW w:w="1559" w:type="dxa"/>
            <w:tcBorders>
              <w:top w:val="nil"/>
              <w:left w:val="nil"/>
              <w:bottom w:val="single" w:sz="4" w:space="0" w:color="auto"/>
              <w:right w:val="single" w:sz="4" w:space="0" w:color="auto"/>
            </w:tcBorders>
            <w:shd w:val="clear" w:color="auto" w:fill="auto"/>
            <w:noWrap/>
            <w:vAlign w:val="center"/>
            <w:hideMark/>
          </w:tcPr>
          <w:p w14:paraId="04CC3B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£61,013.24</w:t>
            </w:r>
          </w:p>
        </w:tc>
        <w:tc>
          <w:tcPr>
            <w:tcW w:w="1531" w:type="dxa"/>
            <w:tcBorders>
              <w:top w:val="nil"/>
              <w:left w:val="nil"/>
              <w:bottom w:val="single" w:sz="4" w:space="0" w:color="auto"/>
              <w:right w:val="single" w:sz="4" w:space="0" w:color="auto"/>
            </w:tcBorders>
            <w:shd w:val="clear" w:color="auto" w:fill="auto"/>
            <w:noWrap/>
            <w:vAlign w:val="center"/>
            <w:hideMark/>
          </w:tcPr>
          <w:p w14:paraId="2A0B1E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£244,052.96</w:t>
            </w:r>
          </w:p>
        </w:tc>
      </w:tr>
      <w:tr w:rsidR="004433D7" w:rsidRPr="004433D7" w14:paraId="009474B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B6410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 Supply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6DE9B2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£17,577.83</w:t>
            </w:r>
          </w:p>
        </w:tc>
        <w:tc>
          <w:tcPr>
            <w:tcW w:w="1417" w:type="dxa"/>
            <w:tcBorders>
              <w:top w:val="nil"/>
              <w:left w:val="nil"/>
              <w:bottom w:val="single" w:sz="4" w:space="0" w:color="auto"/>
              <w:right w:val="single" w:sz="4" w:space="0" w:color="auto"/>
            </w:tcBorders>
            <w:shd w:val="clear" w:color="auto" w:fill="auto"/>
            <w:noWrap/>
            <w:vAlign w:val="center"/>
            <w:hideMark/>
          </w:tcPr>
          <w:p w14:paraId="3966A7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£17,577.84</w:t>
            </w:r>
          </w:p>
        </w:tc>
        <w:tc>
          <w:tcPr>
            <w:tcW w:w="1559" w:type="dxa"/>
            <w:tcBorders>
              <w:top w:val="nil"/>
              <w:left w:val="nil"/>
              <w:bottom w:val="single" w:sz="4" w:space="0" w:color="auto"/>
              <w:right w:val="single" w:sz="4" w:space="0" w:color="auto"/>
            </w:tcBorders>
            <w:shd w:val="clear" w:color="auto" w:fill="auto"/>
            <w:noWrap/>
            <w:vAlign w:val="center"/>
            <w:hideMark/>
          </w:tcPr>
          <w:p w14:paraId="323294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97A0B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A0937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0E9837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£17,577.84</w:t>
            </w:r>
          </w:p>
        </w:tc>
      </w:tr>
      <w:tr w:rsidR="004433D7" w:rsidRPr="004433D7" w14:paraId="7A50304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4EA24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Igloo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15B4DC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£293.31</w:t>
            </w:r>
          </w:p>
        </w:tc>
        <w:tc>
          <w:tcPr>
            <w:tcW w:w="1417" w:type="dxa"/>
            <w:tcBorders>
              <w:top w:val="nil"/>
              <w:left w:val="nil"/>
              <w:bottom w:val="single" w:sz="4" w:space="0" w:color="auto"/>
              <w:right w:val="single" w:sz="4" w:space="0" w:color="auto"/>
            </w:tcBorders>
            <w:shd w:val="clear" w:color="auto" w:fill="auto"/>
            <w:noWrap/>
            <w:vAlign w:val="center"/>
            <w:hideMark/>
          </w:tcPr>
          <w:p w14:paraId="568999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£293.31</w:t>
            </w:r>
          </w:p>
        </w:tc>
        <w:tc>
          <w:tcPr>
            <w:tcW w:w="1559" w:type="dxa"/>
            <w:tcBorders>
              <w:top w:val="nil"/>
              <w:left w:val="nil"/>
              <w:bottom w:val="single" w:sz="4" w:space="0" w:color="auto"/>
              <w:right w:val="single" w:sz="4" w:space="0" w:color="auto"/>
            </w:tcBorders>
            <w:shd w:val="clear" w:color="auto" w:fill="auto"/>
            <w:noWrap/>
            <w:vAlign w:val="center"/>
            <w:hideMark/>
          </w:tcPr>
          <w:p w14:paraId="77C132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9C9D3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EC5C5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42854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£293.31</w:t>
            </w:r>
          </w:p>
        </w:tc>
      </w:tr>
      <w:tr w:rsidR="004433D7" w:rsidRPr="004433D7" w14:paraId="537A9854"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5884C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6BEBC6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£9,452.56</w:t>
            </w:r>
          </w:p>
        </w:tc>
        <w:tc>
          <w:tcPr>
            <w:tcW w:w="1417" w:type="dxa"/>
            <w:tcBorders>
              <w:top w:val="nil"/>
              <w:left w:val="nil"/>
              <w:bottom w:val="single" w:sz="4" w:space="0" w:color="auto"/>
              <w:right w:val="single" w:sz="4" w:space="0" w:color="auto"/>
            </w:tcBorders>
            <w:shd w:val="clear" w:color="auto" w:fill="auto"/>
            <w:noWrap/>
            <w:vAlign w:val="center"/>
            <w:hideMark/>
          </w:tcPr>
          <w:p w14:paraId="4F290E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£2,363.14</w:t>
            </w:r>
          </w:p>
        </w:tc>
        <w:tc>
          <w:tcPr>
            <w:tcW w:w="1559" w:type="dxa"/>
            <w:tcBorders>
              <w:top w:val="nil"/>
              <w:left w:val="nil"/>
              <w:bottom w:val="single" w:sz="4" w:space="0" w:color="auto"/>
              <w:right w:val="single" w:sz="4" w:space="0" w:color="auto"/>
            </w:tcBorders>
            <w:shd w:val="clear" w:color="auto" w:fill="auto"/>
            <w:noWrap/>
            <w:vAlign w:val="center"/>
            <w:hideMark/>
          </w:tcPr>
          <w:p w14:paraId="750F04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£2,363.14</w:t>
            </w:r>
          </w:p>
        </w:tc>
        <w:tc>
          <w:tcPr>
            <w:tcW w:w="1418" w:type="dxa"/>
            <w:tcBorders>
              <w:top w:val="nil"/>
              <w:left w:val="nil"/>
              <w:bottom w:val="single" w:sz="4" w:space="0" w:color="auto"/>
              <w:right w:val="single" w:sz="4" w:space="0" w:color="auto"/>
            </w:tcBorders>
            <w:shd w:val="clear" w:color="auto" w:fill="auto"/>
            <w:noWrap/>
            <w:vAlign w:val="center"/>
            <w:hideMark/>
          </w:tcPr>
          <w:p w14:paraId="5C1AD2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£2,363.14</w:t>
            </w:r>
          </w:p>
        </w:tc>
        <w:tc>
          <w:tcPr>
            <w:tcW w:w="1559" w:type="dxa"/>
            <w:tcBorders>
              <w:top w:val="nil"/>
              <w:left w:val="nil"/>
              <w:bottom w:val="single" w:sz="4" w:space="0" w:color="auto"/>
              <w:right w:val="single" w:sz="4" w:space="0" w:color="auto"/>
            </w:tcBorders>
            <w:shd w:val="clear" w:color="auto" w:fill="auto"/>
            <w:noWrap/>
            <w:vAlign w:val="center"/>
            <w:hideMark/>
          </w:tcPr>
          <w:p w14:paraId="0C0A04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£2,363.14</w:t>
            </w:r>
          </w:p>
        </w:tc>
        <w:tc>
          <w:tcPr>
            <w:tcW w:w="1531" w:type="dxa"/>
            <w:tcBorders>
              <w:top w:val="nil"/>
              <w:left w:val="nil"/>
              <w:bottom w:val="single" w:sz="4" w:space="0" w:color="auto"/>
              <w:right w:val="single" w:sz="4" w:space="0" w:color="auto"/>
            </w:tcBorders>
            <w:shd w:val="clear" w:color="auto" w:fill="auto"/>
            <w:noWrap/>
            <w:vAlign w:val="center"/>
            <w:hideMark/>
          </w:tcPr>
          <w:p w14:paraId="774CAC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£9,452.56</w:t>
            </w:r>
          </w:p>
        </w:tc>
      </w:tr>
      <w:tr w:rsidR="004433D7" w:rsidRPr="004433D7" w14:paraId="1B585809"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32BBB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32571B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w:t>
            </w:r>
          </w:p>
        </w:tc>
        <w:tc>
          <w:tcPr>
            <w:tcW w:w="1417" w:type="dxa"/>
            <w:tcBorders>
              <w:top w:val="nil"/>
              <w:left w:val="nil"/>
              <w:bottom w:val="single" w:sz="4" w:space="0" w:color="auto"/>
              <w:right w:val="single" w:sz="4" w:space="0" w:color="auto"/>
            </w:tcBorders>
            <w:shd w:val="clear" w:color="auto" w:fill="auto"/>
            <w:noWrap/>
            <w:vAlign w:val="center"/>
            <w:hideMark/>
          </w:tcPr>
          <w:p w14:paraId="52C1A3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£0.82</w:t>
            </w:r>
          </w:p>
        </w:tc>
        <w:tc>
          <w:tcPr>
            <w:tcW w:w="1559" w:type="dxa"/>
            <w:tcBorders>
              <w:top w:val="nil"/>
              <w:left w:val="nil"/>
              <w:bottom w:val="single" w:sz="4" w:space="0" w:color="auto"/>
              <w:right w:val="single" w:sz="4" w:space="0" w:color="auto"/>
            </w:tcBorders>
            <w:shd w:val="clear" w:color="auto" w:fill="auto"/>
            <w:noWrap/>
            <w:vAlign w:val="center"/>
            <w:hideMark/>
          </w:tcPr>
          <w:p w14:paraId="699B71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£0.82</w:t>
            </w:r>
          </w:p>
        </w:tc>
        <w:tc>
          <w:tcPr>
            <w:tcW w:w="1418" w:type="dxa"/>
            <w:tcBorders>
              <w:top w:val="nil"/>
              <w:left w:val="nil"/>
              <w:bottom w:val="single" w:sz="4" w:space="0" w:color="auto"/>
              <w:right w:val="single" w:sz="4" w:space="0" w:color="auto"/>
            </w:tcBorders>
            <w:shd w:val="clear" w:color="auto" w:fill="auto"/>
            <w:noWrap/>
            <w:vAlign w:val="center"/>
            <w:hideMark/>
          </w:tcPr>
          <w:p w14:paraId="0B656B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£0.82</w:t>
            </w:r>
          </w:p>
        </w:tc>
        <w:tc>
          <w:tcPr>
            <w:tcW w:w="1559" w:type="dxa"/>
            <w:tcBorders>
              <w:top w:val="nil"/>
              <w:left w:val="nil"/>
              <w:bottom w:val="single" w:sz="4" w:space="0" w:color="auto"/>
              <w:right w:val="single" w:sz="4" w:space="0" w:color="auto"/>
            </w:tcBorders>
            <w:shd w:val="clear" w:color="auto" w:fill="auto"/>
            <w:noWrap/>
            <w:vAlign w:val="center"/>
            <w:hideMark/>
          </w:tcPr>
          <w:p w14:paraId="4CCE13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£0.82</w:t>
            </w:r>
          </w:p>
        </w:tc>
        <w:tc>
          <w:tcPr>
            <w:tcW w:w="1531" w:type="dxa"/>
            <w:tcBorders>
              <w:top w:val="nil"/>
              <w:left w:val="nil"/>
              <w:bottom w:val="single" w:sz="4" w:space="0" w:color="auto"/>
              <w:right w:val="single" w:sz="4" w:space="0" w:color="auto"/>
            </w:tcBorders>
            <w:shd w:val="clear" w:color="auto" w:fill="auto"/>
            <w:noWrap/>
            <w:vAlign w:val="center"/>
            <w:hideMark/>
          </w:tcPr>
          <w:p w14:paraId="18C010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£3.28</w:t>
            </w:r>
          </w:p>
        </w:tc>
      </w:tr>
      <w:tr w:rsidR="004433D7" w:rsidRPr="004433D7" w14:paraId="21F24EC5"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36057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5E7DA3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£3,691.88</w:t>
            </w:r>
          </w:p>
        </w:tc>
        <w:tc>
          <w:tcPr>
            <w:tcW w:w="1417" w:type="dxa"/>
            <w:tcBorders>
              <w:top w:val="nil"/>
              <w:left w:val="nil"/>
              <w:bottom w:val="single" w:sz="4" w:space="0" w:color="auto"/>
              <w:right w:val="single" w:sz="4" w:space="0" w:color="auto"/>
            </w:tcBorders>
            <w:shd w:val="clear" w:color="auto" w:fill="auto"/>
            <w:noWrap/>
            <w:vAlign w:val="center"/>
            <w:hideMark/>
          </w:tcPr>
          <w:p w14:paraId="15006C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£922.97</w:t>
            </w:r>
          </w:p>
        </w:tc>
        <w:tc>
          <w:tcPr>
            <w:tcW w:w="1559" w:type="dxa"/>
            <w:tcBorders>
              <w:top w:val="nil"/>
              <w:left w:val="nil"/>
              <w:bottom w:val="single" w:sz="4" w:space="0" w:color="auto"/>
              <w:right w:val="single" w:sz="4" w:space="0" w:color="auto"/>
            </w:tcBorders>
            <w:shd w:val="clear" w:color="auto" w:fill="auto"/>
            <w:noWrap/>
            <w:vAlign w:val="center"/>
            <w:hideMark/>
          </w:tcPr>
          <w:p w14:paraId="4C58AD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£922.97</w:t>
            </w:r>
          </w:p>
        </w:tc>
        <w:tc>
          <w:tcPr>
            <w:tcW w:w="1418" w:type="dxa"/>
            <w:tcBorders>
              <w:top w:val="nil"/>
              <w:left w:val="nil"/>
              <w:bottom w:val="single" w:sz="4" w:space="0" w:color="auto"/>
              <w:right w:val="single" w:sz="4" w:space="0" w:color="auto"/>
            </w:tcBorders>
            <w:shd w:val="clear" w:color="auto" w:fill="auto"/>
            <w:noWrap/>
            <w:vAlign w:val="center"/>
            <w:hideMark/>
          </w:tcPr>
          <w:p w14:paraId="00FF71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£922.97</w:t>
            </w:r>
          </w:p>
        </w:tc>
        <w:tc>
          <w:tcPr>
            <w:tcW w:w="1559" w:type="dxa"/>
            <w:tcBorders>
              <w:top w:val="nil"/>
              <w:left w:val="nil"/>
              <w:bottom w:val="single" w:sz="4" w:space="0" w:color="auto"/>
              <w:right w:val="single" w:sz="4" w:space="0" w:color="auto"/>
            </w:tcBorders>
            <w:shd w:val="clear" w:color="auto" w:fill="auto"/>
            <w:noWrap/>
            <w:vAlign w:val="center"/>
            <w:hideMark/>
          </w:tcPr>
          <w:p w14:paraId="62AB3A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£922.97</w:t>
            </w:r>
          </w:p>
        </w:tc>
        <w:tc>
          <w:tcPr>
            <w:tcW w:w="1531" w:type="dxa"/>
            <w:tcBorders>
              <w:top w:val="nil"/>
              <w:left w:val="nil"/>
              <w:bottom w:val="single" w:sz="4" w:space="0" w:color="auto"/>
              <w:right w:val="single" w:sz="4" w:space="0" w:color="auto"/>
            </w:tcBorders>
            <w:shd w:val="clear" w:color="auto" w:fill="auto"/>
            <w:noWrap/>
            <w:vAlign w:val="center"/>
            <w:hideMark/>
          </w:tcPr>
          <w:p w14:paraId="5DFF30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£3,691.88</w:t>
            </w:r>
          </w:p>
        </w:tc>
      </w:tr>
      <w:tr w:rsidR="004433D7" w:rsidRPr="004433D7" w14:paraId="549B08C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7C4AEB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Marble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7F7053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£7,375.52</w:t>
            </w:r>
          </w:p>
        </w:tc>
        <w:tc>
          <w:tcPr>
            <w:tcW w:w="1417" w:type="dxa"/>
            <w:tcBorders>
              <w:top w:val="nil"/>
              <w:left w:val="nil"/>
              <w:bottom w:val="single" w:sz="4" w:space="0" w:color="auto"/>
              <w:right w:val="single" w:sz="4" w:space="0" w:color="auto"/>
            </w:tcBorders>
            <w:shd w:val="clear" w:color="auto" w:fill="auto"/>
            <w:noWrap/>
            <w:vAlign w:val="center"/>
            <w:hideMark/>
          </w:tcPr>
          <w:p w14:paraId="1351F3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£7,375.52</w:t>
            </w:r>
          </w:p>
        </w:tc>
        <w:tc>
          <w:tcPr>
            <w:tcW w:w="1559" w:type="dxa"/>
            <w:tcBorders>
              <w:top w:val="nil"/>
              <w:left w:val="nil"/>
              <w:bottom w:val="single" w:sz="4" w:space="0" w:color="auto"/>
              <w:right w:val="single" w:sz="4" w:space="0" w:color="auto"/>
            </w:tcBorders>
            <w:shd w:val="clear" w:color="auto" w:fill="auto"/>
            <w:noWrap/>
            <w:vAlign w:val="center"/>
            <w:hideMark/>
          </w:tcPr>
          <w:p w14:paraId="49EE24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FFE60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CD303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763E71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£7,375.52</w:t>
            </w:r>
          </w:p>
        </w:tc>
      </w:tr>
      <w:tr w:rsidR="004433D7" w:rsidRPr="004433D7" w14:paraId="1B383E84"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ACB6E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Maxen</w:t>
            </w:r>
            <w:proofErr w:type="spellEnd"/>
            <w:r w:rsidRPr="004433D7">
              <w:rPr>
                <w:rFonts w:eastAsia="Times New Roman" w:cs="Times New Roman"/>
                <w:color w:val="000000"/>
                <w:sz w:val="16"/>
                <w:szCs w:val="16"/>
              </w:rPr>
              <w:t xml:space="preserve"> Power Supply Limited </w:t>
            </w:r>
          </w:p>
        </w:tc>
        <w:tc>
          <w:tcPr>
            <w:tcW w:w="1418" w:type="dxa"/>
            <w:tcBorders>
              <w:top w:val="nil"/>
              <w:left w:val="nil"/>
              <w:bottom w:val="single" w:sz="4" w:space="0" w:color="auto"/>
              <w:right w:val="single" w:sz="4" w:space="0" w:color="auto"/>
            </w:tcBorders>
            <w:shd w:val="clear" w:color="auto" w:fill="auto"/>
            <w:noWrap/>
            <w:vAlign w:val="center"/>
            <w:hideMark/>
          </w:tcPr>
          <w:p w14:paraId="2EF172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£4.94</w:t>
            </w:r>
          </w:p>
        </w:tc>
        <w:tc>
          <w:tcPr>
            <w:tcW w:w="1417" w:type="dxa"/>
            <w:tcBorders>
              <w:top w:val="nil"/>
              <w:left w:val="nil"/>
              <w:bottom w:val="single" w:sz="4" w:space="0" w:color="auto"/>
              <w:right w:val="single" w:sz="4" w:space="0" w:color="auto"/>
            </w:tcBorders>
            <w:shd w:val="clear" w:color="auto" w:fill="auto"/>
            <w:noWrap/>
            <w:vAlign w:val="center"/>
            <w:hideMark/>
          </w:tcPr>
          <w:p w14:paraId="7FAFE2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£4.94</w:t>
            </w:r>
          </w:p>
        </w:tc>
        <w:tc>
          <w:tcPr>
            <w:tcW w:w="1559" w:type="dxa"/>
            <w:tcBorders>
              <w:top w:val="nil"/>
              <w:left w:val="nil"/>
              <w:bottom w:val="single" w:sz="4" w:space="0" w:color="auto"/>
              <w:right w:val="single" w:sz="4" w:space="0" w:color="auto"/>
            </w:tcBorders>
            <w:shd w:val="clear" w:color="auto" w:fill="auto"/>
            <w:noWrap/>
            <w:vAlign w:val="center"/>
            <w:hideMark/>
          </w:tcPr>
          <w:p w14:paraId="199E0E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F9947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65F55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24F67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£4.94</w:t>
            </w:r>
          </w:p>
        </w:tc>
      </w:tr>
      <w:tr w:rsidR="004433D7" w:rsidRPr="004433D7" w14:paraId="36FCB8E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7C3200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MVV Environment Services Limited</w:t>
            </w:r>
          </w:p>
        </w:tc>
        <w:tc>
          <w:tcPr>
            <w:tcW w:w="1418" w:type="dxa"/>
            <w:tcBorders>
              <w:top w:val="nil"/>
              <w:left w:val="nil"/>
              <w:bottom w:val="single" w:sz="4" w:space="0" w:color="auto"/>
              <w:right w:val="single" w:sz="4" w:space="0" w:color="auto"/>
            </w:tcBorders>
            <w:shd w:val="clear" w:color="auto" w:fill="auto"/>
            <w:noWrap/>
            <w:vAlign w:val="center"/>
            <w:hideMark/>
          </w:tcPr>
          <w:p w14:paraId="73AF75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£165.60</w:t>
            </w:r>
          </w:p>
        </w:tc>
        <w:tc>
          <w:tcPr>
            <w:tcW w:w="1417" w:type="dxa"/>
            <w:tcBorders>
              <w:top w:val="nil"/>
              <w:left w:val="nil"/>
              <w:bottom w:val="single" w:sz="4" w:space="0" w:color="auto"/>
              <w:right w:val="single" w:sz="4" w:space="0" w:color="auto"/>
            </w:tcBorders>
            <w:shd w:val="clear" w:color="auto" w:fill="auto"/>
            <w:noWrap/>
            <w:vAlign w:val="center"/>
            <w:hideMark/>
          </w:tcPr>
          <w:p w14:paraId="2D49A5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£41.40</w:t>
            </w:r>
          </w:p>
        </w:tc>
        <w:tc>
          <w:tcPr>
            <w:tcW w:w="1559" w:type="dxa"/>
            <w:tcBorders>
              <w:top w:val="nil"/>
              <w:left w:val="nil"/>
              <w:bottom w:val="single" w:sz="4" w:space="0" w:color="auto"/>
              <w:right w:val="single" w:sz="4" w:space="0" w:color="auto"/>
            </w:tcBorders>
            <w:shd w:val="clear" w:color="auto" w:fill="auto"/>
            <w:noWrap/>
            <w:vAlign w:val="center"/>
            <w:hideMark/>
          </w:tcPr>
          <w:p w14:paraId="7D6405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£41.40</w:t>
            </w:r>
          </w:p>
        </w:tc>
        <w:tc>
          <w:tcPr>
            <w:tcW w:w="1418" w:type="dxa"/>
            <w:tcBorders>
              <w:top w:val="nil"/>
              <w:left w:val="nil"/>
              <w:bottom w:val="single" w:sz="4" w:space="0" w:color="auto"/>
              <w:right w:val="single" w:sz="4" w:space="0" w:color="auto"/>
            </w:tcBorders>
            <w:shd w:val="clear" w:color="auto" w:fill="auto"/>
            <w:noWrap/>
            <w:vAlign w:val="center"/>
            <w:hideMark/>
          </w:tcPr>
          <w:p w14:paraId="0135D9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£41.40</w:t>
            </w:r>
          </w:p>
        </w:tc>
        <w:tc>
          <w:tcPr>
            <w:tcW w:w="1559" w:type="dxa"/>
            <w:tcBorders>
              <w:top w:val="nil"/>
              <w:left w:val="nil"/>
              <w:bottom w:val="single" w:sz="4" w:space="0" w:color="auto"/>
              <w:right w:val="single" w:sz="4" w:space="0" w:color="auto"/>
            </w:tcBorders>
            <w:shd w:val="clear" w:color="auto" w:fill="auto"/>
            <w:noWrap/>
            <w:vAlign w:val="center"/>
            <w:hideMark/>
          </w:tcPr>
          <w:p w14:paraId="09F61B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£41.40</w:t>
            </w:r>
          </w:p>
        </w:tc>
        <w:tc>
          <w:tcPr>
            <w:tcW w:w="1531" w:type="dxa"/>
            <w:tcBorders>
              <w:top w:val="nil"/>
              <w:left w:val="nil"/>
              <w:bottom w:val="single" w:sz="4" w:space="0" w:color="auto"/>
              <w:right w:val="single" w:sz="4" w:space="0" w:color="auto"/>
            </w:tcBorders>
            <w:shd w:val="clear" w:color="auto" w:fill="auto"/>
            <w:noWrap/>
            <w:vAlign w:val="center"/>
            <w:hideMark/>
          </w:tcPr>
          <w:p w14:paraId="418C1B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£165.60</w:t>
            </w:r>
          </w:p>
        </w:tc>
      </w:tr>
      <w:tr w:rsidR="004433D7" w:rsidRPr="004433D7" w14:paraId="2E2205B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84F373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Nabuh</w:t>
            </w:r>
            <w:proofErr w:type="spellEnd"/>
            <w:r w:rsidRPr="004433D7">
              <w:rPr>
                <w:rFonts w:eastAsia="Times New Roman" w:cs="Times New Roman"/>
                <w:color w:val="000000"/>
                <w:sz w:val="16"/>
                <w:szCs w:val="16"/>
              </w:rPr>
              <w:t xml:space="preserve"> Energy Ltd</w:t>
            </w:r>
          </w:p>
        </w:tc>
        <w:tc>
          <w:tcPr>
            <w:tcW w:w="1418" w:type="dxa"/>
            <w:tcBorders>
              <w:top w:val="nil"/>
              <w:left w:val="nil"/>
              <w:bottom w:val="single" w:sz="4" w:space="0" w:color="auto"/>
              <w:right w:val="single" w:sz="4" w:space="0" w:color="auto"/>
            </w:tcBorders>
            <w:shd w:val="clear" w:color="auto" w:fill="auto"/>
            <w:noWrap/>
            <w:vAlign w:val="center"/>
            <w:hideMark/>
          </w:tcPr>
          <w:p w14:paraId="3205E7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£943.36</w:t>
            </w:r>
          </w:p>
        </w:tc>
        <w:tc>
          <w:tcPr>
            <w:tcW w:w="1417" w:type="dxa"/>
            <w:tcBorders>
              <w:top w:val="nil"/>
              <w:left w:val="nil"/>
              <w:bottom w:val="single" w:sz="4" w:space="0" w:color="auto"/>
              <w:right w:val="single" w:sz="4" w:space="0" w:color="auto"/>
            </w:tcBorders>
            <w:shd w:val="clear" w:color="auto" w:fill="auto"/>
            <w:noWrap/>
            <w:vAlign w:val="center"/>
            <w:hideMark/>
          </w:tcPr>
          <w:p w14:paraId="27951E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£235.84</w:t>
            </w:r>
          </w:p>
        </w:tc>
        <w:tc>
          <w:tcPr>
            <w:tcW w:w="1559" w:type="dxa"/>
            <w:tcBorders>
              <w:top w:val="nil"/>
              <w:left w:val="nil"/>
              <w:bottom w:val="single" w:sz="4" w:space="0" w:color="auto"/>
              <w:right w:val="single" w:sz="4" w:space="0" w:color="auto"/>
            </w:tcBorders>
            <w:shd w:val="clear" w:color="auto" w:fill="auto"/>
            <w:noWrap/>
            <w:vAlign w:val="center"/>
            <w:hideMark/>
          </w:tcPr>
          <w:p w14:paraId="1EBE1C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£235.84</w:t>
            </w:r>
          </w:p>
        </w:tc>
        <w:tc>
          <w:tcPr>
            <w:tcW w:w="1418" w:type="dxa"/>
            <w:tcBorders>
              <w:top w:val="nil"/>
              <w:left w:val="nil"/>
              <w:bottom w:val="single" w:sz="4" w:space="0" w:color="auto"/>
              <w:right w:val="single" w:sz="4" w:space="0" w:color="auto"/>
            </w:tcBorders>
            <w:shd w:val="clear" w:color="auto" w:fill="auto"/>
            <w:noWrap/>
            <w:vAlign w:val="center"/>
            <w:hideMark/>
          </w:tcPr>
          <w:p w14:paraId="7E6134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£235.84</w:t>
            </w:r>
          </w:p>
        </w:tc>
        <w:tc>
          <w:tcPr>
            <w:tcW w:w="1559" w:type="dxa"/>
            <w:tcBorders>
              <w:top w:val="nil"/>
              <w:left w:val="nil"/>
              <w:bottom w:val="single" w:sz="4" w:space="0" w:color="auto"/>
              <w:right w:val="single" w:sz="4" w:space="0" w:color="auto"/>
            </w:tcBorders>
            <w:shd w:val="clear" w:color="auto" w:fill="auto"/>
            <w:noWrap/>
            <w:vAlign w:val="center"/>
            <w:hideMark/>
          </w:tcPr>
          <w:p w14:paraId="723795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59730F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£707.52</w:t>
            </w:r>
          </w:p>
        </w:tc>
      </w:tr>
      <w:tr w:rsidR="004433D7" w:rsidRPr="004433D7" w14:paraId="5DB22E6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42BCA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418" w:type="dxa"/>
            <w:tcBorders>
              <w:top w:val="nil"/>
              <w:left w:val="nil"/>
              <w:bottom w:val="single" w:sz="4" w:space="0" w:color="auto"/>
              <w:right w:val="single" w:sz="4" w:space="0" w:color="auto"/>
            </w:tcBorders>
            <w:shd w:val="clear" w:color="auto" w:fill="auto"/>
            <w:noWrap/>
            <w:vAlign w:val="center"/>
            <w:hideMark/>
          </w:tcPr>
          <w:p w14:paraId="1D4D79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£16,051.97</w:t>
            </w:r>
          </w:p>
        </w:tc>
        <w:tc>
          <w:tcPr>
            <w:tcW w:w="1417" w:type="dxa"/>
            <w:tcBorders>
              <w:top w:val="nil"/>
              <w:left w:val="nil"/>
              <w:bottom w:val="single" w:sz="4" w:space="0" w:color="auto"/>
              <w:right w:val="single" w:sz="4" w:space="0" w:color="auto"/>
            </w:tcBorders>
            <w:shd w:val="clear" w:color="auto" w:fill="auto"/>
            <w:noWrap/>
            <w:vAlign w:val="center"/>
            <w:hideMark/>
          </w:tcPr>
          <w:p w14:paraId="40294A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£4,012.99</w:t>
            </w:r>
          </w:p>
        </w:tc>
        <w:tc>
          <w:tcPr>
            <w:tcW w:w="1559" w:type="dxa"/>
            <w:tcBorders>
              <w:top w:val="nil"/>
              <w:left w:val="nil"/>
              <w:bottom w:val="single" w:sz="4" w:space="0" w:color="auto"/>
              <w:right w:val="single" w:sz="4" w:space="0" w:color="auto"/>
            </w:tcBorders>
            <w:shd w:val="clear" w:color="auto" w:fill="auto"/>
            <w:noWrap/>
            <w:vAlign w:val="center"/>
            <w:hideMark/>
          </w:tcPr>
          <w:p w14:paraId="0B2D2F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£4,012.99</w:t>
            </w:r>
          </w:p>
        </w:tc>
        <w:tc>
          <w:tcPr>
            <w:tcW w:w="1418" w:type="dxa"/>
            <w:tcBorders>
              <w:top w:val="nil"/>
              <w:left w:val="nil"/>
              <w:bottom w:val="single" w:sz="4" w:space="0" w:color="auto"/>
              <w:right w:val="single" w:sz="4" w:space="0" w:color="auto"/>
            </w:tcBorders>
            <w:shd w:val="clear" w:color="auto" w:fill="auto"/>
            <w:noWrap/>
            <w:vAlign w:val="center"/>
            <w:hideMark/>
          </w:tcPr>
          <w:p w14:paraId="5F8C0E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£4,012.99</w:t>
            </w:r>
          </w:p>
        </w:tc>
        <w:tc>
          <w:tcPr>
            <w:tcW w:w="1559" w:type="dxa"/>
            <w:tcBorders>
              <w:top w:val="nil"/>
              <w:left w:val="nil"/>
              <w:bottom w:val="single" w:sz="4" w:space="0" w:color="auto"/>
              <w:right w:val="single" w:sz="4" w:space="0" w:color="auto"/>
            </w:tcBorders>
            <w:shd w:val="clear" w:color="auto" w:fill="auto"/>
            <w:noWrap/>
            <w:vAlign w:val="center"/>
            <w:hideMark/>
          </w:tcPr>
          <w:p w14:paraId="1B0292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£4,012.99</w:t>
            </w:r>
          </w:p>
        </w:tc>
        <w:tc>
          <w:tcPr>
            <w:tcW w:w="1531" w:type="dxa"/>
            <w:tcBorders>
              <w:top w:val="nil"/>
              <w:left w:val="nil"/>
              <w:bottom w:val="single" w:sz="4" w:space="0" w:color="auto"/>
              <w:right w:val="single" w:sz="4" w:space="0" w:color="auto"/>
            </w:tcBorders>
            <w:shd w:val="clear" w:color="auto" w:fill="auto"/>
            <w:noWrap/>
            <w:vAlign w:val="center"/>
            <w:hideMark/>
          </w:tcPr>
          <w:p w14:paraId="4CB884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£16,051.96</w:t>
            </w:r>
          </w:p>
        </w:tc>
      </w:tr>
      <w:tr w:rsidR="004433D7" w:rsidRPr="004433D7" w14:paraId="29003659"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ABBAC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322A34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£747,087.83</w:t>
            </w:r>
          </w:p>
        </w:tc>
        <w:tc>
          <w:tcPr>
            <w:tcW w:w="1417" w:type="dxa"/>
            <w:tcBorders>
              <w:top w:val="nil"/>
              <w:left w:val="nil"/>
              <w:bottom w:val="single" w:sz="4" w:space="0" w:color="auto"/>
              <w:right w:val="single" w:sz="4" w:space="0" w:color="auto"/>
            </w:tcBorders>
            <w:shd w:val="clear" w:color="auto" w:fill="auto"/>
            <w:noWrap/>
            <w:vAlign w:val="center"/>
            <w:hideMark/>
          </w:tcPr>
          <w:p w14:paraId="183E06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£186,771.96</w:t>
            </w:r>
          </w:p>
        </w:tc>
        <w:tc>
          <w:tcPr>
            <w:tcW w:w="1559" w:type="dxa"/>
            <w:tcBorders>
              <w:top w:val="nil"/>
              <w:left w:val="nil"/>
              <w:bottom w:val="single" w:sz="4" w:space="0" w:color="auto"/>
              <w:right w:val="single" w:sz="4" w:space="0" w:color="auto"/>
            </w:tcBorders>
            <w:shd w:val="clear" w:color="auto" w:fill="auto"/>
            <w:noWrap/>
            <w:vAlign w:val="center"/>
            <w:hideMark/>
          </w:tcPr>
          <w:p w14:paraId="1E79F3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£186,771.96</w:t>
            </w:r>
          </w:p>
        </w:tc>
        <w:tc>
          <w:tcPr>
            <w:tcW w:w="1418" w:type="dxa"/>
            <w:tcBorders>
              <w:top w:val="nil"/>
              <w:left w:val="nil"/>
              <w:bottom w:val="single" w:sz="4" w:space="0" w:color="auto"/>
              <w:right w:val="single" w:sz="4" w:space="0" w:color="auto"/>
            </w:tcBorders>
            <w:shd w:val="clear" w:color="auto" w:fill="auto"/>
            <w:noWrap/>
            <w:vAlign w:val="center"/>
            <w:hideMark/>
          </w:tcPr>
          <w:p w14:paraId="477BFE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£186,771.96</w:t>
            </w:r>
          </w:p>
        </w:tc>
        <w:tc>
          <w:tcPr>
            <w:tcW w:w="1559" w:type="dxa"/>
            <w:tcBorders>
              <w:top w:val="nil"/>
              <w:left w:val="nil"/>
              <w:bottom w:val="single" w:sz="4" w:space="0" w:color="auto"/>
              <w:right w:val="single" w:sz="4" w:space="0" w:color="auto"/>
            </w:tcBorders>
            <w:shd w:val="clear" w:color="auto" w:fill="auto"/>
            <w:noWrap/>
            <w:vAlign w:val="center"/>
            <w:hideMark/>
          </w:tcPr>
          <w:p w14:paraId="7AD2E7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£186,771.96</w:t>
            </w:r>
          </w:p>
        </w:tc>
        <w:tc>
          <w:tcPr>
            <w:tcW w:w="1531" w:type="dxa"/>
            <w:tcBorders>
              <w:top w:val="nil"/>
              <w:left w:val="nil"/>
              <w:bottom w:val="single" w:sz="4" w:space="0" w:color="auto"/>
              <w:right w:val="single" w:sz="4" w:space="0" w:color="auto"/>
            </w:tcBorders>
            <w:shd w:val="clear" w:color="auto" w:fill="auto"/>
            <w:noWrap/>
            <w:vAlign w:val="center"/>
            <w:hideMark/>
          </w:tcPr>
          <w:p w14:paraId="081858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£747,087.84</w:t>
            </w:r>
          </w:p>
        </w:tc>
      </w:tr>
      <w:tr w:rsidR="004433D7" w:rsidRPr="004433D7" w14:paraId="0A9B2F5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31CCE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798E61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£125,209.18</w:t>
            </w:r>
          </w:p>
        </w:tc>
        <w:tc>
          <w:tcPr>
            <w:tcW w:w="1417" w:type="dxa"/>
            <w:tcBorders>
              <w:top w:val="nil"/>
              <w:left w:val="nil"/>
              <w:bottom w:val="single" w:sz="4" w:space="0" w:color="auto"/>
              <w:right w:val="single" w:sz="4" w:space="0" w:color="auto"/>
            </w:tcBorders>
            <w:shd w:val="clear" w:color="auto" w:fill="auto"/>
            <w:noWrap/>
            <w:vAlign w:val="center"/>
            <w:hideMark/>
          </w:tcPr>
          <w:p w14:paraId="664CE1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£31,302.30</w:t>
            </w:r>
          </w:p>
        </w:tc>
        <w:tc>
          <w:tcPr>
            <w:tcW w:w="1559" w:type="dxa"/>
            <w:tcBorders>
              <w:top w:val="nil"/>
              <w:left w:val="nil"/>
              <w:bottom w:val="single" w:sz="4" w:space="0" w:color="auto"/>
              <w:right w:val="single" w:sz="4" w:space="0" w:color="auto"/>
            </w:tcBorders>
            <w:shd w:val="clear" w:color="auto" w:fill="auto"/>
            <w:noWrap/>
            <w:vAlign w:val="center"/>
            <w:hideMark/>
          </w:tcPr>
          <w:p w14:paraId="2E6B4F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£31,302.30</w:t>
            </w:r>
          </w:p>
        </w:tc>
        <w:tc>
          <w:tcPr>
            <w:tcW w:w="1418" w:type="dxa"/>
            <w:tcBorders>
              <w:top w:val="nil"/>
              <w:left w:val="nil"/>
              <w:bottom w:val="single" w:sz="4" w:space="0" w:color="auto"/>
              <w:right w:val="single" w:sz="4" w:space="0" w:color="auto"/>
            </w:tcBorders>
            <w:shd w:val="clear" w:color="auto" w:fill="auto"/>
            <w:noWrap/>
            <w:vAlign w:val="center"/>
            <w:hideMark/>
          </w:tcPr>
          <w:p w14:paraId="65C307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£31,302.30</w:t>
            </w:r>
          </w:p>
        </w:tc>
        <w:tc>
          <w:tcPr>
            <w:tcW w:w="1559" w:type="dxa"/>
            <w:tcBorders>
              <w:top w:val="nil"/>
              <w:left w:val="nil"/>
              <w:bottom w:val="single" w:sz="4" w:space="0" w:color="auto"/>
              <w:right w:val="single" w:sz="4" w:space="0" w:color="auto"/>
            </w:tcBorders>
            <w:shd w:val="clear" w:color="auto" w:fill="auto"/>
            <w:noWrap/>
            <w:vAlign w:val="center"/>
            <w:hideMark/>
          </w:tcPr>
          <w:p w14:paraId="05FDB2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£31,302.30</w:t>
            </w:r>
          </w:p>
        </w:tc>
        <w:tc>
          <w:tcPr>
            <w:tcW w:w="1531" w:type="dxa"/>
            <w:tcBorders>
              <w:top w:val="nil"/>
              <w:left w:val="nil"/>
              <w:bottom w:val="single" w:sz="4" w:space="0" w:color="auto"/>
              <w:right w:val="single" w:sz="4" w:space="0" w:color="auto"/>
            </w:tcBorders>
            <w:shd w:val="clear" w:color="auto" w:fill="auto"/>
            <w:noWrap/>
            <w:vAlign w:val="center"/>
            <w:hideMark/>
          </w:tcPr>
          <w:p w14:paraId="70AF27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£125,209.20</w:t>
            </w:r>
          </w:p>
        </w:tc>
      </w:tr>
      <w:tr w:rsidR="004433D7" w:rsidRPr="004433D7" w14:paraId="78F769C8"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734B9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Npower Yorkshire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28286B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£52.73</w:t>
            </w:r>
          </w:p>
        </w:tc>
        <w:tc>
          <w:tcPr>
            <w:tcW w:w="1417" w:type="dxa"/>
            <w:tcBorders>
              <w:top w:val="nil"/>
              <w:left w:val="nil"/>
              <w:bottom w:val="single" w:sz="4" w:space="0" w:color="auto"/>
              <w:right w:val="single" w:sz="4" w:space="0" w:color="auto"/>
            </w:tcBorders>
            <w:shd w:val="clear" w:color="auto" w:fill="auto"/>
            <w:noWrap/>
            <w:vAlign w:val="center"/>
            <w:hideMark/>
          </w:tcPr>
          <w:p w14:paraId="31C21F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£13.18</w:t>
            </w:r>
          </w:p>
        </w:tc>
        <w:tc>
          <w:tcPr>
            <w:tcW w:w="1559" w:type="dxa"/>
            <w:tcBorders>
              <w:top w:val="nil"/>
              <w:left w:val="nil"/>
              <w:bottom w:val="single" w:sz="4" w:space="0" w:color="auto"/>
              <w:right w:val="single" w:sz="4" w:space="0" w:color="auto"/>
            </w:tcBorders>
            <w:shd w:val="clear" w:color="auto" w:fill="auto"/>
            <w:noWrap/>
            <w:vAlign w:val="center"/>
            <w:hideMark/>
          </w:tcPr>
          <w:p w14:paraId="7F4B8D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£13.18</w:t>
            </w:r>
          </w:p>
        </w:tc>
        <w:tc>
          <w:tcPr>
            <w:tcW w:w="1418" w:type="dxa"/>
            <w:tcBorders>
              <w:top w:val="nil"/>
              <w:left w:val="nil"/>
              <w:bottom w:val="single" w:sz="4" w:space="0" w:color="auto"/>
              <w:right w:val="single" w:sz="4" w:space="0" w:color="auto"/>
            </w:tcBorders>
            <w:shd w:val="clear" w:color="auto" w:fill="auto"/>
            <w:noWrap/>
            <w:vAlign w:val="center"/>
            <w:hideMark/>
          </w:tcPr>
          <w:p w14:paraId="107712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£13.18</w:t>
            </w:r>
          </w:p>
        </w:tc>
        <w:tc>
          <w:tcPr>
            <w:tcW w:w="1559" w:type="dxa"/>
            <w:tcBorders>
              <w:top w:val="nil"/>
              <w:left w:val="nil"/>
              <w:bottom w:val="single" w:sz="4" w:space="0" w:color="auto"/>
              <w:right w:val="single" w:sz="4" w:space="0" w:color="auto"/>
            </w:tcBorders>
            <w:shd w:val="clear" w:color="auto" w:fill="auto"/>
            <w:noWrap/>
            <w:vAlign w:val="center"/>
            <w:hideMark/>
          </w:tcPr>
          <w:p w14:paraId="430392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£13.18</w:t>
            </w:r>
          </w:p>
        </w:tc>
        <w:tc>
          <w:tcPr>
            <w:tcW w:w="1531" w:type="dxa"/>
            <w:tcBorders>
              <w:top w:val="nil"/>
              <w:left w:val="nil"/>
              <w:bottom w:val="single" w:sz="4" w:space="0" w:color="auto"/>
              <w:right w:val="single" w:sz="4" w:space="0" w:color="auto"/>
            </w:tcBorders>
            <w:shd w:val="clear" w:color="auto" w:fill="auto"/>
            <w:noWrap/>
            <w:vAlign w:val="center"/>
            <w:hideMark/>
          </w:tcPr>
          <w:p w14:paraId="7B11E7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£52.72</w:t>
            </w:r>
          </w:p>
        </w:tc>
      </w:tr>
      <w:tr w:rsidR="004433D7" w:rsidRPr="004433D7" w14:paraId="5B035AA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A21FA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54A54F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£46,334.29</w:t>
            </w:r>
          </w:p>
        </w:tc>
        <w:tc>
          <w:tcPr>
            <w:tcW w:w="1417" w:type="dxa"/>
            <w:tcBorders>
              <w:top w:val="nil"/>
              <w:left w:val="nil"/>
              <w:bottom w:val="single" w:sz="4" w:space="0" w:color="auto"/>
              <w:right w:val="single" w:sz="4" w:space="0" w:color="auto"/>
            </w:tcBorders>
            <w:shd w:val="clear" w:color="auto" w:fill="auto"/>
            <w:noWrap/>
            <w:vAlign w:val="center"/>
            <w:hideMark/>
          </w:tcPr>
          <w:p w14:paraId="64EA37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£11,583.57</w:t>
            </w:r>
          </w:p>
        </w:tc>
        <w:tc>
          <w:tcPr>
            <w:tcW w:w="1559" w:type="dxa"/>
            <w:tcBorders>
              <w:top w:val="nil"/>
              <w:left w:val="nil"/>
              <w:bottom w:val="single" w:sz="4" w:space="0" w:color="auto"/>
              <w:right w:val="single" w:sz="4" w:space="0" w:color="auto"/>
            </w:tcBorders>
            <w:shd w:val="clear" w:color="auto" w:fill="auto"/>
            <w:noWrap/>
            <w:vAlign w:val="center"/>
            <w:hideMark/>
          </w:tcPr>
          <w:p w14:paraId="086D9F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£11,583.57</w:t>
            </w:r>
          </w:p>
        </w:tc>
        <w:tc>
          <w:tcPr>
            <w:tcW w:w="1418" w:type="dxa"/>
            <w:tcBorders>
              <w:top w:val="nil"/>
              <w:left w:val="nil"/>
              <w:bottom w:val="single" w:sz="4" w:space="0" w:color="auto"/>
              <w:right w:val="single" w:sz="4" w:space="0" w:color="auto"/>
            </w:tcBorders>
            <w:shd w:val="clear" w:color="auto" w:fill="auto"/>
            <w:noWrap/>
            <w:vAlign w:val="center"/>
            <w:hideMark/>
          </w:tcPr>
          <w:p w14:paraId="7092B4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£11,583.57</w:t>
            </w:r>
          </w:p>
        </w:tc>
        <w:tc>
          <w:tcPr>
            <w:tcW w:w="1559" w:type="dxa"/>
            <w:tcBorders>
              <w:top w:val="nil"/>
              <w:left w:val="nil"/>
              <w:bottom w:val="single" w:sz="4" w:space="0" w:color="auto"/>
              <w:right w:val="single" w:sz="4" w:space="0" w:color="auto"/>
            </w:tcBorders>
            <w:shd w:val="clear" w:color="auto" w:fill="auto"/>
            <w:noWrap/>
            <w:vAlign w:val="center"/>
            <w:hideMark/>
          </w:tcPr>
          <w:p w14:paraId="471E46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£11,583.57</w:t>
            </w:r>
          </w:p>
        </w:tc>
        <w:tc>
          <w:tcPr>
            <w:tcW w:w="1531" w:type="dxa"/>
            <w:tcBorders>
              <w:top w:val="nil"/>
              <w:left w:val="nil"/>
              <w:bottom w:val="single" w:sz="4" w:space="0" w:color="auto"/>
              <w:right w:val="single" w:sz="4" w:space="0" w:color="auto"/>
            </w:tcBorders>
            <w:shd w:val="clear" w:color="auto" w:fill="auto"/>
            <w:noWrap/>
            <w:vAlign w:val="center"/>
            <w:hideMark/>
          </w:tcPr>
          <w:p w14:paraId="6F8EF9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£46,334.28</w:t>
            </w:r>
          </w:p>
        </w:tc>
      </w:tr>
      <w:tr w:rsidR="004433D7" w:rsidRPr="004433D7" w14:paraId="51B8999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B8CDE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418" w:type="dxa"/>
            <w:tcBorders>
              <w:top w:val="nil"/>
              <w:left w:val="nil"/>
              <w:bottom w:val="single" w:sz="4" w:space="0" w:color="auto"/>
              <w:right w:val="single" w:sz="4" w:space="0" w:color="auto"/>
            </w:tcBorders>
            <w:shd w:val="clear" w:color="auto" w:fill="auto"/>
            <w:noWrap/>
            <w:vAlign w:val="center"/>
            <w:hideMark/>
          </w:tcPr>
          <w:p w14:paraId="0EBFAA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£52,028.23</w:t>
            </w:r>
          </w:p>
        </w:tc>
        <w:tc>
          <w:tcPr>
            <w:tcW w:w="1417" w:type="dxa"/>
            <w:tcBorders>
              <w:top w:val="nil"/>
              <w:left w:val="nil"/>
              <w:bottom w:val="single" w:sz="4" w:space="0" w:color="auto"/>
              <w:right w:val="single" w:sz="4" w:space="0" w:color="auto"/>
            </w:tcBorders>
            <w:shd w:val="clear" w:color="auto" w:fill="auto"/>
            <w:noWrap/>
            <w:vAlign w:val="center"/>
            <w:hideMark/>
          </w:tcPr>
          <w:p w14:paraId="69F32D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£13,007.06</w:t>
            </w:r>
          </w:p>
        </w:tc>
        <w:tc>
          <w:tcPr>
            <w:tcW w:w="1559" w:type="dxa"/>
            <w:tcBorders>
              <w:top w:val="nil"/>
              <w:left w:val="nil"/>
              <w:bottom w:val="single" w:sz="4" w:space="0" w:color="auto"/>
              <w:right w:val="single" w:sz="4" w:space="0" w:color="auto"/>
            </w:tcBorders>
            <w:shd w:val="clear" w:color="auto" w:fill="auto"/>
            <w:noWrap/>
            <w:vAlign w:val="center"/>
            <w:hideMark/>
          </w:tcPr>
          <w:p w14:paraId="313294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£13,007.06</w:t>
            </w:r>
          </w:p>
        </w:tc>
        <w:tc>
          <w:tcPr>
            <w:tcW w:w="1418" w:type="dxa"/>
            <w:tcBorders>
              <w:top w:val="nil"/>
              <w:left w:val="nil"/>
              <w:bottom w:val="single" w:sz="4" w:space="0" w:color="auto"/>
              <w:right w:val="single" w:sz="4" w:space="0" w:color="auto"/>
            </w:tcBorders>
            <w:shd w:val="clear" w:color="auto" w:fill="auto"/>
            <w:noWrap/>
            <w:vAlign w:val="center"/>
            <w:hideMark/>
          </w:tcPr>
          <w:p w14:paraId="7C67B0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£13,007.06</w:t>
            </w:r>
          </w:p>
        </w:tc>
        <w:tc>
          <w:tcPr>
            <w:tcW w:w="1559" w:type="dxa"/>
            <w:tcBorders>
              <w:top w:val="nil"/>
              <w:left w:val="nil"/>
              <w:bottom w:val="single" w:sz="4" w:space="0" w:color="auto"/>
              <w:right w:val="single" w:sz="4" w:space="0" w:color="auto"/>
            </w:tcBorders>
            <w:shd w:val="clear" w:color="auto" w:fill="auto"/>
            <w:noWrap/>
            <w:vAlign w:val="center"/>
            <w:hideMark/>
          </w:tcPr>
          <w:p w14:paraId="30EE44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£13,007.06</w:t>
            </w:r>
          </w:p>
        </w:tc>
        <w:tc>
          <w:tcPr>
            <w:tcW w:w="1531" w:type="dxa"/>
            <w:tcBorders>
              <w:top w:val="nil"/>
              <w:left w:val="nil"/>
              <w:bottom w:val="single" w:sz="4" w:space="0" w:color="auto"/>
              <w:right w:val="single" w:sz="4" w:space="0" w:color="auto"/>
            </w:tcBorders>
            <w:shd w:val="clear" w:color="auto" w:fill="auto"/>
            <w:noWrap/>
            <w:vAlign w:val="center"/>
            <w:hideMark/>
          </w:tcPr>
          <w:p w14:paraId="3FD461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£52,028.24</w:t>
            </w:r>
          </w:p>
        </w:tc>
      </w:tr>
      <w:tr w:rsidR="004433D7" w:rsidRPr="004433D7" w14:paraId="48D108B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E8FE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5276CF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£73,275.70</w:t>
            </w:r>
          </w:p>
        </w:tc>
        <w:tc>
          <w:tcPr>
            <w:tcW w:w="1417" w:type="dxa"/>
            <w:tcBorders>
              <w:top w:val="nil"/>
              <w:left w:val="nil"/>
              <w:bottom w:val="single" w:sz="4" w:space="0" w:color="auto"/>
              <w:right w:val="single" w:sz="4" w:space="0" w:color="auto"/>
            </w:tcBorders>
            <w:shd w:val="clear" w:color="auto" w:fill="auto"/>
            <w:noWrap/>
            <w:vAlign w:val="center"/>
            <w:hideMark/>
          </w:tcPr>
          <w:p w14:paraId="32F326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£18,318.92</w:t>
            </w:r>
          </w:p>
        </w:tc>
        <w:tc>
          <w:tcPr>
            <w:tcW w:w="1559" w:type="dxa"/>
            <w:tcBorders>
              <w:top w:val="nil"/>
              <w:left w:val="nil"/>
              <w:bottom w:val="single" w:sz="4" w:space="0" w:color="auto"/>
              <w:right w:val="single" w:sz="4" w:space="0" w:color="auto"/>
            </w:tcBorders>
            <w:shd w:val="clear" w:color="auto" w:fill="auto"/>
            <w:noWrap/>
            <w:vAlign w:val="center"/>
            <w:hideMark/>
          </w:tcPr>
          <w:p w14:paraId="35238B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£18,318.92</w:t>
            </w:r>
          </w:p>
        </w:tc>
        <w:tc>
          <w:tcPr>
            <w:tcW w:w="1418" w:type="dxa"/>
            <w:tcBorders>
              <w:top w:val="nil"/>
              <w:left w:val="nil"/>
              <w:bottom w:val="single" w:sz="4" w:space="0" w:color="auto"/>
              <w:right w:val="single" w:sz="4" w:space="0" w:color="auto"/>
            </w:tcBorders>
            <w:shd w:val="clear" w:color="auto" w:fill="auto"/>
            <w:noWrap/>
            <w:vAlign w:val="center"/>
            <w:hideMark/>
          </w:tcPr>
          <w:p w14:paraId="2FA93E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£18,318.92</w:t>
            </w:r>
          </w:p>
        </w:tc>
        <w:tc>
          <w:tcPr>
            <w:tcW w:w="1559" w:type="dxa"/>
            <w:tcBorders>
              <w:top w:val="nil"/>
              <w:left w:val="nil"/>
              <w:bottom w:val="single" w:sz="4" w:space="0" w:color="auto"/>
              <w:right w:val="single" w:sz="4" w:space="0" w:color="auto"/>
            </w:tcBorders>
            <w:shd w:val="clear" w:color="auto" w:fill="auto"/>
            <w:noWrap/>
            <w:vAlign w:val="center"/>
            <w:hideMark/>
          </w:tcPr>
          <w:p w14:paraId="0AC218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auto" w:fill="auto"/>
            <w:noWrap/>
            <w:vAlign w:val="center"/>
            <w:hideMark/>
          </w:tcPr>
          <w:p w14:paraId="532B8D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£73,275.68</w:t>
            </w:r>
          </w:p>
        </w:tc>
      </w:tr>
      <w:tr w:rsidR="004433D7" w:rsidRPr="004433D7" w14:paraId="0ACE1810"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6475DD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Orbit Energy Limited </w:t>
            </w:r>
          </w:p>
        </w:tc>
        <w:tc>
          <w:tcPr>
            <w:tcW w:w="1418" w:type="dxa"/>
            <w:tcBorders>
              <w:top w:val="nil"/>
              <w:left w:val="nil"/>
              <w:bottom w:val="single" w:sz="4" w:space="0" w:color="auto"/>
              <w:right w:val="single" w:sz="4" w:space="0" w:color="auto"/>
            </w:tcBorders>
            <w:shd w:val="clear" w:color="auto" w:fill="auto"/>
            <w:noWrap/>
            <w:vAlign w:val="center"/>
            <w:hideMark/>
          </w:tcPr>
          <w:p w14:paraId="4AE8F9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£463.03</w:t>
            </w:r>
          </w:p>
        </w:tc>
        <w:tc>
          <w:tcPr>
            <w:tcW w:w="1417" w:type="dxa"/>
            <w:tcBorders>
              <w:top w:val="nil"/>
              <w:left w:val="nil"/>
              <w:bottom w:val="single" w:sz="4" w:space="0" w:color="auto"/>
              <w:right w:val="single" w:sz="4" w:space="0" w:color="auto"/>
            </w:tcBorders>
            <w:shd w:val="clear" w:color="auto" w:fill="auto"/>
            <w:noWrap/>
            <w:vAlign w:val="center"/>
            <w:hideMark/>
          </w:tcPr>
          <w:p w14:paraId="66AEB9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£115.76</w:t>
            </w:r>
          </w:p>
        </w:tc>
        <w:tc>
          <w:tcPr>
            <w:tcW w:w="1559" w:type="dxa"/>
            <w:tcBorders>
              <w:top w:val="nil"/>
              <w:left w:val="nil"/>
              <w:bottom w:val="single" w:sz="4" w:space="0" w:color="auto"/>
              <w:right w:val="single" w:sz="4" w:space="0" w:color="auto"/>
            </w:tcBorders>
            <w:shd w:val="clear" w:color="auto" w:fill="auto"/>
            <w:noWrap/>
            <w:vAlign w:val="center"/>
            <w:hideMark/>
          </w:tcPr>
          <w:p w14:paraId="580C9F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£115.76</w:t>
            </w:r>
          </w:p>
        </w:tc>
        <w:tc>
          <w:tcPr>
            <w:tcW w:w="1418" w:type="dxa"/>
            <w:tcBorders>
              <w:top w:val="nil"/>
              <w:left w:val="nil"/>
              <w:bottom w:val="single" w:sz="4" w:space="0" w:color="auto"/>
              <w:right w:val="single" w:sz="4" w:space="0" w:color="auto"/>
            </w:tcBorders>
            <w:shd w:val="clear" w:color="auto" w:fill="auto"/>
            <w:noWrap/>
            <w:vAlign w:val="center"/>
            <w:hideMark/>
          </w:tcPr>
          <w:p w14:paraId="7740A9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£115.76</w:t>
            </w:r>
          </w:p>
        </w:tc>
        <w:tc>
          <w:tcPr>
            <w:tcW w:w="1559" w:type="dxa"/>
            <w:tcBorders>
              <w:top w:val="nil"/>
              <w:left w:val="nil"/>
              <w:bottom w:val="single" w:sz="4" w:space="0" w:color="auto"/>
              <w:right w:val="single" w:sz="4" w:space="0" w:color="auto"/>
            </w:tcBorders>
            <w:shd w:val="clear" w:color="auto" w:fill="auto"/>
            <w:noWrap/>
            <w:vAlign w:val="center"/>
            <w:hideMark/>
          </w:tcPr>
          <w:p w14:paraId="06A3F9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£115.76</w:t>
            </w:r>
          </w:p>
        </w:tc>
        <w:tc>
          <w:tcPr>
            <w:tcW w:w="1531" w:type="dxa"/>
            <w:tcBorders>
              <w:top w:val="nil"/>
              <w:left w:val="nil"/>
              <w:bottom w:val="single" w:sz="4" w:space="0" w:color="auto"/>
              <w:right w:val="single" w:sz="4" w:space="0" w:color="auto"/>
            </w:tcBorders>
            <w:shd w:val="clear" w:color="auto" w:fill="auto"/>
            <w:noWrap/>
            <w:vAlign w:val="center"/>
            <w:hideMark/>
          </w:tcPr>
          <w:p w14:paraId="5B9C008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£463.04</w:t>
            </w:r>
          </w:p>
        </w:tc>
      </w:tr>
      <w:tr w:rsidR="004433D7" w:rsidRPr="004433D7" w14:paraId="126A8D4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F7DD47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Orsted</w:t>
            </w:r>
            <w:proofErr w:type="spellEnd"/>
            <w:r w:rsidRPr="004433D7">
              <w:rPr>
                <w:rFonts w:eastAsia="Times New Roman" w:cs="Times New Roman"/>
                <w:color w:val="000000"/>
                <w:sz w:val="16"/>
                <w:szCs w:val="16"/>
              </w:rPr>
              <w:t xml:space="preserve"> Power Sales (UK) Limited</w:t>
            </w:r>
          </w:p>
        </w:tc>
        <w:tc>
          <w:tcPr>
            <w:tcW w:w="1418" w:type="dxa"/>
            <w:tcBorders>
              <w:top w:val="nil"/>
              <w:left w:val="nil"/>
              <w:bottom w:val="single" w:sz="4" w:space="0" w:color="auto"/>
              <w:right w:val="single" w:sz="4" w:space="0" w:color="auto"/>
            </w:tcBorders>
            <w:shd w:val="clear" w:color="auto" w:fill="auto"/>
            <w:noWrap/>
            <w:vAlign w:val="center"/>
            <w:hideMark/>
          </w:tcPr>
          <w:p w14:paraId="394B90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£111,442.70</w:t>
            </w:r>
          </w:p>
        </w:tc>
        <w:tc>
          <w:tcPr>
            <w:tcW w:w="1417" w:type="dxa"/>
            <w:tcBorders>
              <w:top w:val="nil"/>
              <w:left w:val="nil"/>
              <w:bottom w:val="single" w:sz="4" w:space="0" w:color="auto"/>
              <w:right w:val="single" w:sz="4" w:space="0" w:color="auto"/>
            </w:tcBorders>
            <w:shd w:val="clear" w:color="auto" w:fill="auto"/>
            <w:noWrap/>
            <w:vAlign w:val="center"/>
            <w:hideMark/>
          </w:tcPr>
          <w:p w14:paraId="22E4E1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£27,860.67</w:t>
            </w:r>
          </w:p>
        </w:tc>
        <w:tc>
          <w:tcPr>
            <w:tcW w:w="1559" w:type="dxa"/>
            <w:tcBorders>
              <w:top w:val="nil"/>
              <w:left w:val="nil"/>
              <w:bottom w:val="single" w:sz="4" w:space="0" w:color="auto"/>
              <w:right w:val="single" w:sz="4" w:space="0" w:color="auto"/>
            </w:tcBorders>
            <w:shd w:val="clear" w:color="auto" w:fill="auto"/>
            <w:noWrap/>
            <w:vAlign w:val="center"/>
            <w:hideMark/>
          </w:tcPr>
          <w:p w14:paraId="41A74A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£27,860.67</w:t>
            </w:r>
          </w:p>
        </w:tc>
        <w:tc>
          <w:tcPr>
            <w:tcW w:w="1418" w:type="dxa"/>
            <w:tcBorders>
              <w:top w:val="nil"/>
              <w:left w:val="nil"/>
              <w:bottom w:val="single" w:sz="4" w:space="0" w:color="auto"/>
              <w:right w:val="single" w:sz="4" w:space="0" w:color="auto"/>
            </w:tcBorders>
            <w:shd w:val="clear" w:color="auto" w:fill="auto"/>
            <w:noWrap/>
            <w:vAlign w:val="center"/>
            <w:hideMark/>
          </w:tcPr>
          <w:p w14:paraId="49E447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£27,860.67</w:t>
            </w:r>
          </w:p>
        </w:tc>
        <w:tc>
          <w:tcPr>
            <w:tcW w:w="1559" w:type="dxa"/>
            <w:tcBorders>
              <w:top w:val="nil"/>
              <w:left w:val="nil"/>
              <w:bottom w:val="single" w:sz="4" w:space="0" w:color="auto"/>
              <w:right w:val="single" w:sz="4" w:space="0" w:color="auto"/>
            </w:tcBorders>
            <w:shd w:val="clear" w:color="auto" w:fill="auto"/>
            <w:noWrap/>
            <w:vAlign w:val="center"/>
            <w:hideMark/>
          </w:tcPr>
          <w:p w14:paraId="559C08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£27,860.67</w:t>
            </w:r>
          </w:p>
        </w:tc>
        <w:tc>
          <w:tcPr>
            <w:tcW w:w="1531" w:type="dxa"/>
            <w:tcBorders>
              <w:top w:val="nil"/>
              <w:left w:val="nil"/>
              <w:bottom w:val="single" w:sz="4" w:space="0" w:color="auto"/>
              <w:right w:val="single" w:sz="4" w:space="0" w:color="auto"/>
            </w:tcBorders>
            <w:shd w:val="clear" w:color="auto" w:fill="auto"/>
            <w:noWrap/>
            <w:vAlign w:val="center"/>
            <w:hideMark/>
          </w:tcPr>
          <w:p w14:paraId="5E021E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£111,442.68</w:t>
            </w:r>
          </w:p>
        </w:tc>
      </w:tr>
      <w:tr w:rsidR="004433D7" w:rsidRPr="004433D7" w14:paraId="44DE27D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CB9877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418" w:type="dxa"/>
            <w:tcBorders>
              <w:top w:val="nil"/>
              <w:left w:val="nil"/>
              <w:bottom w:val="single" w:sz="4" w:space="0" w:color="auto"/>
              <w:right w:val="single" w:sz="4" w:space="0" w:color="auto"/>
            </w:tcBorders>
            <w:shd w:val="clear" w:color="auto" w:fill="auto"/>
            <w:noWrap/>
            <w:vAlign w:val="center"/>
            <w:hideMark/>
          </w:tcPr>
          <w:p w14:paraId="148F01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£71,869.31</w:t>
            </w:r>
          </w:p>
        </w:tc>
        <w:tc>
          <w:tcPr>
            <w:tcW w:w="1417" w:type="dxa"/>
            <w:tcBorders>
              <w:top w:val="nil"/>
              <w:left w:val="nil"/>
              <w:bottom w:val="single" w:sz="4" w:space="0" w:color="auto"/>
              <w:right w:val="single" w:sz="4" w:space="0" w:color="auto"/>
            </w:tcBorders>
            <w:shd w:val="clear" w:color="auto" w:fill="auto"/>
            <w:noWrap/>
            <w:vAlign w:val="center"/>
            <w:hideMark/>
          </w:tcPr>
          <w:p w14:paraId="4D43FA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£17,967.33</w:t>
            </w:r>
          </w:p>
        </w:tc>
        <w:tc>
          <w:tcPr>
            <w:tcW w:w="1559" w:type="dxa"/>
            <w:tcBorders>
              <w:top w:val="nil"/>
              <w:left w:val="nil"/>
              <w:bottom w:val="single" w:sz="4" w:space="0" w:color="auto"/>
              <w:right w:val="single" w:sz="4" w:space="0" w:color="auto"/>
            </w:tcBorders>
            <w:shd w:val="clear" w:color="auto" w:fill="auto"/>
            <w:noWrap/>
            <w:vAlign w:val="center"/>
            <w:hideMark/>
          </w:tcPr>
          <w:p w14:paraId="43EBC8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£17,967.33</w:t>
            </w:r>
          </w:p>
        </w:tc>
        <w:tc>
          <w:tcPr>
            <w:tcW w:w="1418" w:type="dxa"/>
            <w:tcBorders>
              <w:top w:val="nil"/>
              <w:left w:val="nil"/>
              <w:bottom w:val="single" w:sz="4" w:space="0" w:color="auto"/>
              <w:right w:val="single" w:sz="4" w:space="0" w:color="auto"/>
            </w:tcBorders>
            <w:shd w:val="clear" w:color="auto" w:fill="auto"/>
            <w:noWrap/>
            <w:vAlign w:val="center"/>
            <w:hideMark/>
          </w:tcPr>
          <w:p w14:paraId="4772C0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£17,967.33</w:t>
            </w:r>
          </w:p>
        </w:tc>
        <w:tc>
          <w:tcPr>
            <w:tcW w:w="1559" w:type="dxa"/>
            <w:tcBorders>
              <w:top w:val="nil"/>
              <w:left w:val="nil"/>
              <w:bottom w:val="single" w:sz="4" w:space="0" w:color="auto"/>
              <w:right w:val="single" w:sz="4" w:space="0" w:color="auto"/>
            </w:tcBorders>
            <w:shd w:val="clear" w:color="auto" w:fill="auto"/>
            <w:noWrap/>
            <w:vAlign w:val="center"/>
            <w:hideMark/>
          </w:tcPr>
          <w:p w14:paraId="183C91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£17,967.33</w:t>
            </w:r>
          </w:p>
        </w:tc>
        <w:tc>
          <w:tcPr>
            <w:tcW w:w="1531" w:type="dxa"/>
            <w:tcBorders>
              <w:top w:val="nil"/>
              <w:left w:val="nil"/>
              <w:bottom w:val="single" w:sz="4" w:space="0" w:color="auto"/>
              <w:right w:val="single" w:sz="4" w:space="0" w:color="auto"/>
            </w:tcBorders>
            <w:shd w:val="clear" w:color="auto" w:fill="auto"/>
            <w:noWrap/>
            <w:vAlign w:val="center"/>
            <w:hideMark/>
          </w:tcPr>
          <w:p w14:paraId="66A78D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£71,869.32</w:t>
            </w:r>
          </w:p>
        </w:tc>
      </w:tr>
      <w:tr w:rsidR="004433D7" w:rsidRPr="004433D7" w14:paraId="5CE9E15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AA6E4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People's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3A5606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£6,181.69</w:t>
            </w:r>
          </w:p>
        </w:tc>
        <w:tc>
          <w:tcPr>
            <w:tcW w:w="1417" w:type="dxa"/>
            <w:tcBorders>
              <w:top w:val="nil"/>
              <w:left w:val="nil"/>
              <w:bottom w:val="single" w:sz="4" w:space="0" w:color="auto"/>
              <w:right w:val="single" w:sz="4" w:space="0" w:color="auto"/>
            </w:tcBorders>
            <w:shd w:val="clear" w:color="auto" w:fill="auto"/>
            <w:noWrap/>
            <w:vAlign w:val="center"/>
            <w:hideMark/>
          </w:tcPr>
          <w:p w14:paraId="113B42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£1,545.42</w:t>
            </w:r>
          </w:p>
        </w:tc>
        <w:tc>
          <w:tcPr>
            <w:tcW w:w="1559" w:type="dxa"/>
            <w:tcBorders>
              <w:top w:val="nil"/>
              <w:left w:val="nil"/>
              <w:bottom w:val="single" w:sz="4" w:space="0" w:color="auto"/>
              <w:right w:val="single" w:sz="4" w:space="0" w:color="auto"/>
            </w:tcBorders>
            <w:shd w:val="clear" w:color="auto" w:fill="auto"/>
            <w:noWrap/>
            <w:vAlign w:val="center"/>
            <w:hideMark/>
          </w:tcPr>
          <w:p w14:paraId="29706D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£1,545.42</w:t>
            </w:r>
          </w:p>
        </w:tc>
        <w:tc>
          <w:tcPr>
            <w:tcW w:w="1418" w:type="dxa"/>
            <w:tcBorders>
              <w:top w:val="nil"/>
              <w:left w:val="nil"/>
              <w:bottom w:val="single" w:sz="4" w:space="0" w:color="auto"/>
              <w:right w:val="single" w:sz="4" w:space="0" w:color="auto"/>
            </w:tcBorders>
            <w:shd w:val="clear" w:color="auto" w:fill="auto"/>
            <w:noWrap/>
            <w:vAlign w:val="center"/>
            <w:hideMark/>
          </w:tcPr>
          <w:p w14:paraId="59162A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£1,545.42</w:t>
            </w:r>
          </w:p>
        </w:tc>
        <w:tc>
          <w:tcPr>
            <w:tcW w:w="1559" w:type="dxa"/>
            <w:tcBorders>
              <w:top w:val="nil"/>
              <w:left w:val="nil"/>
              <w:bottom w:val="single" w:sz="4" w:space="0" w:color="auto"/>
              <w:right w:val="single" w:sz="4" w:space="0" w:color="auto"/>
            </w:tcBorders>
            <w:shd w:val="clear" w:color="auto" w:fill="auto"/>
            <w:noWrap/>
            <w:vAlign w:val="center"/>
            <w:hideMark/>
          </w:tcPr>
          <w:p w14:paraId="426C49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£1,545.42</w:t>
            </w:r>
          </w:p>
        </w:tc>
        <w:tc>
          <w:tcPr>
            <w:tcW w:w="1531" w:type="dxa"/>
            <w:tcBorders>
              <w:top w:val="nil"/>
              <w:left w:val="nil"/>
              <w:bottom w:val="single" w:sz="4" w:space="0" w:color="auto"/>
              <w:right w:val="single" w:sz="4" w:space="0" w:color="auto"/>
            </w:tcBorders>
            <w:shd w:val="clear" w:color="auto" w:fill="auto"/>
            <w:noWrap/>
            <w:vAlign w:val="center"/>
            <w:hideMark/>
          </w:tcPr>
          <w:p w14:paraId="4F3C71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£6,181.68</w:t>
            </w:r>
          </w:p>
        </w:tc>
      </w:tr>
      <w:tr w:rsidR="004433D7" w:rsidRPr="004433D7" w14:paraId="538C2D5E"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376923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418" w:type="dxa"/>
            <w:tcBorders>
              <w:top w:val="nil"/>
              <w:left w:val="nil"/>
              <w:bottom w:val="single" w:sz="4" w:space="0" w:color="auto"/>
              <w:right w:val="single" w:sz="4" w:space="0" w:color="auto"/>
            </w:tcBorders>
            <w:shd w:val="clear" w:color="auto" w:fill="auto"/>
            <w:noWrap/>
            <w:vAlign w:val="center"/>
            <w:hideMark/>
          </w:tcPr>
          <w:p w14:paraId="46D3DF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£7,602.92</w:t>
            </w:r>
          </w:p>
        </w:tc>
        <w:tc>
          <w:tcPr>
            <w:tcW w:w="1417" w:type="dxa"/>
            <w:tcBorders>
              <w:top w:val="nil"/>
              <w:left w:val="nil"/>
              <w:bottom w:val="single" w:sz="4" w:space="0" w:color="auto"/>
              <w:right w:val="single" w:sz="4" w:space="0" w:color="auto"/>
            </w:tcBorders>
            <w:shd w:val="clear" w:color="auto" w:fill="auto"/>
            <w:noWrap/>
            <w:vAlign w:val="center"/>
            <w:hideMark/>
          </w:tcPr>
          <w:p w14:paraId="493819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£1,900.73</w:t>
            </w:r>
          </w:p>
        </w:tc>
        <w:tc>
          <w:tcPr>
            <w:tcW w:w="1559" w:type="dxa"/>
            <w:tcBorders>
              <w:top w:val="nil"/>
              <w:left w:val="nil"/>
              <w:bottom w:val="single" w:sz="4" w:space="0" w:color="auto"/>
              <w:right w:val="single" w:sz="4" w:space="0" w:color="auto"/>
            </w:tcBorders>
            <w:shd w:val="clear" w:color="auto" w:fill="auto"/>
            <w:noWrap/>
            <w:vAlign w:val="center"/>
            <w:hideMark/>
          </w:tcPr>
          <w:p w14:paraId="0829E7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£1,900.73</w:t>
            </w:r>
          </w:p>
        </w:tc>
        <w:tc>
          <w:tcPr>
            <w:tcW w:w="1418" w:type="dxa"/>
            <w:tcBorders>
              <w:top w:val="nil"/>
              <w:left w:val="nil"/>
              <w:bottom w:val="single" w:sz="4" w:space="0" w:color="auto"/>
              <w:right w:val="single" w:sz="4" w:space="0" w:color="auto"/>
            </w:tcBorders>
            <w:shd w:val="clear" w:color="auto" w:fill="auto"/>
            <w:noWrap/>
            <w:vAlign w:val="center"/>
            <w:hideMark/>
          </w:tcPr>
          <w:p w14:paraId="4A9B51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£1,900.73</w:t>
            </w:r>
          </w:p>
        </w:tc>
        <w:tc>
          <w:tcPr>
            <w:tcW w:w="1559" w:type="dxa"/>
            <w:tcBorders>
              <w:top w:val="nil"/>
              <w:left w:val="nil"/>
              <w:bottom w:val="single" w:sz="4" w:space="0" w:color="auto"/>
              <w:right w:val="single" w:sz="4" w:space="0" w:color="auto"/>
            </w:tcBorders>
            <w:shd w:val="clear" w:color="auto" w:fill="auto"/>
            <w:noWrap/>
            <w:vAlign w:val="center"/>
            <w:hideMark/>
          </w:tcPr>
          <w:p w14:paraId="43988E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£1,900.73</w:t>
            </w:r>
          </w:p>
        </w:tc>
        <w:tc>
          <w:tcPr>
            <w:tcW w:w="1531" w:type="dxa"/>
            <w:tcBorders>
              <w:top w:val="nil"/>
              <w:left w:val="nil"/>
              <w:bottom w:val="single" w:sz="4" w:space="0" w:color="auto"/>
              <w:right w:val="single" w:sz="4" w:space="0" w:color="auto"/>
            </w:tcBorders>
            <w:shd w:val="clear" w:color="auto" w:fill="auto"/>
            <w:noWrap/>
            <w:vAlign w:val="center"/>
            <w:hideMark/>
          </w:tcPr>
          <w:p w14:paraId="4E98B6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£7,602.92</w:t>
            </w:r>
          </w:p>
        </w:tc>
      </w:tr>
      <w:tr w:rsidR="004433D7" w:rsidRPr="004433D7" w14:paraId="0F5D398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3B54E8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Power4All Limited</w:t>
            </w:r>
          </w:p>
        </w:tc>
        <w:tc>
          <w:tcPr>
            <w:tcW w:w="1418" w:type="dxa"/>
            <w:tcBorders>
              <w:top w:val="nil"/>
              <w:left w:val="nil"/>
              <w:bottom w:val="single" w:sz="4" w:space="0" w:color="auto"/>
              <w:right w:val="single" w:sz="4" w:space="0" w:color="auto"/>
            </w:tcBorders>
            <w:shd w:val="clear" w:color="auto" w:fill="auto"/>
            <w:noWrap/>
            <w:vAlign w:val="center"/>
            <w:hideMark/>
          </w:tcPr>
          <w:p w14:paraId="1D929A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£52,029.06</w:t>
            </w:r>
          </w:p>
        </w:tc>
        <w:tc>
          <w:tcPr>
            <w:tcW w:w="1417" w:type="dxa"/>
            <w:tcBorders>
              <w:top w:val="nil"/>
              <w:left w:val="nil"/>
              <w:bottom w:val="single" w:sz="4" w:space="0" w:color="auto"/>
              <w:right w:val="single" w:sz="4" w:space="0" w:color="auto"/>
            </w:tcBorders>
            <w:shd w:val="clear" w:color="auto" w:fill="auto"/>
            <w:noWrap/>
            <w:vAlign w:val="center"/>
            <w:hideMark/>
          </w:tcPr>
          <w:p w14:paraId="1C2B40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£13,007.26</w:t>
            </w:r>
          </w:p>
        </w:tc>
        <w:tc>
          <w:tcPr>
            <w:tcW w:w="1559" w:type="dxa"/>
            <w:tcBorders>
              <w:top w:val="nil"/>
              <w:left w:val="nil"/>
              <w:bottom w:val="single" w:sz="4" w:space="0" w:color="auto"/>
              <w:right w:val="single" w:sz="4" w:space="0" w:color="auto"/>
            </w:tcBorders>
            <w:shd w:val="clear" w:color="auto" w:fill="auto"/>
            <w:noWrap/>
            <w:vAlign w:val="center"/>
            <w:hideMark/>
          </w:tcPr>
          <w:p w14:paraId="42537F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£13,007.26</w:t>
            </w:r>
          </w:p>
        </w:tc>
        <w:tc>
          <w:tcPr>
            <w:tcW w:w="1418" w:type="dxa"/>
            <w:tcBorders>
              <w:top w:val="nil"/>
              <w:left w:val="nil"/>
              <w:bottom w:val="single" w:sz="4" w:space="0" w:color="auto"/>
              <w:right w:val="single" w:sz="4" w:space="0" w:color="auto"/>
            </w:tcBorders>
            <w:shd w:val="clear" w:color="auto" w:fill="auto"/>
            <w:noWrap/>
            <w:vAlign w:val="center"/>
            <w:hideMark/>
          </w:tcPr>
          <w:p w14:paraId="1850F1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£13,007.26</w:t>
            </w:r>
          </w:p>
        </w:tc>
        <w:tc>
          <w:tcPr>
            <w:tcW w:w="1559" w:type="dxa"/>
            <w:tcBorders>
              <w:top w:val="nil"/>
              <w:left w:val="nil"/>
              <w:bottom w:val="single" w:sz="4" w:space="0" w:color="auto"/>
              <w:right w:val="single" w:sz="4" w:space="0" w:color="auto"/>
            </w:tcBorders>
            <w:shd w:val="clear" w:color="auto" w:fill="auto"/>
            <w:noWrap/>
            <w:vAlign w:val="center"/>
            <w:hideMark/>
          </w:tcPr>
          <w:p w14:paraId="744FAA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£13,007.26</w:t>
            </w:r>
          </w:p>
        </w:tc>
        <w:tc>
          <w:tcPr>
            <w:tcW w:w="1531" w:type="dxa"/>
            <w:tcBorders>
              <w:top w:val="nil"/>
              <w:left w:val="nil"/>
              <w:bottom w:val="single" w:sz="4" w:space="0" w:color="auto"/>
              <w:right w:val="single" w:sz="4" w:space="0" w:color="auto"/>
            </w:tcBorders>
            <w:shd w:val="clear" w:color="auto" w:fill="auto"/>
            <w:noWrap/>
            <w:vAlign w:val="center"/>
            <w:hideMark/>
          </w:tcPr>
          <w:p w14:paraId="2F4544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£52,029.04</w:t>
            </w:r>
          </w:p>
        </w:tc>
      </w:tr>
      <w:tr w:rsidR="004433D7" w:rsidRPr="004433D7" w14:paraId="5BF0130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757074"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Pozitive</w:t>
            </w:r>
            <w:proofErr w:type="spellEnd"/>
            <w:r w:rsidRPr="004433D7">
              <w:rPr>
                <w:rFonts w:eastAsia="Times New Roman" w:cs="Times New Roman"/>
                <w:color w:val="000000"/>
                <w:sz w:val="16"/>
                <w:szCs w:val="16"/>
              </w:rPr>
              <w:t xml:space="preserve"> Energy Ltd</w:t>
            </w:r>
          </w:p>
        </w:tc>
        <w:tc>
          <w:tcPr>
            <w:tcW w:w="1418" w:type="dxa"/>
            <w:tcBorders>
              <w:top w:val="nil"/>
              <w:left w:val="nil"/>
              <w:bottom w:val="single" w:sz="4" w:space="0" w:color="auto"/>
              <w:right w:val="single" w:sz="4" w:space="0" w:color="auto"/>
            </w:tcBorders>
            <w:shd w:val="clear" w:color="auto" w:fill="auto"/>
            <w:noWrap/>
            <w:vAlign w:val="center"/>
            <w:hideMark/>
          </w:tcPr>
          <w:p w14:paraId="6267B5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£11,008.08</w:t>
            </w:r>
          </w:p>
        </w:tc>
        <w:tc>
          <w:tcPr>
            <w:tcW w:w="1417" w:type="dxa"/>
            <w:tcBorders>
              <w:top w:val="nil"/>
              <w:left w:val="nil"/>
              <w:bottom w:val="single" w:sz="4" w:space="0" w:color="auto"/>
              <w:right w:val="single" w:sz="4" w:space="0" w:color="auto"/>
            </w:tcBorders>
            <w:shd w:val="clear" w:color="auto" w:fill="auto"/>
            <w:noWrap/>
            <w:vAlign w:val="center"/>
            <w:hideMark/>
          </w:tcPr>
          <w:p w14:paraId="3FA26C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£2,752.02</w:t>
            </w:r>
          </w:p>
        </w:tc>
        <w:tc>
          <w:tcPr>
            <w:tcW w:w="1559" w:type="dxa"/>
            <w:tcBorders>
              <w:top w:val="nil"/>
              <w:left w:val="nil"/>
              <w:bottom w:val="single" w:sz="4" w:space="0" w:color="auto"/>
              <w:right w:val="single" w:sz="4" w:space="0" w:color="auto"/>
            </w:tcBorders>
            <w:shd w:val="clear" w:color="auto" w:fill="auto"/>
            <w:noWrap/>
            <w:vAlign w:val="center"/>
            <w:hideMark/>
          </w:tcPr>
          <w:p w14:paraId="55202F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£2,752.02</w:t>
            </w:r>
          </w:p>
        </w:tc>
        <w:tc>
          <w:tcPr>
            <w:tcW w:w="1418" w:type="dxa"/>
            <w:tcBorders>
              <w:top w:val="nil"/>
              <w:left w:val="nil"/>
              <w:bottom w:val="single" w:sz="4" w:space="0" w:color="auto"/>
              <w:right w:val="single" w:sz="4" w:space="0" w:color="auto"/>
            </w:tcBorders>
            <w:shd w:val="clear" w:color="auto" w:fill="auto"/>
            <w:noWrap/>
            <w:vAlign w:val="center"/>
            <w:hideMark/>
          </w:tcPr>
          <w:p w14:paraId="4ED53B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£2,752.02</w:t>
            </w:r>
          </w:p>
        </w:tc>
        <w:tc>
          <w:tcPr>
            <w:tcW w:w="1559" w:type="dxa"/>
            <w:tcBorders>
              <w:top w:val="nil"/>
              <w:left w:val="nil"/>
              <w:bottom w:val="single" w:sz="4" w:space="0" w:color="auto"/>
              <w:right w:val="single" w:sz="4" w:space="0" w:color="auto"/>
            </w:tcBorders>
            <w:shd w:val="clear" w:color="auto" w:fill="auto"/>
            <w:noWrap/>
            <w:vAlign w:val="center"/>
            <w:hideMark/>
          </w:tcPr>
          <w:p w14:paraId="6557D0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£2,752.02</w:t>
            </w:r>
          </w:p>
        </w:tc>
        <w:tc>
          <w:tcPr>
            <w:tcW w:w="1531" w:type="dxa"/>
            <w:tcBorders>
              <w:top w:val="nil"/>
              <w:left w:val="nil"/>
              <w:bottom w:val="single" w:sz="4" w:space="0" w:color="auto"/>
              <w:right w:val="single" w:sz="4" w:space="0" w:color="auto"/>
            </w:tcBorders>
            <w:shd w:val="clear" w:color="auto" w:fill="auto"/>
            <w:noWrap/>
            <w:vAlign w:val="center"/>
            <w:hideMark/>
          </w:tcPr>
          <w:p w14:paraId="74DCF6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£11,008.08</w:t>
            </w:r>
          </w:p>
        </w:tc>
      </w:tr>
      <w:tr w:rsidR="004433D7" w:rsidRPr="004433D7" w14:paraId="4C43031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415E43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418" w:type="dxa"/>
            <w:tcBorders>
              <w:top w:val="nil"/>
              <w:left w:val="nil"/>
              <w:bottom w:val="single" w:sz="4" w:space="0" w:color="auto"/>
              <w:right w:val="single" w:sz="4" w:space="0" w:color="auto"/>
            </w:tcBorders>
            <w:shd w:val="clear" w:color="auto" w:fill="auto"/>
            <w:noWrap/>
            <w:vAlign w:val="center"/>
            <w:hideMark/>
          </w:tcPr>
          <w:p w14:paraId="76E08C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£12,537.23</w:t>
            </w:r>
          </w:p>
        </w:tc>
        <w:tc>
          <w:tcPr>
            <w:tcW w:w="1417" w:type="dxa"/>
            <w:tcBorders>
              <w:top w:val="nil"/>
              <w:left w:val="nil"/>
              <w:bottom w:val="single" w:sz="4" w:space="0" w:color="auto"/>
              <w:right w:val="single" w:sz="4" w:space="0" w:color="auto"/>
            </w:tcBorders>
            <w:shd w:val="clear" w:color="auto" w:fill="auto"/>
            <w:noWrap/>
            <w:vAlign w:val="center"/>
            <w:hideMark/>
          </w:tcPr>
          <w:p w14:paraId="1F83ED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£3,134.31</w:t>
            </w:r>
          </w:p>
        </w:tc>
        <w:tc>
          <w:tcPr>
            <w:tcW w:w="1559" w:type="dxa"/>
            <w:tcBorders>
              <w:top w:val="nil"/>
              <w:left w:val="nil"/>
              <w:bottom w:val="single" w:sz="4" w:space="0" w:color="auto"/>
              <w:right w:val="single" w:sz="4" w:space="0" w:color="auto"/>
            </w:tcBorders>
            <w:shd w:val="clear" w:color="auto" w:fill="auto"/>
            <w:noWrap/>
            <w:vAlign w:val="center"/>
            <w:hideMark/>
          </w:tcPr>
          <w:p w14:paraId="232AD7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£3,134.31</w:t>
            </w:r>
          </w:p>
        </w:tc>
        <w:tc>
          <w:tcPr>
            <w:tcW w:w="1418" w:type="dxa"/>
            <w:tcBorders>
              <w:top w:val="nil"/>
              <w:left w:val="nil"/>
              <w:bottom w:val="single" w:sz="4" w:space="0" w:color="auto"/>
              <w:right w:val="single" w:sz="4" w:space="0" w:color="auto"/>
            </w:tcBorders>
            <w:shd w:val="clear" w:color="auto" w:fill="auto"/>
            <w:noWrap/>
            <w:vAlign w:val="center"/>
            <w:hideMark/>
          </w:tcPr>
          <w:p w14:paraId="3D9D35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£3,134.31</w:t>
            </w:r>
          </w:p>
        </w:tc>
        <w:tc>
          <w:tcPr>
            <w:tcW w:w="1559" w:type="dxa"/>
            <w:tcBorders>
              <w:top w:val="nil"/>
              <w:left w:val="nil"/>
              <w:bottom w:val="single" w:sz="4" w:space="0" w:color="auto"/>
              <w:right w:val="single" w:sz="4" w:space="0" w:color="auto"/>
            </w:tcBorders>
            <w:shd w:val="clear" w:color="auto" w:fill="auto"/>
            <w:noWrap/>
            <w:vAlign w:val="center"/>
            <w:hideMark/>
          </w:tcPr>
          <w:p w14:paraId="531125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£3,134.31</w:t>
            </w:r>
          </w:p>
        </w:tc>
        <w:tc>
          <w:tcPr>
            <w:tcW w:w="1531" w:type="dxa"/>
            <w:tcBorders>
              <w:top w:val="nil"/>
              <w:left w:val="nil"/>
              <w:bottom w:val="single" w:sz="4" w:space="0" w:color="auto"/>
              <w:right w:val="single" w:sz="4" w:space="0" w:color="auto"/>
            </w:tcBorders>
            <w:shd w:val="clear" w:color="auto" w:fill="auto"/>
            <w:noWrap/>
            <w:vAlign w:val="center"/>
            <w:hideMark/>
          </w:tcPr>
          <w:p w14:paraId="53E326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£12,537.24</w:t>
            </w:r>
          </w:p>
        </w:tc>
      </w:tr>
      <w:tr w:rsidR="004433D7" w:rsidRPr="004433D7" w14:paraId="63E0FCC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DB671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Robin Hood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190FE6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£6,061.41</w:t>
            </w:r>
          </w:p>
        </w:tc>
        <w:tc>
          <w:tcPr>
            <w:tcW w:w="1417" w:type="dxa"/>
            <w:tcBorders>
              <w:top w:val="nil"/>
              <w:left w:val="nil"/>
              <w:bottom w:val="single" w:sz="4" w:space="0" w:color="auto"/>
              <w:right w:val="single" w:sz="4" w:space="0" w:color="auto"/>
            </w:tcBorders>
            <w:shd w:val="clear" w:color="auto" w:fill="auto"/>
            <w:noWrap/>
            <w:vAlign w:val="center"/>
            <w:hideMark/>
          </w:tcPr>
          <w:p w14:paraId="11FF3F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£1,515.35</w:t>
            </w:r>
          </w:p>
        </w:tc>
        <w:tc>
          <w:tcPr>
            <w:tcW w:w="1559" w:type="dxa"/>
            <w:tcBorders>
              <w:top w:val="nil"/>
              <w:left w:val="nil"/>
              <w:bottom w:val="single" w:sz="4" w:space="0" w:color="auto"/>
              <w:right w:val="single" w:sz="4" w:space="0" w:color="auto"/>
            </w:tcBorders>
            <w:shd w:val="clear" w:color="auto" w:fill="auto"/>
            <w:noWrap/>
            <w:vAlign w:val="center"/>
            <w:hideMark/>
          </w:tcPr>
          <w:p w14:paraId="08410A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24ED3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51724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3E92F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£1,515.35</w:t>
            </w:r>
          </w:p>
        </w:tc>
      </w:tr>
      <w:tr w:rsidR="004433D7" w:rsidRPr="004433D7" w14:paraId="44804A8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4D478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418" w:type="dxa"/>
            <w:tcBorders>
              <w:top w:val="nil"/>
              <w:left w:val="nil"/>
              <w:bottom w:val="single" w:sz="4" w:space="0" w:color="auto"/>
              <w:right w:val="single" w:sz="4" w:space="0" w:color="auto"/>
            </w:tcBorders>
            <w:shd w:val="clear" w:color="auto" w:fill="auto"/>
            <w:noWrap/>
            <w:vAlign w:val="center"/>
            <w:hideMark/>
          </w:tcPr>
          <w:p w14:paraId="34BE41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£1,408,190.55</w:t>
            </w:r>
          </w:p>
        </w:tc>
        <w:tc>
          <w:tcPr>
            <w:tcW w:w="1417" w:type="dxa"/>
            <w:tcBorders>
              <w:top w:val="nil"/>
              <w:left w:val="nil"/>
              <w:bottom w:val="single" w:sz="4" w:space="0" w:color="auto"/>
              <w:right w:val="single" w:sz="4" w:space="0" w:color="auto"/>
            </w:tcBorders>
            <w:shd w:val="clear" w:color="auto" w:fill="auto"/>
            <w:noWrap/>
            <w:vAlign w:val="center"/>
            <w:hideMark/>
          </w:tcPr>
          <w:p w14:paraId="01DB8A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£352,047.64</w:t>
            </w:r>
          </w:p>
        </w:tc>
        <w:tc>
          <w:tcPr>
            <w:tcW w:w="1559" w:type="dxa"/>
            <w:tcBorders>
              <w:top w:val="nil"/>
              <w:left w:val="nil"/>
              <w:bottom w:val="single" w:sz="4" w:space="0" w:color="auto"/>
              <w:right w:val="single" w:sz="4" w:space="0" w:color="auto"/>
            </w:tcBorders>
            <w:shd w:val="clear" w:color="auto" w:fill="auto"/>
            <w:noWrap/>
            <w:vAlign w:val="center"/>
            <w:hideMark/>
          </w:tcPr>
          <w:p w14:paraId="5E62E9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£352,047.64</w:t>
            </w:r>
          </w:p>
        </w:tc>
        <w:tc>
          <w:tcPr>
            <w:tcW w:w="1418" w:type="dxa"/>
            <w:tcBorders>
              <w:top w:val="nil"/>
              <w:left w:val="nil"/>
              <w:bottom w:val="single" w:sz="4" w:space="0" w:color="auto"/>
              <w:right w:val="single" w:sz="4" w:space="0" w:color="auto"/>
            </w:tcBorders>
            <w:shd w:val="clear" w:color="auto" w:fill="auto"/>
            <w:noWrap/>
            <w:vAlign w:val="center"/>
            <w:hideMark/>
          </w:tcPr>
          <w:p w14:paraId="139872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£352,047.64</w:t>
            </w:r>
          </w:p>
        </w:tc>
        <w:tc>
          <w:tcPr>
            <w:tcW w:w="1559" w:type="dxa"/>
            <w:tcBorders>
              <w:top w:val="nil"/>
              <w:left w:val="nil"/>
              <w:bottom w:val="single" w:sz="4" w:space="0" w:color="auto"/>
              <w:right w:val="single" w:sz="4" w:space="0" w:color="auto"/>
            </w:tcBorders>
            <w:shd w:val="clear" w:color="auto" w:fill="auto"/>
            <w:noWrap/>
            <w:vAlign w:val="center"/>
            <w:hideMark/>
          </w:tcPr>
          <w:p w14:paraId="5A71C6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£352,047.64</w:t>
            </w:r>
          </w:p>
        </w:tc>
        <w:tc>
          <w:tcPr>
            <w:tcW w:w="1531" w:type="dxa"/>
            <w:tcBorders>
              <w:top w:val="nil"/>
              <w:left w:val="nil"/>
              <w:bottom w:val="single" w:sz="4" w:space="0" w:color="auto"/>
              <w:right w:val="single" w:sz="4" w:space="0" w:color="auto"/>
            </w:tcBorders>
            <w:shd w:val="clear" w:color="auto" w:fill="auto"/>
            <w:noWrap/>
            <w:vAlign w:val="center"/>
            <w:hideMark/>
          </w:tcPr>
          <w:p w14:paraId="59E86B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£1,408,190.56</w:t>
            </w:r>
          </w:p>
        </w:tc>
      </w:tr>
      <w:tr w:rsidR="004433D7" w:rsidRPr="004433D7" w14:paraId="7040B37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B8973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Retail Limited</w:t>
            </w:r>
          </w:p>
        </w:tc>
        <w:tc>
          <w:tcPr>
            <w:tcW w:w="1418" w:type="dxa"/>
            <w:tcBorders>
              <w:top w:val="nil"/>
              <w:left w:val="nil"/>
              <w:bottom w:val="single" w:sz="4" w:space="0" w:color="auto"/>
              <w:right w:val="single" w:sz="4" w:space="0" w:color="auto"/>
            </w:tcBorders>
            <w:shd w:val="clear" w:color="auto" w:fill="auto"/>
            <w:noWrap/>
            <w:vAlign w:val="center"/>
            <w:hideMark/>
          </w:tcPr>
          <w:p w14:paraId="2C8E79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£51,284.26</w:t>
            </w:r>
          </w:p>
        </w:tc>
        <w:tc>
          <w:tcPr>
            <w:tcW w:w="1417" w:type="dxa"/>
            <w:tcBorders>
              <w:top w:val="nil"/>
              <w:left w:val="nil"/>
              <w:bottom w:val="single" w:sz="4" w:space="0" w:color="auto"/>
              <w:right w:val="single" w:sz="4" w:space="0" w:color="auto"/>
            </w:tcBorders>
            <w:shd w:val="clear" w:color="auto" w:fill="auto"/>
            <w:noWrap/>
            <w:vAlign w:val="center"/>
            <w:hideMark/>
          </w:tcPr>
          <w:p w14:paraId="70C56C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£12,821.06</w:t>
            </w:r>
          </w:p>
        </w:tc>
        <w:tc>
          <w:tcPr>
            <w:tcW w:w="1559" w:type="dxa"/>
            <w:tcBorders>
              <w:top w:val="nil"/>
              <w:left w:val="nil"/>
              <w:bottom w:val="single" w:sz="4" w:space="0" w:color="auto"/>
              <w:right w:val="single" w:sz="4" w:space="0" w:color="auto"/>
            </w:tcBorders>
            <w:shd w:val="clear" w:color="auto" w:fill="auto"/>
            <w:noWrap/>
            <w:vAlign w:val="center"/>
            <w:hideMark/>
          </w:tcPr>
          <w:p w14:paraId="60DA0F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£12,821.06</w:t>
            </w:r>
          </w:p>
        </w:tc>
        <w:tc>
          <w:tcPr>
            <w:tcW w:w="1418" w:type="dxa"/>
            <w:tcBorders>
              <w:top w:val="nil"/>
              <w:left w:val="nil"/>
              <w:bottom w:val="single" w:sz="4" w:space="0" w:color="auto"/>
              <w:right w:val="single" w:sz="4" w:space="0" w:color="auto"/>
            </w:tcBorders>
            <w:shd w:val="clear" w:color="auto" w:fill="auto"/>
            <w:noWrap/>
            <w:vAlign w:val="center"/>
            <w:hideMark/>
          </w:tcPr>
          <w:p w14:paraId="28A224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£12,821.06</w:t>
            </w:r>
          </w:p>
        </w:tc>
        <w:tc>
          <w:tcPr>
            <w:tcW w:w="1559" w:type="dxa"/>
            <w:tcBorders>
              <w:top w:val="nil"/>
              <w:left w:val="nil"/>
              <w:bottom w:val="single" w:sz="4" w:space="0" w:color="auto"/>
              <w:right w:val="single" w:sz="4" w:space="0" w:color="auto"/>
            </w:tcBorders>
            <w:shd w:val="clear" w:color="auto" w:fill="auto"/>
            <w:noWrap/>
            <w:vAlign w:val="center"/>
            <w:hideMark/>
          </w:tcPr>
          <w:p w14:paraId="6F6CC8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£12,821.06</w:t>
            </w:r>
          </w:p>
        </w:tc>
        <w:tc>
          <w:tcPr>
            <w:tcW w:w="1531" w:type="dxa"/>
            <w:tcBorders>
              <w:top w:val="nil"/>
              <w:left w:val="nil"/>
              <w:bottom w:val="single" w:sz="4" w:space="0" w:color="auto"/>
              <w:right w:val="single" w:sz="4" w:space="0" w:color="auto"/>
            </w:tcBorders>
            <w:shd w:val="clear" w:color="auto" w:fill="auto"/>
            <w:noWrap/>
            <w:vAlign w:val="center"/>
            <w:hideMark/>
          </w:tcPr>
          <w:p w14:paraId="3B420E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£51,284.24</w:t>
            </w:r>
          </w:p>
        </w:tc>
      </w:tr>
      <w:tr w:rsidR="004433D7" w:rsidRPr="004433D7" w14:paraId="387D6D3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318FC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Shell Energy Supply UK Ltd. </w:t>
            </w:r>
          </w:p>
        </w:tc>
        <w:tc>
          <w:tcPr>
            <w:tcW w:w="1418" w:type="dxa"/>
            <w:tcBorders>
              <w:top w:val="nil"/>
              <w:left w:val="nil"/>
              <w:bottom w:val="single" w:sz="4" w:space="0" w:color="auto"/>
              <w:right w:val="single" w:sz="4" w:space="0" w:color="auto"/>
            </w:tcBorders>
            <w:shd w:val="clear" w:color="auto" w:fill="auto"/>
            <w:noWrap/>
            <w:vAlign w:val="center"/>
            <w:hideMark/>
          </w:tcPr>
          <w:p w14:paraId="7165C4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£75,178.90</w:t>
            </w:r>
          </w:p>
        </w:tc>
        <w:tc>
          <w:tcPr>
            <w:tcW w:w="1417" w:type="dxa"/>
            <w:tcBorders>
              <w:top w:val="nil"/>
              <w:left w:val="nil"/>
              <w:bottom w:val="single" w:sz="4" w:space="0" w:color="auto"/>
              <w:right w:val="single" w:sz="4" w:space="0" w:color="auto"/>
            </w:tcBorders>
            <w:shd w:val="clear" w:color="auto" w:fill="auto"/>
            <w:noWrap/>
            <w:vAlign w:val="center"/>
            <w:hideMark/>
          </w:tcPr>
          <w:p w14:paraId="68286C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£18,794.72</w:t>
            </w:r>
          </w:p>
        </w:tc>
        <w:tc>
          <w:tcPr>
            <w:tcW w:w="1559" w:type="dxa"/>
            <w:tcBorders>
              <w:top w:val="nil"/>
              <w:left w:val="nil"/>
              <w:bottom w:val="single" w:sz="4" w:space="0" w:color="auto"/>
              <w:right w:val="single" w:sz="4" w:space="0" w:color="auto"/>
            </w:tcBorders>
            <w:shd w:val="clear" w:color="auto" w:fill="auto"/>
            <w:noWrap/>
            <w:vAlign w:val="center"/>
            <w:hideMark/>
          </w:tcPr>
          <w:p w14:paraId="71E8A2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£18,794.72</w:t>
            </w:r>
          </w:p>
        </w:tc>
        <w:tc>
          <w:tcPr>
            <w:tcW w:w="1418" w:type="dxa"/>
            <w:tcBorders>
              <w:top w:val="nil"/>
              <w:left w:val="nil"/>
              <w:bottom w:val="single" w:sz="4" w:space="0" w:color="auto"/>
              <w:right w:val="single" w:sz="4" w:space="0" w:color="auto"/>
            </w:tcBorders>
            <w:shd w:val="clear" w:color="auto" w:fill="auto"/>
            <w:noWrap/>
            <w:vAlign w:val="center"/>
            <w:hideMark/>
          </w:tcPr>
          <w:p w14:paraId="04A695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£18,794.72</w:t>
            </w:r>
          </w:p>
        </w:tc>
        <w:tc>
          <w:tcPr>
            <w:tcW w:w="1559" w:type="dxa"/>
            <w:tcBorders>
              <w:top w:val="nil"/>
              <w:left w:val="nil"/>
              <w:bottom w:val="single" w:sz="4" w:space="0" w:color="auto"/>
              <w:right w:val="single" w:sz="4" w:space="0" w:color="auto"/>
            </w:tcBorders>
            <w:shd w:val="clear" w:color="auto" w:fill="auto"/>
            <w:noWrap/>
            <w:vAlign w:val="center"/>
            <w:hideMark/>
          </w:tcPr>
          <w:p w14:paraId="05C5E8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£18,794.72</w:t>
            </w:r>
          </w:p>
        </w:tc>
        <w:tc>
          <w:tcPr>
            <w:tcW w:w="1531" w:type="dxa"/>
            <w:tcBorders>
              <w:top w:val="nil"/>
              <w:left w:val="nil"/>
              <w:bottom w:val="single" w:sz="4" w:space="0" w:color="auto"/>
              <w:right w:val="single" w:sz="4" w:space="0" w:color="auto"/>
            </w:tcBorders>
            <w:shd w:val="clear" w:color="auto" w:fill="auto"/>
            <w:noWrap/>
            <w:vAlign w:val="center"/>
            <w:hideMark/>
          </w:tcPr>
          <w:p w14:paraId="147DC8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£75,178.88</w:t>
            </w:r>
          </w:p>
        </w:tc>
      </w:tr>
      <w:tr w:rsidR="004433D7" w:rsidRPr="004433D7" w14:paraId="749D35E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ED4668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Simply Your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756DE0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£6.59</w:t>
            </w:r>
          </w:p>
        </w:tc>
        <w:tc>
          <w:tcPr>
            <w:tcW w:w="1417" w:type="dxa"/>
            <w:tcBorders>
              <w:top w:val="nil"/>
              <w:left w:val="nil"/>
              <w:bottom w:val="single" w:sz="4" w:space="0" w:color="auto"/>
              <w:right w:val="single" w:sz="4" w:space="0" w:color="auto"/>
            </w:tcBorders>
            <w:shd w:val="clear" w:color="auto" w:fill="auto"/>
            <w:noWrap/>
            <w:vAlign w:val="center"/>
            <w:hideMark/>
          </w:tcPr>
          <w:p w14:paraId="13447C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w:t>
            </w:r>
          </w:p>
        </w:tc>
        <w:tc>
          <w:tcPr>
            <w:tcW w:w="1559" w:type="dxa"/>
            <w:tcBorders>
              <w:top w:val="nil"/>
              <w:left w:val="nil"/>
              <w:bottom w:val="single" w:sz="4" w:space="0" w:color="auto"/>
              <w:right w:val="single" w:sz="4" w:space="0" w:color="auto"/>
            </w:tcBorders>
            <w:shd w:val="clear" w:color="auto" w:fill="auto"/>
            <w:noWrap/>
            <w:vAlign w:val="center"/>
            <w:hideMark/>
          </w:tcPr>
          <w:p w14:paraId="456D7B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142A05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B297B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w:t>
            </w:r>
          </w:p>
        </w:tc>
        <w:tc>
          <w:tcPr>
            <w:tcW w:w="1531" w:type="dxa"/>
            <w:tcBorders>
              <w:top w:val="nil"/>
              <w:left w:val="nil"/>
              <w:bottom w:val="single" w:sz="4" w:space="0" w:color="auto"/>
              <w:right w:val="single" w:sz="4" w:space="0" w:color="auto"/>
            </w:tcBorders>
            <w:shd w:val="clear" w:color="auto" w:fill="auto"/>
            <w:noWrap/>
            <w:vAlign w:val="center"/>
            <w:hideMark/>
          </w:tcPr>
          <w:p w14:paraId="716CC3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£6.60</w:t>
            </w:r>
          </w:p>
        </w:tc>
      </w:tr>
      <w:tr w:rsidR="004433D7" w:rsidRPr="004433D7" w14:paraId="72443FC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297A1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Sinq</w:t>
            </w:r>
            <w:proofErr w:type="spellEnd"/>
            <w:r w:rsidRPr="004433D7">
              <w:rPr>
                <w:rFonts w:eastAsia="Times New Roman" w:cs="Times New Roman"/>
                <w:color w:val="000000"/>
                <w:sz w:val="16"/>
                <w:szCs w:val="16"/>
              </w:rPr>
              <w:t xml:space="preserve">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283EA8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£21,636.34</w:t>
            </w:r>
          </w:p>
        </w:tc>
        <w:tc>
          <w:tcPr>
            <w:tcW w:w="1417" w:type="dxa"/>
            <w:tcBorders>
              <w:top w:val="nil"/>
              <w:left w:val="nil"/>
              <w:bottom w:val="single" w:sz="4" w:space="0" w:color="auto"/>
              <w:right w:val="single" w:sz="4" w:space="0" w:color="auto"/>
            </w:tcBorders>
            <w:shd w:val="clear" w:color="auto" w:fill="auto"/>
            <w:noWrap/>
            <w:vAlign w:val="center"/>
            <w:hideMark/>
          </w:tcPr>
          <w:p w14:paraId="06CCEA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£5,409.09</w:t>
            </w:r>
          </w:p>
        </w:tc>
        <w:tc>
          <w:tcPr>
            <w:tcW w:w="1559" w:type="dxa"/>
            <w:tcBorders>
              <w:top w:val="nil"/>
              <w:left w:val="nil"/>
              <w:bottom w:val="single" w:sz="4" w:space="0" w:color="auto"/>
              <w:right w:val="single" w:sz="4" w:space="0" w:color="auto"/>
            </w:tcBorders>
            <w:shd w:val="clear" w:color="auto" w:fill="auto"/>
            <w:noWrap/>
            <w:vAlign w:val="center"/>
            <w:hideMark/>
          </w:tcPr>
          <w:p w14:paraId="7E4BE7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£5,409.09</w:t>
            </w:r>
          </w:p>
        </w:tc>
        <w:tc>
          <w:tcPr>
            <w:tcW w:w="1418" w:type="dxa"/>
            <w:tcBorders>
              <w:top w:val="nil"/>
              <w:left w:val="nil"/>
              <w:bottom w:val="single" w:sz="4" w:space="0" w:color="auto"/>
              <w:right w:val="single" w:sz="4" w:space="0" w:color="auto"/>
            </w:tcBorders>
            <w:shd w:val="clear" w:color="auto" w:fill="auto"/>
            <w:noWrap/>
            <w:vAlign w:val="center"/>
            <w:hideMark/>
          </w:tcPr>
          <w:p w14:paraId="410732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£5,409.09</w:t>
            </w:r>
          </w:p>
        </w:tc>
        <w:tc>
          <w:tcPr>
            <w:tcW w:w="1559" w:type="dxa"/>
            <w:tcBorders>
              <w:top w:val="nil"/>
              <w:left w:val="nil"/>
              <w:bottom w:val="single" w:sz="4" w:space="0" w:color="auto"/>
              <w:right w:val="single" w:sz="4" w:space="0" w:color="auto"/>
            </w:tcBorders>
            <w:shd w:val="clear" w:color="auto" w:fill="auto"/>
            <w:noWrap/>
            <w:vAlign w:val="center"/>
            <w:hideMark/>
          </w:tcPr>
          <w:p w14:paraId="4C34D2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£5,409.09</w:t>
            </w:r>
          </w:p>
        </w:tc>
        <w:tc>
          <w:tcPr>
            <w:tcW w:w="1531" w:type="dxa"/>
            <w:tcBorders>
              <w:top w:val="nil"/>
              <w:left w:val="nil"/>
              <w:bottom w:val="single" w:sz="4" w:space="0" w:color="auto"/>
              <w:right w:val="single" w:sz="4" w:space="0" w:color="auto"/>
            </w:tcBorders>
            <w:shd w:val="clear" w:color="auto" w:fill="auto"/>
            <w:noWrap/>
            <w:vAlign w:val="center"/>
            <w:hideMark/>
          </w:tcPr>
          <w:p w14:paraId="217074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£21,636.36</w:t>
            </w:r>
          </w:p>
        </w:tc>
      </w:tr>
      <w:tr w:rsidR="004433D7" w:rsidRPr="004433D7" w14:paraId="6318DD50"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4EE45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418" w:type="dxa"/>
            <w:tcBorders>
              <w:top w:val="nil"/>
              <w:left w:val="nil"/>
              <w:bottom w:val="single" w:sz="4" w:space="0" w:color="auto"/>
              <w:right w:val="single" w:sz="4" w:space="0" w:color="auto"/>
            </w:tcBorders>
            <w:shd w:val="clear" w:color="auto" w:fill="auto"/>
            <w:noWrap/>
            <w:vAlign w:val="center"/>
            <w:hideMark/>
          </w:tcPr>
          <w:p w14:paraId="509BE3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£111,207.89</w:t>
            </w:r>
          </w:p>
        </w:tc>
        <w:tc>
          <w:tcPr>
            <w:tcW w:w="1417" w:type="dxa"/>
            <w:tcBorders>
              <w:top w:val="nil"/>
              <w:left w:val="nil"/>
              <w:bottom w:val="single" w:sz="4" w:space="0" w:color="auto"/>
              <w:right w:val="single" w:sz="4" w:space="0" w:color="auto"/>
            </w:tcBorders>
            <w:shd w:val="clear" w:color="auto" w:fill="auto"/>
            <w:noWrap/>
            <w:vAlign w:val="center"/>
            <w:hideMark/>
          </w:tcPr>
          <w:p w14:paraId="077D5B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£27,801.97</w:t>
            </w:r>
          </w:p>
        </w:tc>
        <w:tc>
          <w:tcPr>
            <w:tcW w:w="1559" w:type="dxa"/>
            <w:tcBorders>
              <w:top w:val="nil"/>
              <w:left w:val="nil"/>
              <w:bottom w:val="single" w:sz="4" w:space="0" w:color="auto"/>
              <w:right w:val="single" w:sz="4" w:space="0" w:color="auto"/>
            </w:tcBorders>
            <w:shd w:val="clear" w:color="auto" w:fill="auto"/>
            <w:noWrap/>
            <w:vAlign w:val="center"/>
            <w:hideMark/>
          </w:tcPr>
          <w:p w14:paraId="6F3599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£27,801.97</w:t>
            </w:r>
          </w:p>
        </w:tc>
        <w:tc>
          <w:tcPr>
            <w:tcW w:w="1418" w:type="dxa"/>
            <w:tcBorders>
              <w:top w:val="nil"/>
              <w:left w:val="nil"/>
              <w:bottom w:val="single" w:sz="4" w:space="0" w:color="auto"/>
              <w:right w:val="single" w:sz="4" w:space="0" w:color="auto"/>
            </w:tcBorders>
            <w:shd w:val="clear" w:color="auto" w:fill="auto"/>
            <w:noWrap/>
            <w:vAlign w:val="center"/>
            <w:hideMark/>
          </w:tcPr>
          <w:p w14:paraId="76418D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£27,801.97</w:t>
            </w:r>
          </w:p>
        </w:tc>
        <w:tc>
          <w:tcPr>
            <w:tcW w:w="1559" w:type="dxa"/>
            <w:tcBorders>
              <w:top w:val="nil"/>
              <w:left w:val="nil"/>
              <w:bottom w:val="single" w:sz="4" w:space="0" w:color="auto"/>
              <w:right w:val="single" w:sz="4" w:space="0" w:color="auto"/>
            </w:tcBorders>
            <w:shd w:val="clear" w:color="auto" w:fill="auto"/>
            <w:noWrap/>
            <w:vAlign w:val="center"/>
            <w:hideMark/>
          </w:tcPr>
          <w:p w14:paraId="4BDECF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£27,801.97</w:t>
            </w:r>
          </w:p>
        </w:tc>
        <w:tc>
          <w:tcPr>
            <w:tcW w:w="1531" w:type="dxa"/>
            <w:tcBorders>
              <w:top w:val="nil"/>
              <w:left w:val="nil"/>
              <w:bottom w:val="single" w:sz="4" w:space="0" w:color="auto"/>
              <w:right w:val="single" w:sz="4" w:space="0" w:color="auto"/>
            </w:tcBorders>
            <w:shd w:val="clear" w:color="auto" w:fill="auto"/>
            <w:noWrap/>
            <w:vAlign w:val="center"/>
            <w:hideMark/>
          </w:tcPr>
          <w:p w14:paraId="3DD302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£111,207.88</w:t>
            </w:r>
          </w:p>
        </w:tc>
      </w:tr>
      <w:tr w:rsidR="004433D7" w:rsidRPr="004433D7" w14:paraId="046E10AB"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BEF257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 Energy Trading Limited</w:t>
            </w:r>
          </w:p>
        </w:tc>
        <w:tc>
          <w:tcPr>
            <w:tcW w:w="1418" w:type="dxa"/>
            <w:tcBorders>
              <w:top w:val="nil"/>
              <w:left w:val="nil"/>
              <w:bottom w:val="single" w:sz="4" w:space="0" w:color="auto"/>
              <w:right w:val="single" w:sz="4" w:space="0" w:color="auto"/>
            </w:tcBorders>
            <w:shd w:val="clear" w:color="auto" w:fill="auto"/>
            <w:noWrap/>
            <w:vAlign w:val="center"/>
            <w:hideMark/>
          </w:tcPr>
          <w:p w14:paraId="307C69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£8,498.49</w:t>
            </w:r>
          </w:p>
        </w:tc>
        <w:tc>
          <w:tcPr>
            <w:tcW w:w="1417" w:type="dxa"/>
            <w:tcBorders>
              <w:top w:val="nil"/>
              <w:left w:val="nil"/>
              <w:bottom w:val="single" w:sz="4" w:space="0" w:color="auto"/>
              <w:right w:val="single" w:sz="4" w:space="0" w:color="auto"/>
            </w:tcBorders>
            <w:shd w:val="clear" w:color="auto" w:fill="auto"/>
            <w:noWrap/>
            <w:vAlign w:val="center"/>
            <w:hideMark/>
          </w:tcPr>
          <w:p w14:paraId="2FD5C0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£2,124.62</w:t>
            </w:r>
          </w:p>
        </w:tc>
        <w:tc>
          <w:tcPr>
            <w:tcW w:w="1559" w:type="dxa"/>
            <w:tcBorders>
              <w:top w:val="nil"/>
              <w:left w:val="nil"/>
              <w:bottom w:val="single" w:sz="4" w:space="0" w:color="auto"/>
              <w:right w:val="single" w:sz="4" w:space="0" w:color="auto"/>
            </w:tcBorders>
            <w:shd w:val="clear" w:color="auto" w:fill="auto"/>
            <w:noWrap/>
            <w:vAlign w:val="center"/>
            <w:hideMark/>
          </w:tcPr>
          <w:p w14:paraId="363982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£2,124.62</w:t>
            </w:r>
          </w:p>
        </w:tc>
        <w:tc>
          <w:tcPr>
            <w:tcW w:w="1418" w:type="dxa"/>
            <w:tcBorders>
              <w:top w:val="nil"/>
              <w:left w:val="nil"/>
              <w:bottom w:val="single" w:sz="4" w:space="0" w:color="auto"/>
              <w:right w:val="single" w:sz="4" w:space="0" w:color="auto"/>
            </w:tcBorders>
            <w:shd w:val="clear" w:color="auto" w:fill="auto"/>
            <w:noWrap/>
            <w:vAlign w:val="center"/>
            <w:hideMark/>
          </w:tcPr>
          <w:p w14:paraId="57418C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£2,124.62</w:t>
            </w:r>
          </w:p>
        </w:tc>
        <w:tc>
          <w:tcPr>
            <w:tcW w:w="1559" w:type="dxa"/>
            <w:tcBorders>
              <w:top w:val="nil"/>
              <w:left w:val="nil"/>
              <w:bottom w:val="single" w:sz="4" w:space="0" w:color="auto"/>
              <w:right w:val="single" w:sz="4" w:space="0" w:color="auto"/>
            </w:tcBorders>
            <w:shd w:val="clear" w:color="auto" w:fill="auto"/>
            <w:noWrap/>
            <w:vAlign w:val="center"/>
            <w:hideMark/>
          </w:tcPr>
          <w:p w14:paraId="08BB78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£2,124.62</w:t>
            </w:r>
          </w:p>
        </w:tc>
        <w:tc>
          <w:tcPr>
            <w:tcW w:w="1531" w:type="dxa"/>
            <w:tcBorders>
              <w:top w:val="nil"/>
              <w:left w:val="nil"/>
              <w:bottom w:val="single" w:sz="4" w:space="0" w:color="auto"/>
              <w:right w:val="single" w:sz="4" w:space="0" w:color="auto"/>
            </w:tcBorders>
            <w:shd w:val="clear" w:color="auto" w:fill="auto"/>
            <w:noWrap/>
            <w:vAlign w:val="center"/>
            <w:hideMark/>
          </w:tcPr>
          <w:p w14:paraId="1B1B61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£8,498.48</w:t>
            </w:r>
          </w:p>
        </w:tc>
      </w:tr>
      <w:tr w:rsidR="004433D7" w:rsidRPr="004433D7" w14:paraId="771EB3A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8229B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55882B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£3,041.83</w:t>
            </w:r>
          </w:p>
        </w:tc>
        <w:tc>
          <w:tcPr>
            <w:tcW w:w="1417" w:type="dxa"/>
            <w:tcBorders>
              <w:top w:val="nil"/>
              <w:left w:val="nil"/>
              <w:bottom w:val="single" w:sz="4" w:space="0" w:color="auto"/>
              <w:right w:val="single" w:sz="4" w:space="0" w:color="auto"/>
            </w:tcBorders>
            <w:shd w:val="clear" w:color="auto" w:fill="auto"/>
            <w:noWrap/>
            <w:vAlign w:val="center"/>
            <w:hideMark/>
          </w:tcPr>
          <w:p w14:paraId="63FF60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£760.46</w:t>
            </w:r>
          </w:p>
        </w:tc>
        <w:tc>
          <w:tcPr>
            <w:tcW w:w="1559" w:type="dxa"/>
            <w:tcBorders>
              <w:top w:val="nil"/>
              <w:left w:val="nil"/>
              <w:bottom w:val="single" w:sz="4" w:space="0" w:color="auto"/>
              <w:right w:val="single" w:sz="4" w:space="0" w:color="auto"/>
            </w:tcBorders>
            <w:shd w:val="clear" w:color="auto" w:fill="auto"/>
            <w:noWrap/>
            <w:vAlign w:val="center"/>
            <w:hideMark/>
          </w:tcPr>
          <w:p w14:paraId="571426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£760.46</w:t>
            </w:r>
          </w:p>
        </w:tc>
        <w:tc>
          <w:tcPr>
            <w:tcW w:w="1418" w:type="dxa"/>
            <w:tcBorders>
              <w:top w:val="nil"/>
              <w:left w:val="nil"/>
              <w:bottom w:val="single" w:sz="4" w:space="0" w:color="auto"/>
              <w:right w:val="single" w:sz="4" w:space="0" w:color="auto"/>
            </w:tcBorders>
            <w:shd w:val="clear" w:color="auto" w:fill="auto"/>
            <w:noWrap/>
            <w:vAlign w:val="center"/>
            <w:hideMark/>
          </w:tcPr>
          <w:p w14:paraId="3B0AE9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£760.46</w:t>
            </w:r>
          </w:p>
        </w:tc>
        <w:tc>
          <w:tcPr>
            <w:tcW w:w="1559" w:type="dxa"/>
            <w:tcBorders>
              <w:top w:val="nil"/>
              <w:left w:val="nil"/>
              <w:bottom w:val="single" w:sz="4" w:space="0" w:color="auto"/>
              <w:right w:val="single" w:sz="4" w:space="0" w:color="auto"/>
            </w:tcBorders>
            <w:shd w:val="clear" w:color="auto" w:fill="auto"/>
            <w:noWrap/>
            <w:vAlign w:val="center"/>
            <w:hideMark/>
          </w:tcPr>
          <w:p w14:paraId="2CBAB3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£760.46</w:t>
            </w:r>
          </w:p>
        </w:tc>
        <w:tc>
          <w:tcPr>
            <w:tcW w:w="1531" w:type="dxa"/>
            <w:tcBorders>
              <w:top w:val="nil"/>
              <w:left w:val="nil"/>
              <w:bottom w:val="single" w:sz="4" w:space="0" w:color="auto"/>
              <w:right w:val="single" w:sz="4" w:space="0" w:color="auto"/>
            </w:tcBorders>
            <w:shd w:val="clear" w:color="auto" w:fill="auto"/>
            <w:noWrap/>
            <w:vAlign w:val="center"/>
            <w:hideMark/>
          </w:tcPr>
          <w:p w14:paraId="11975E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£3,041.84</w:t>
            </w:r>
          </w:p>
        </w:tc>
      </w:tr>
      <w:tr w:rsidR="004433D7" w:rsidRPr="004433D7" w14:paraId="7AFB2AE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FDEDB1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Electricity Limited</w:t>
            </w:r>
          </w:p>
        </w:tc>
        <w:tc>
          <w:tcPr>
            <w:tcW w:w="1418" w:type="dxa"/>
            <w:tcBorders>
              <w:top w:val="nil"/>
              <w:left w:val="nil"/>
              <w:bottom w:val="single" w:sz="4" w:space="0" w:color="auto"/>
              <w:right w:val="single" w:sz="4" w:space="0" w:color="auto"/>
            </w:tcBorders>
            <w:shd w:val="clear" w:color="auto" w:fill="auto"/>
            <w:noWrap/>
            <w:vAlign w:val="center"/>
            <w:hideMark/>
          </w:tcPr>
          <w:p w14:paraId="53870D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£944,195.16</w:t>
            </w:r>
          </w:p>
        </w:tc>
        <w:tc>
          <w:tcPr>
            <w:tcW w:w="1417" w:type="dxa"/>
            <w:tcBorders>
              <w:top w:val="nil"/>
              <w:left w:val="nil"/>
              <w:bottom w:val="single" w:sz="4" w:space="0" w:color="auto"/>
              <w:right w:val="single" w:sz="4" w:space="0" w:color="auto"/>
            </w:tcBorders>
            <w:shd w:val="clear" w:color="auto" w:fill="auto"/>
            <w:noWrap/>
            <w:vAlign w:val="center"/>
            <w:hideMark/>
          </w:tcPr>
          <w:p w14:paraId="7F1B82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£236,048.79</w:t>
            </w:r>
          </w:p>
        </w:tc>
        <w:tc>
          <w:tcPr>
            <w:tcW w:w="1559" w:type="dxa"/>
            <w:tcBorders>
              <w:top w:val="nil"/>
              <w:left w:val="nil"/>
              <w:bottom w:val="single" w:sz="4" w:space="0" w:color="auto"/>
              <w:right w:val="single" w:sz="4" w:space="0" w:color="auto"/>
            </w:tcBorders>
            <w:shd w:val="clear" w:color="auto" w:fill="auto"/>
            <w:noWrap/>
            <w:vAlign w:val="center"/>
            <w:hideMark/>
          </w:tcPr>
          <w:p w14:paraId="5D5899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£236,048.79</w:t>
            </w:r>
          </w:p>
        </w:tc>
        <w:tc>
          <w:tcPr>
            <w:tcW w:w="1418" w:type="dxa"/>
            <w:tcBorders>
              <w:top w:val="nil"/>
              <w:left w:val="nil"/>
              <w:bottom w:val="single" w:sz="4" w:space="0" w:color="auto"/>
              <w:right w:val="single" w:sz="4" w:space="0" w:color="auto"/>
            </w:tcBorders>
            <w:shd w:val="clear" w:color="auto" w:fill="auto"/>
            <w:noWrap/>
            <w:vAlign w:val="center"/>
            <w:hideMark/>
          </w:tcPr>
          <w:p w14:paraId="2AFBB0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£236,048.79</w:t>
            </w:r>
          </w:p>
        </w:tc>
        <w:tc>
          <w:tcPr>
            <w:tcW w:w="1559" w:type="dxa"/>
            <w:tcBorders>
              <w:top w:val="nil"/>
              <w:left w:val="nil"/>
              <w:bottom w:val="single" w:sz="4" w:space="0" w:color="auto"/>
              <w:right w:val="single" w:sz="4" w:space="0" w:color="auto"/>
            </w:tcBorders>
            <w:shd w:val="clear" w:color="auto" w:fill="auto"/>
            <w:noWrap/>
            <w:vAlign w:val="center"/>
            <w:hideMark/>
          </w:tcPr>
          <w:p w14:paraId="14B585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£236,048.79</w:t>
            </w:r>
          </w:p>
        </w:tc>
        <w:tc>
          <w:tcPr>
            <w:tcW w:w="1531" w:type="dxa"/>
            <w:tcBorders>
              <w:top w:val="nil"/>
              <w:left w:val="nil"/>
              <w:bottom w:val="single" w:sz="4" w:space="0" w:color="auto"/>
              <w:right w:val="single" w:sz="4" w:space="0" w:color="auto"/>
            </w:tcBorders>
            <w:shd w:val="clear" w:color="auto" w:fill="auto"/>
            <w:noWrap/>
            <w:vAlign w:val="center"/>
            <w:hideMark/>
          </w:tcPr>
          <w:p w14:paraId="12CDC4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£944,195.16</w:t>
            </w:r>
          </w:p>
        </w:tc>
      </w:tr>
      <w:tr w:rsidR="004433D7" w:rsidRPr="004433D7" w14:paraId="00619C2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0A977D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50668B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£801,413.09</w:t>
            </w:r>
          </w:p>
        </w:tc>
        <w:tc>
          <w:tcPr>
            <w:tcW w:w="1417" w:type="dxa"/>
            <w:tcBorders>
              <w:top w:val="nil"/>
              <w:left w:val="nil"/>
              <w:bottom w:val="single" w:sz="4" w:space="0" w:color="auto"/>
              <w:right w:val="single" w:sz="4" w:space="0" w:color="auto"/>
            </w:tcBorders>
            <w:shd w:val="clear" w:color="auto" w:fill="auto"/>
            <w:noWrap/>
            <w:vAlign w:val="center"/>
            <w:hideMark/>
          </w:tcPr>
          <w:p w14:paraId="08F080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£200,353.27</w:t>
            </w:r>
          </w:p>
        </w:tc>
        <w:tc>
          <w:tcPr>
            <w:tcW w:w="1559" w:type="dxa"/>
            <w:tcBorders>
              <w:top w:val="nil"/>
              <w:left w:val="nil"/>
              <w:bottom w:val="single" w:sz="4" w:space="0" w:color="auto"/>
              <w:right w:val="single" w:sz="4" w:space="0" w:color="auto"/>
            </w:tcBorders>
            <w:shd w:val="clear" w:color="auto" w:fill="auto"/>
            <w:noWrap/>
            <w:vAlign w:val="center"/>
            <w:hideMark/>
          </w:tcPr>
          <w:p w14:paraId="0D7623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£200,353.27</w:t>
            </w:r>
          </w:p>
        </w:tc>
        <w:tc>
          <w:tcPr>
            <w:tcW w:w="1418" w:type="dxa"/>
            <w:tcBorders>
              <w:top w:val="nil"/>
              <w:left w:val="nil"/>
              <w:bottom w:val="single" w:sz="4" w:space="0" w:color="auto"/>
              <w:right w:val="single" w:sz="4" w:space="0" w:color="auto"/>
            </w:tcBorders>
            <w:shd w:val="clear" w:color="auto" w:fill="auto"/>
            <w:noWrap/>
            <w:vAlign w:val="center"/>
            <w:hideMark/>
          </w:tcPr>
          <w:p w14:paraId="0849FF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£200,353.27</w:t>
            </w:r>
          </w:p>
        </w:tc>
        <w:tc>
          <w:tcPr>
            <w:tcW w:w="1559" w:type="dxa"/>
            <w:tcBorders>
              <w:top w:val="nil"/>
              <w:left w:val="nil"/>
              <w:bottom w:val="single" w:sz="4" w:space="0" w:color="auto"/>
              <w:right w:val="single" w:sz="4" w:space="0" w:color="auto"/>
            </w:tcBorders>
            <w:shd w:val="clear" w:color="auto" w:fill="auto"/>
            <w:noWrap/>
            <w:vAlign w:val="center"/>
            <w:hideMark/>
          </w:tcPr>
          <w:p w14:paraId="19DE3F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£200,353.27</w:t>
            </w:r>
          </w:p>
        </w:tc>
        <w:tc>
          <w:tcPr>
            <w:tcW w:w="1531" w:type="dxa"/>
            <w:tcBorders>
              <w:top w:val="nil"/>
              <w:left w:val="nil"/>
              <w:bottom w:val="single" w:sz="4" w:space="0" w:color="auto"/>
              <w:right w:val="single" w:sz="4" w:space="0" w:color="auto"/>
            </w:tcBorders>
            <w:shd w:val="clear" w:color="auto" w:fill="auto"/>
            <w:noWrap/>
            <w:vAlign w:val="center"/>
            <w:hideMark/>
          </w:tcPr>
          <w:p w14:paraId="7E2F87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£801,413.08</w:t>
            </w:r>
          </w:p>
        </w:tc>
      </w:tr>
      <w:tr w:rsidR="004433D7" w:rsidRPr="004433D7" w14:paraId="451936F2"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B0065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Statkraft</w:t>
            </w:r>
            <w:proofErr w:type="spellEnd"/>
            <w:r w:rsidRPr="004433D7">
              <w:rPr>
                <w:rFonts w:eastAsia="Times New Roman" w:cs="Times New Roman"/>
                <w:color w:val="000000"/>
                <w:sz w:val="16"/>
                <w:szCs w:val="16"/>
              </w:rPr>
              <w:t xml:space="preserve"> Markets GmbH</w:t>
            </w:r>
          </w:p>
        </w:tc>
        <w:tc>
          <w:tcPr>
            <w:tcW w:w="1418" w:type="dxa"/>
            <w:tcBorders>
              <w:top w:val="nil"/>
              <w:left w:val="nil"/>
              <w:bottom w:val="single" w:sz="4" w:space="0" w:color="auto"/>
              <w:right w:val="single" w:sz="4" w:space="0" w:color="auto"/>
            </w:tcBorders>
            <w:shd w:val="clear" w:color="auto" w:fill="auto"/>
            <w:noWrap/>
            <w:vAlign w:val="center"/>
            <w:hideMark/>
          </w:tcPr>
          <w:p w14:paraId="6AF01B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£330.38</w:t>
            </w:r>
          </w:p>
        </w:tc>
        <w:tc>
          <w:tcPr>
            <w:tcW w:w="1417" w:type="dxa"/>
            <w:tcBorders>
              <w:top w:val="nil"/>
              <w:left w:val="nil"/>
              <w:bottom w:val="single" w:sz="4" w:space="0" w:color="auto"/>
              <w:right w:val="single" w:sz="4" w:space="0" w:color="auto"/>
            </w:tcBorders>
            <w:shd w:val="clear" w:color="auto" w:fill="auto"/>
            <w:noWrap/>
            <w:vAlign w:val="center"/>
            <w:hideMark/>
          </w:tcPr>
          <w:p w14:paraId="1863F0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£330.40</w:t>
            </w:r>
          </w:p>
        </w:tc>
        <w:tc>
          <w:tcPr>
            <w:tcW w:w="1559" w:type="dxa"/>
            <w:tcBorders>
              <w:top w:val="nil"/>
              <w:left w:val="nil"/>
              <w:bottom w:val="single" w:sz="4" w:space="0" w:color="auto"/>
              <w:right w:val="single" w:sz="4" w:space="0" w:color="auto"/>
            </w:tcBorders>
            <w:shd w:val="clear" w:color="auto" w:fill="auto"/>
            <w:noWrap/>
            <w:vAlign w:val="center"/>
            <w:hideMark/>
          </w:tcPr>
          <w:p w14:paraId="4D17FBA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C1DD9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02D3D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328F78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£330.40</w:t>
            </w:r>
          </w:p>
        </w:tc>
      </w:tr>
      <w:tr w:rsidR="004433D7" w:rsidRPr="004433D7" w14:paraId="11694B8A"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35DB4C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Switch Business Gas and Power Ltd</w:t>
            </w:r>
          </w:p>
        </w:tc>
        <w:tc>
          <w:tcPr>
            <w:tcW w:w="1418" w:type="dxa"/>
            <w:tcBorders>
              <w:top w:val="nil"/>
              <w:left w:val="nil"/>
              <w:bottom w:val="single" w:sz="4" w:space="0" w:color="auto"/>
              <w:right w:val="single" w:sz="4" w:space="0" w:color="auto"/>
            </w:tcBorders>
            <w:shd w:val="clear" w:color="auto" w:fill="auto"/>
            <w:noWrap/>
            <w:vAlign w:val="center"/>
            <w:hideMark/>
          </w:tcPr>
          <w:p w14:paraId="6CED58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£161.48</w:t>
            </w:r>
          </w:p>
        </w:tc>
        <w:tc>
          <w:tcPr>
            <w:tcW w:w="1417" w:type="dxa"/>
            <w:tcBorders>
              <w:top w:val="nil"/>
              <w:left w:val="nil"/>
              <w:bottom w:val="single" w:sz="4" w:space="0" w:color="auto"/>
              <w:right w:val="single" w:sz="4" w:space="0" w:color="auto"/>
            </w:tcBorders>
            <w:shd w:val="clear" w:color="auto" w:fill="auto"/>
            <w:noWrap/>
            <w:vAlign w:val="center"/>
            <w:hideMark/>
          </w:tcPr>
          <w:p w14:paraId="6874FC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£40.37</w:t>
            </w:r>
          </w:p>
        </w:tc>
        <w:tc>
          <w:tcPr>
            <w:tcW w:w="1559" w:type="dxa"/>
            <w:tcBorders>
              <w:top w:val="nil"/>
              <w:left w:val="nil"/>
              <w:bottom w:val="single" w:sz="4" w:space="0" w:color="auto"/>
              <w:right w:val="single" w:sz="4" w:space="0" w:color="auto"/>
            </w:tcBorders>
            <w:shd w:val="clear" w:color="auto" w:fill="auto"/>
            <w:noWrap/>
            <w:vAlign w:val="center"/>
            <w:hideMark/>
          </w:tcPr>
          <w:p w14:paraId="6B0D6B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£40.37</w:t>
            </w:r>
          </w:p>
        </w:tc>
        <w:tc>
          <w:tcPr>
            <w:tcW w:w="1418" w:type="dxa"/>
            <w:tcBorders>
              <w:top w:val="nil"/>
              <w:left w:val="nil"/>
              <w:bottom w:val="single" w:sz="4" w:space="0" w:color="auto"/>
              <w:right w:val="single" w:sz="4" w:space="0" w:color="auto"/>
            </w:tcBorders>
            <w:shd w:val="clear" w:color="auto" w:fill="auto"/>
            <w:noWrap/>
            <w:vAlign w:val="center"/>
            <w:hideMark/>
          </w:tcPr>
          <w:p w14:paraId="7CE04A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£40.37</w:t>
            </w:r>
          </w:p>
        </w:tc>
        <w:tc>
          <w:tcPr>
            <w:tcW w:w="1559" w:type="dxa"/>
            <w:tcBorders>
              <w:top w:val="nil"/>
              <w:left w:val="nil"/>
              <w:bottom w:val="single" w:sz="4" w:space="0" w:color="auto"/>
              <w:right w:val="single" w:sz="4" w:space="0" w:color="auto"/>
            </w:tcBorders>
            <w:shd w:val="clear" w:color="auto" w:fill="auto"/>
            <w:noWrap/>
            <w:vAlign w:val="center"/>
            <w:hideMark/>
          </w:tcPr>
          <w:p w14:paraId="439EEE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£40.37</w:t>
            </w:r>
          </w:p>
        </w:tc>
        <w:tc>
          <w:tcPr>
            <w:tcW w:w="1531" w:type="dxa"/>
            <w:tcBorders>
              <w:top w:val="nil"/>
              <w:left w:val="nil"/>
              <w:bottom w:val="single" w:sz="4" w:space="0" w:color="auto"/>
              <w:right w:val="single" w:sz="4" w:space="0" w:color="auto"/>
            </w:tcBorders>
            <w:shd w:val="clear" w:color="auto" w:fill="auto"/>
            <w:noWrap/>
            <w:vAlign w:val="center"/>
            <w:hideMark/>
          </w:tcPr>
          <w:p w14:paraId="432F87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£161.48</w:t>
            </w:r>
          </w:p>
        </w:tc>
      </w:tr>
      <w:tr w:rsidR="004433D7" w:rsidRPr="004433D7" w14:paraId="162D57F8"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F83A28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Symbio</w:t>
            </w:r>
            <w:proofErr w:type="spellEnd"/>
            <w:r w:rsidRPr="004433D7">
              <w:rPr>
                <w:rFonts w:eastAsia="Times New Roman" w:cs="Times New Roman"/>
                <w:color w:val="000000"/>
                <w:sz w:val="16"/>
                <w:szCs w:val="16"/>
              </w:rPr>
              <w:t xml:space="preser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48000E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417" w:type="dxa"/>
            <w:tcBorders>
              <w:top w:val="nil"/>
              <w:left w:val="nil"/>
              <w:bottom w:val="single" w:sz="4" w:space="0" w:color="auto"/>
              <w:right w:val="single" w:sz="4" w:space="0" w:color="auto"/>
            </w:tcBorders>
            <w:shd w:val="clear" w:color="auto" w:fill="auto"/>
            <w:noWrap/>
            <w:vAlign w:val="center"/>
            <w:hideMark/>
          </w:tcPr>
          <w:p w14:paraId="454B94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c>
          <w:tcPr>
            <w:tcW w:w="1559" w:type="dxa"/>
            <w:tcBorders>
              <w:top w:val="nil"/>
              <w:left w:val="nil"/>
              <w:bottom w:val="single" w:sz="4" w:space="0" w:color="auto"/>
              <w:right w:val="single" w:sz="4" w:space="0" w:color="auto"/>
            </w:tcBorders>
            <w:shd w:val="clear" w:color="auto" w:fill="auto"/>
            <w:noWrap/>
            <w:vAlign w:val="center"/>
            <w:hideMark/>
          </w:tcPr>
          <w:p w14:paraId="7F8D63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6E3F11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49501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356DB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w:t>
            </w:r>
          </w:p>
        </w:tc>
      </w:tr>
      <w:tr w:rsidR="004433D7" w:rsidRPr="004433D7" w14:paraId="6558509D"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494775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418" w:type="dxa"/>
            <w:tcBorders>
              <w:top w:val="nil"/>
              <w:left w:val="nil"/>
              <w:bottom w:val="single" w:sz="4" w:space="0" w:color="auto"/>
              <w:right w:val="single" w:sz="4" w:space="0" w:color="auto"/>
            </w:tcBorders>
            <w:shd w:val="clear" w:color="auto" w:fill="auto"/>
            <w:noWrap/>
            <w:vAlign w:val="center"/>
            <w:hideMark/>
          </w:tcPr>
          <w:p w14:paraId="2EB44C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£12,389.75</w:t>
            </w:r>
          </w:p>
        </w:tc>
        <w:tc>
          <w:tcPr>
            <w:tcW w:w="1417" w:type="dxa"/>
            <w:tcBorders>
              <w:top w:val="nil"/>
              <w:left w:val="nil"/>
              <w:bottom w:val="single" w:sz="4" w:space="0" w:color="auto"/>
              <w:right w:val="single" w:sz="4" w:space="0" w:color="auto"/>
            </w:tcBorders>
            <w:shd w:val="clear" w:color="auto" w:fill="auto"/>
            <w:noWrap/>
            <w:vAlign w:val="center"/>
            <w:hideMark/>
          </w:tcPr>
          <w:p w14:paraId="55F263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£3,097.44</w:t>
            </w:r>
          </w:p>
        </w:tc>
        <w:tc>
          <w:tcPr>
            <w:tcW w:w="1559" w:type="dxa"/>
            <w:tcBorders>
              <w:top w:val="nil"/>
              <w:left w:val="nil"/>
              <w:bottom w:val="single" w:sz="4" w:space="0" w:color="auto"/>
              <w:right w:val="single" w:sz="4" w:space="0" w:color="auto"/>
            </w:tcBorders>
            <w:shd w:val="clear" w:color="auto" w:fill="auto"/>
            <w:noWrap/>
            <w:vAlign w:val="center"/>
            <w:hideMark/>
          </w:tcPr>
          <w:p w14:paraId="4ED6A3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£3,097.44</w:t>
            </w:r>
          </w:p>
        </w:tc>
        <w:tc>
          <w:tcPr>
            <w:tcW w:w="1418" w:type="dxa"/>
            <w:tcBorders>
              <w:top w:val="nil"/>
              <w:left w:val="nil"/>
              <w:bottom w:val="single" w:sz="4" w:space="0" w:color="auto"/>
              <w:right w:val="single" w:sz="4" w:space="0" w:color="auto"/>
            </w:tcBorders>
            <w:shd w:val="clear" w:color="auto" w:fill="auto"/>
            <w:noWrap/>
            <w:vAlign w:val="center"/>
            <w:hideMark/>
          </w:tcPr>
          <w:p w14:paraId="1B4005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£6,194.88</w:t>
            </w:r>
          </w:p>
        </w:tc>
        <w:tc>
          <w:tcPr>
            <w:tcW w:w="1559" w:type="dxa"/>
            <w:tcBorders>
              <w:top w:val="nil"/>
              <w:left w:val="nil"/>
              <w:bottom w:val="single" w:sz="4" w:space="0" w:color="auto"/>
              <w:right w:val="single" w:sz="4" w:space="0" w:color="auto"/>
            </w:tcBorders>
            <w:shd w:val="clear" w:color="auto" w:fill="auto"/>
            <w:noWrap/>
            <w:vAlign w:val="center"/>
            <w:hideMark/>
          </w:tcPr>
          <w:p w14:paraId="02329D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AD76C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£12,389.76</w:t>
            </w:r>
          </w:p>
        </w:tc>
      </w:tr>
      <w:tr w:rsidR="004433D7" w:rsidRPr="004433D7" w14:paraId="4E956386"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19829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Together Energy Supply Limited</w:t>
            </w:r>
          </w:p>
        </w:tc>
        <w:tc>
          <w:tcPr>
            <w:tcW w:w="1418" w:type="dxa"/>
            <w:tcBorders>
              <w:top w:val="nil"/>
              <w:left w:val="nil"/>
              <w:bottom w:val="single" w:sz="4" w:space="0" w:color="auto"/>
              <w:right w:val="single" w:sz="4" w:space="0" w:color="auto"/>
            </w:tcBorders>
            <w:shd w:val="clear" w:color="auto" w:fill="auto"/>
            <w:noWrap/>
            <w:vAlign w:val="center"/>
            <w:hideMark/>
          </w:tcPr>
          <w:p w14:paraId="55B274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£216.68</w:t>
            </w:r>
          </w:p>
        </w:tc>
        <w:tc>
          <w:tcPr>
            <w:tcW w:w="1417" w:type="dxa"/>
            <w:tcBorders>
              <w:top w:val="nil"/>
              <w:left w:val="nil"/>
              <w:bottom w:val="single" w:sz="4" w:space="0" w:color="auto"/>
              <w:right w:val="single" w:sz="4" w:space="0" w:color="auto"/>
            </w:tcBorders>
            <w:shd w:val="clear" w:color="auto" w:fill="auto"/>
            <w:noWrap/>
            <w:vAlign w:val="center"/>
            <w:hideMark/>
          </w:tcPr>
          <w:p w14:paraId="3A2D2A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£54.17</w:t>
            </w:r>
          </w:p>
        </w:tc>
        <w:tc>
          <w:tcPr>
            <w:tcW w:w="1559" w:type="dxa"/>
            <w:tcBorders>
              <w:top w:val="nil"/>
              <w:left w:val="nil"/>
              <w:bottom w:val="single" w:sz="4" w:space="0" w:color="auto"/>
              <w:right w:val="single" w:sz="4" w:space="0" w:color="auto"/>
            </w:tcBorders>
            <w:shd w:val="clear" w:color="auto" w:fill="auto"/>
            <w:noWrap/>
            <w:vAlign w:val="center"/>
            <w:hideMark/>
          </w:tcPr>
          <w:p w14:paraId="71D55F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£54.17</w:t>
            </w:r>
          </w:p>
        </w:tc>
        <w:tc>
          <w:tcPr>
            <w:tcW w:w="1418" w:type="dxa"/>
            <w:tcBorders>
              <w:top w:val="nil"/>
              <w:left w:val="nil"/>
              <w:bottom w:val="single" w:sz="4" w:space="0" w:color="auto"/>
              <w:right w:val="single" w:sz="4" w:space="0" w:color="auto"/>
            </w:tcBorders>
            <w:shd w:val="clear" w:color="auto" w:fill="auto"/>
            <w:noWrap/>
            <w:vAlign w:val="center"/>
            <w:hideMark/>
          </w:tcPr>
          <w:p w14:paraId="21CA20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£54.17</w:t>
            </w:r>
          </w:p>
        </w:tc>
        <w:tc>
          <w:tcPr>
            <w:tcW w:w="1559" w:type="dxa"/>
            <w:tcBorders>
              <w:top w:val="nil"/>
              <w:left w:val="nil"/>
              <w:bottom w:val="single" w:sz="4" w:space="0" w:color="auto"/>
              <w:right w:val="single" w:sz="4" w:space="0" w:color="auto"/>
            </w:tcBorders>
            <w:shd w:val="clear" w:color="auto" w:fill="auto"/>
            <w:noWrap/>
            <w:vAlign w:val="center"/>
            <w:hideMark/>
          </w:tcPr>
          <w:p w14:paraId="6253A2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£54.17</w:t>
            </w:r>
          </w:p>
        </w:tc>
        <w:tc>
          <w:tcPr>
            <w:tcW w:w="1531" w:type="dxa"/>
            <w:tcBorders>
              <w:top w:val="nil"/>
              <w:left w:val="nil"/>
              <w:bottom w:val="single" w:sz="4" w:space="0" w:color="auto"/>
              <w:right w:val="single" w:sz="4" w:space="0" w:color="auto"/>
            </w:tcBorders>
            <w:shd w:val="clear" w:color="auto" w:fill="auto"/>
            <w:noWrap/>
            <w:vAlign w:val="center"/>
            <w:hideMark/>
          </w:tcPr>
          <w:p w14:paraId="3D8912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£216.68</w:t>
            </w:r>
          </w:p>
        </w:tc>
      </w:tr>
      <w:tr w:rsidR="004433D7" w:rsidRPr="004433D7" w14:paraId="65B78CEE"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417E9C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3470C9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£5,745.85</w:t>
            </w:r>
          </w:p>
        </w:tc>
        <w:tc>
          <w:tcPr>
            <w:tcW w:w="1417" w:type="dxa"/>
            <w:tcBorders>
              <w:top w:val="nil"/>
              <w:left w:val="nil"/>
              <w:bottom w:val="single" w:sz="4" w:space="0" w:color="auto"/>
              <w:right w:val="single" w:sz="4" w:space="0" w:color="auto"/>
            </w:tcBorders>
            <w:shd w:val="clear" w:color="auto" w:fill="auto"/>
            <w:noWrap/>
            <w:vAlign w:val="center"/>
            <w:hideMark/>
          </w:tcPr>
          <w:p w14:paraId="65F387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£1,436.46</w:t>
            </w:r>
          </w:p>
        </w:tc>
        <w:tc>
          <w:tcPr>
            <w:tcW w:w="1559" w:type="dxa"/>
            <w:tcBorders>
              <w:top w:val="nil"/>
              <w:left w:val="nil"/>
              <w:bottom w:val="single" w:sz="4" w:space="0" w:color="auto"/>
              <w:right w:val="single" w:sz="4" w:space="0" w:color="auto"/>
            </w:tcBorders>
            <w:shd w:val="clear" w:color="auto" w:fill="auto"/>
            <w:noWrap/>
            <w:vAlign w:val="center"/>
            <w:hideMark/>
          </w:tcPr>
          <w:p w14:paraId="4A917A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4A1F27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83402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6E5C4B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£1,436.46</w:t>
            </w:r>
          </w:p>
        </w:tc>
      </w:tr>
      <w:tr w:rsidR="004433D7" w:rsidRPr="004433D7" w14:paraId="1B663095"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A67F9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Total Gas &amp;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077AC5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£253,526.10</w:t>
            </w:r>
          </w:p>
        </w:tc>
        <w:tc>
          <w:tcPr>
            <w:tcW w:w="1417" w:type="dxa"/>
            <w:tcBorders>
              <w:top w:val="nil"/>
              <w:left w:val="nil"/>
              <w:bottom w:val="single" w:sz="4" w:space="0" w:color="auto"/>
              <w:right w:val="single" w:sz="4" w:space="0" w:color="auto"/>
            </w:tcBorders>
            <w:shd w:val="clear" w:color="auto" w:fill="auto"/>
            <w:noWrap/>
            <w:vAlign w:val="center"/>
            <w:hideMark/>
          </w:tcPr>
          <w:p w14:paraId="0BFAE8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£63,381.53</w:t>
            </w:r>
          </w:p>
        </w:tc>
        <w:tc>
          <w:tcPr>
            <w:tcW w:w="1559" w:type="dxa"/>
            <w:tcBorders>
              <w:top w:val="nil"/>
              <w:left w:val="nil"/>
              <w:bottom w:val="single" w:sz="4" w:space="0" w:color="auto"/>
              <w:right w:val="single" w:sz="4" w:space="0" w:color="auto"/>
            </w:tcBorders>
            <w:shd w:val="clear" w:color="auto" w:fill="auto"/>
            <w:noWrap/>
            <w:vAlign w:val="center"/>
            <w:hideMark/>
          </w:tcPr>
          <w:p w14:paraId="33BB39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£63,381.53</w:t>
            </w:r>
          </w:p>
        </w:tc>
        <w:tc>
          <w:tcPr>
            <w:tcW w:w="1418" w:type="dxa"/>
            <w:tcBorders>
              <w:top w:val="nil"/>
              <w:left w:val="nil"/>
              <w:bottom w:val="single" w:sz="4" w:space="0" w:color="auto"/>
              <w:right w:val="single" w:sz="4" w:space="0" w:color="auto"/>
            </w:tcBorders>
            <w:shd w:val="clear" w:color="auto" w:fill="auto"/>
            <w:noWrap/>
            <w:vAlign w:val="center"/>
            <w:hideMark/>
          </w:tcPr>
          <w:p w14:paraId="30A790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£63,381.53</w:t>
            </w:r>
          </w:p>
        </w:tc>
        <w:tc>
          <w:tcPr>
            <w:tcW w:w="1559" w:type="dxa"/>
            <w:tcBorders>
              <w:top w:val="nil"/>
              <w:left w:val="nil"/>
              <w:bottom w:val="single" w:sz="4" w:space="0" w:color="auto"/>
              <w:right w:val="single" w:sz="4" w:space="0" w:color="auto"/>
            </w:tcBorders>
            <w:shd w:val="clear" w:color="auto" w:fill="auto"/>
            <w:noWrap/>
            <w:vAlign w:val="center"/>
            <w:hideMark/>
          </w:tcPr>
          <w:p w14:paraId="276AE7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£63,381.53</w:t>
            </w:r>
          </w:p>
        </w:tc>
        <w:tc>
          <w:tcPr>
            <w:tcW w:w="1531" w:type="dxa"/>
            <w:tcBorders>
              <w:top w:val="nil"/>
              <w:left w:val="nil"/>
              <w:bottom w:val="single" w:sz="4" w:space="0" w:color="auto"/>
              <w:right w:val="single" w:sz="4" w:space="0" w:color="auto"/>
            </w:tcBorders>
            <w:shd w:val="clear" w:color="auto" w:fill="auto"/>
            <w:noWrap/>
            <w:vAlign w:val="center"/>
            <w:hideMark/>
          </w:tcPr>
          <w:p w14:paraId="4B33C0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£253,526.12</w:t>
            </w:r>
          </w:p>
        </w:tc>
      </w:tr>
      <w:tr w:rsidR="004433D7" w:rsidRPr="004433D7" w14:paraId="63035232"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A62845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Tru</w:t>
            </w:r>
            <w:proofErr w:type="spellEnd"/>
            <w:r w:rsidRPr="004433D7">
              <w:rPr>
                <w:rFonts w:eastAsia="Times New Roman" w:cs="Times New Roman"/>
                <w:color w:val="000000"/>
                <w:sz w:val="16"/>
                <w:szCs w:val="16"/>
              </w:rPr>
              <w:t xml:space="preserve"> Energy Limited</w:t>
            </w:r>
          </w:p>
        </w:tc>
        <w:tc>
          <w:tcPr>
            <w:tcW w:w="1418" w:type="dxa"/>
            <w:tcBorders>
              <w:top w:val="nil"/>
              <w:left w:val="nil"/>
              <w:bottom w:val="single" w:sz="4" w:space="0" w:color="auto"/>
              <w:right w:val="single" w:sz="4" w:space="0" w:color="auto"/>
            </w:tcBorders>
            <w:shd w:val="clear" w:color="auto" w:fill="auto"/>
            <w:noWrap/>
            <w:vAlign w:val="center"/>
            <w:hideMark/>
          </w:tcPr>
          <w:p w14:paraId="707BF0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w:t>
            </w:r>
          </w:p>
        </w:tc>
        <w:tc>
          <w:tcPr>
            <w:tcW w:w="1417" w:type="dxa"/>
            <w:tcBorders>
              <w:top w:val="nil"/>
              <w:left w:val="nil"/>
              <w:bottom w:val="single" w:sz="4" w:space="0" w:color="auto"/>
              <w:right w:val="single" w:sz="4" w:space="0" w:color="auto"/>
            </w:tcBorders>
            <w:shd w:val="clear" w:color="auto" w:fill="auto"/>
            <w:noWrap/>
            <w:vAlign w:val="center"/>
            <w:hideMark/>
          </w:tcPr>
          <w:p w14:paraId="5DD935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w:t>
            </w:r>
          </w:p>
        </w:tc>
        <w:tc>
          <w:tcPr>
            <w:tcW w:w="1559" w:type="dxa"/>
            <w:tcBorders>
              <w:top w:val="nil"/>
              <w:left w:val="nil"/>
              <w:bottom w:val="single" w:sz="4" w:space="0" w:color="auto"/>
              <w:right w:val="single" w:sz="4" w:space="0" w:color="auto"/>
            </w:tcBorders>
            <w:shd w:val="clear" w:color="auto" w:fill="auto"/>
            <w:noWrap/>
            <w:vAlign w:val="center"/>
            <w:hideMark/>
          </w:tcPr>
          <w:p w14:paraId="70F8EC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188935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w:t>
            </w:r>
          </w:p>
        </w:tc>
        <w:tc>
          <w:tcPr>
            <w:tcW w:w="1559" w:type="dxa"/>
            <w:tcBorders>
              <w:top w:val="nil"/>
              <w:left w:val="nil"/>
              <w:bottom w:val="single" w:sz="4" w:space="0" w:color="auto"/>
              <w:right w:val="single" w:sz="4" w:space="0" w:color="auto"/>
            </w:tcBorders>
            <w:shd w:val="clear" w:color="auto" w:fill="auto"/>
            <w:noWrap/>
            <w:vAlign w:val="center"/>
            <w:hideMark/>
          </w:tcPr>
          <w:p w14:paraId="62E35B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w:t>
            </w:r>
          </w:p>
        </w:tc>
        <w:tc>
          <w:tcPr>
            <w:tcW w:w="1531" w:type="dxa"/>
            <w:tcBorders>
              <w:top w:val="nil"/>
              <w:left w:val="nil"/>
              <w:bottom w:val="single" w:sz="4" w:space="0" w:color="auto"/>
              <w:right w:val="single" w:sz="4" w:space="0" w:color="auto"/>
            </w:tcBorders>
            <w:shd w:val="clear" w:color="auto" w:fill="auto"/>
            <w:noWrap/>
            <w:vAlign w:val="center"/>
            <w:hideMark/>
          </w:tcPr>
          <w:p w14:paraId="473F50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w:t>
            </w:r>
          </w:p>
        </w:tc>
      </w:tr>
      <w:tr w:rsidR="004433D7" w:rsidRPr="004433D7" w14:paraId="37DCAB03"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7541D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United Gas &amp; Power Ltd</w:t>
            </w:r>
          </w:p>
        </w:tc>
        <w:tc>
          <w:tcPr>
            <w:tcW w:w="1418" w:type="dxa"/>
            <w:tcBorders>
              <w:top w:val="nil"/>
              <w:left w:val="nil"/>
              <w:bottom w:val="single" w:sz="4" w:space="0" w:color="auto"/>
              <w:right w:val="single" w:sz="4" w:space="0" w:color="auto"/>
            </w:tcBorders>
            <w:shd w:val="clear" w:color="auto" w:fill="auto"/>
            <w:noWrap/>
            <w:vAlign w:val="center"/>
            <w:hideMark/>
          </w:tcPr>
          <w:p w14:paraId="5A6BFB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£673.95</w:t>
            </w:r>
          </w:p>
        </w:tc>
        <w:tc>
          <w:tcPr>
            <w:tcW w:w="1417" w:type="dxa"/>
            <w:tcBorders>
              <w:top w:val="nil"/>
              <w:left w:val="nil"/>
              <w:bottom w:val="single" w:sz="4" w:space="0" w:color="auto"/>
              <w:right w:val="single" w:sz="4" w:space="0" w:color="auto"/>
            </w:tcBorders>
            <w:shd w:val="clear" w:color="auto" w:fill="auto"/>
            <w:noWrap/>
            <w:vAlign w:val="center"/>
            <w:hideMark/>
          </w:tcPr>
          <w:p w14:paraId="7B8BC8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£168.49</w:t>
            </w:r>
          </w:p>
        </w:tc>
        <w:tc>
          <w:tcPr>
            <w:tcW w:w="1559" w:type="dxa"/>
            <w:tcBorders>
              <w:top w:val="nil"/>
              <w:left w:val="nil"/>
              <w:bottom w:val="single" w:sz="4" w:space="0" w:color="auto"/>
              <w:right w:val="single" w:sz="4" w:space="0" w:color="auto"/>
            </w:tcBorders>
            <w:shd w:val="clear" w:color="auto" w:fill="auto"/>
            <w:noWrap/>
            <w:vAlign w:val="center"/>
            <w:hideMark/>
          </w:tcPr>
          <w:p w14:paraId="3C8BD3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£168.49</w:t>
            </w:r>
          </w:p>
        </w:tc>
        <w:tc>
          <w:tcPr>
            <w:tcW w:w="1418" w:type="dxa"/>
            <w:tcBorders>
              <w:top w:val="nil"/>
              <w:left w:val="nil"/>
              <w:bottom w:val="single" w:sz="4" w:space="0" w:color="auto"/>
              <w:right w:val="single" w:sz="4" w:space="0" w:color="auto"/>
            </w:tcBorders>
            <w:shd w:val="clear" w:color="auto" w:fill="auto"/>
            <w:noWrap/>
            <w:vAlign w:val="center"/>
            <w:hideMark/>
          </w:tcPr>
          <w:p w14:paraId="5B4904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£168.49</w:t>
            </w:r>
          </w:p>
        </w:tc>
        <w:tc>
          <w:tcPr>
            <w:tcW w:w="1559" w:type="dxa"/>
            <w:tcBorders>
              <w:top w:val="nil"/>
              <w:left w:val="nil"/>
              <w:bottom w:val="single" w:sz="4" w:space="0" w:color="auto"/>
              <w:right w:val="single" w:sz="4" w:space="0" w:color="auto"/>
            </w:tcBorders>
            <w:shd w:val="clear" w:color="auto" w:fill="auto"/>
            <w:noWrap/>
            <w:vAlign w:val="center"/>
            <w:hideMark/>
          </w:tcPr>
          <w:p w14:paraId="1B3B1F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£168.49</w:t>
            </w:r>
          </w:p>
        </w:tc>
        <w:tc>
          <w:tcPr>
            <w:tcW w:w="1531" w:type="dxa"/>
            <w:tcBorders>
              <w:top w:val="nil"/>
              <w:left w:val="nil"/>
              <w:bottom w:val="single" w:sz="4" w:space="0" w:color="auto"/>
              <w:right w:val="single" w:sz="4" w:space="0" w:color="auto"/>
            </w:tcBorders>
            <w:shd w:val="clear" w:color="auto" w:fill="auto"/>
            <w:noWrap/>
            <w:vAlign w:val="center"/>
            <w:hideMark/>
          </w:tcPr>
          <w:p w14:paraId="462295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£673.96</w:t>
            </w:r>
          </w:p>
        </w:tc>
      </w:tr>
      <w:tr w:rsidR="004433D7" w:rsidRPr="004433D7" w14:paraId="2B5149EC"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995680"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 </w:t>
            </w:r>
          </w:p>
        </w:tc>
        <w:tc>
          <w:tcPr>
            <w:tcW w:w="1418" w:type="dxa"/>
            <w:tcBorders>
              <w:top w:val="nil"/>
              <w:left w:val="nil"/>
              <w:bottom w:val="single" w:sz="4" w:space="0" w:color="auto"/>
              <w:right w:val="single" w:sz="4" w:space="0" w:color="auto"/>
            </w:tcBorders>
            <w:shd w:val="clear" w:color="auto" w:fill="auto"/>
            <w:noWrap/>
            <w:vAlign w:val="center"/>
            <w:hideMark/>
          </w:tcPr>
          <w:p w14:paraId="409840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£87,064.43</w:t>
            </w:r>
          </w:p>
        </w:tc>
        <w:tc>
          <w:tcPr>
            <w:tcW w:w="1417" w:type="dxa"/>
            <w:tcBorders>
              <w:top w:val="nil"/>
              <w:left w:val="nil"/>
              <w:bottom w:val="single" w:sz="4" w:space="0" w:color="auto"/>
              <w:right w:val="single" w:sz="4" w:space="0" w:color="auto"/>
            </w:tcBorders>
            <w:shd w:val="clear" w:color="auto" w:fill="auto"/>
            <w:noWrap/>
            <w:vAlign w:val="center"/>
            <w:hideMark/>
          </w:tcPr>
          <w:p w14:paraId="2BE0B4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£21,766.11</w:t>
            </w:r>
          </w:p>
        </w:tc>
        <w:tc>
          <w:tcPr>
            <w:tcW w:w="1559" w:type="dxa"/>
            <w:tcBorders>
              <w:top w:val="nil"/>
              <w:left w:val="nil"/>
              <w:bottom w:val="single" w:sz="4" w:space="0" w:color="auto"/>
              <w:right w:val="single" w:sz="4" w:space="0" w:color="auto"/>
            </w:tcBorders>
            <w:shd w:val="clear" w:color="auto" w:fill="auto"/>
            <w:noWrap/>
            <w:vAlign w:val="center"/>
            <w:hideMark/>
          </w:tcPr>
          <w:p w14:paraId="6666AD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£21,766.11</w:t>
            </w:r>
          </w:p>
        </w:tc>
        <w:tc>
          <w:tcPr>
            <w:tcW w:w="1418" w:type="dxa"/>
            <w:tcBorders>
              <w:top w:val="nil"/>
              <w:left w:val="nil"/>
              <w:bottom w:val="single" w:sz="4" w:space="0" w:color="auto"/>
              <w:right w:val="single" w:sz="4" w:space="0" w:color="auto"/>
            </w:tcBorders>
            <w:shd w:val="clear" w:color="auto" w:fill="auto"/>
            <w:noWrap/>
            <w:vAlign w:val="center"/>
            <w:hideMark/>
          </w:tcPr>
          <w:p w14:paraId="0C1192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£21,766.11</w:t>
            </w:r>
          </w:p>
        </w:tc>
        <w:tc>
          <w:tcPr>
            <w:tcW w:w="1559" w:type="dxa"/>
            <w:tcBorders>
              <w:top w:val="nil"/>
              <w:left w:val="nil"/>
              <w:bottom w:val="single" w:sz="4" w:space="0" w:color="auto"/>
              <w:right w:val="single" w:sz="4" w:space="0" w:color="auto"/>
            </w:tcBorders>
            <w:shd w:val="clear" w:color="auto" w:fill="auto"/>
            <w:noWrap/>
            <w:vAlign w:val="center"/>
            <w:hideMark/>
          </w:tcPr>
          <w:p w14:paraId="192CE9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£21,766.11</w:t>
            </w:r>
          </w:p>
        </w:tc>
        <w:tc>
          <w:tcPr>
            <w:tcW w:w="1531" w:type="dxa"/>
            <w:tcBorders>
              <w:top w:val="nil"/>
              <w:left w:val="nil"/>
              <w:bottom w:val="single" w:sz="4" w:space="0" w:color="auto"/>
              <w:right w:val="single" w:sz="4" w:space="0" w:color="auto"/>
            </w:tcBorders>
            <w:shd w:val="clear" w:color="auto" w:fill="auto"/>
            <w:noWrap/>
            <w:vAlign w:val="center"/>
            <w:hideMark/>
          </w:tcPr>
          <w:p w14:paraId="6AF746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£87,064.44</w:t>
            </w:r>
          </w:p>
        </w:tc>
      </w:tr>
      <w:tr w:rsidR="004433D7" w:rsidRPr="004433D7" w14:paraId="22088001"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8DBB1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Utility Point Limited</w:t>
            </w:r>
          </w:p>
        </w:tc>
        <w:tc>
          <w:tcPr>
            <w:tcW w:w="1418" w:type="dxa"/>
            <w:tcBorders>
              <w:top w:val="nil"/>
              <w:left w:val="nil"/>
              <w:bottom w:val="single" w:sz="4" w:space="0" w:color="auto"/>
              <w:right w:val="single" w:sz="4" w:space="0" w:color="auto"/>
            </w:tcBorders>
            <w:shd w:val="clear" w:color="auto" w:fill="auto"/>
            <w:noWrap/>
            <w:vAlign w:val="center"/>
            <w:hideMark/>
          </w:tcPr>
          <w:p w14:paraId="204EA7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£6,958.63</w:t>
            </w:r>
          </w:p>
        </w:tc>
        <w:tc>
          <w:tcPr>
            <w:tcW w:w="1417" w:type="dxa"/>
            <w:tcBorders>
              <w:top w:val="nil"/>
              <w:left w:val="nil"/>
              <w:bottom w:val="single" w:sz="4" w:space="0" w:color="auto"/>
              <w:right w:val="single" w:sz="4" w:space="0" w:color="auto"/>
            </w:tcBorders>
            <w:shd w:val="clear" w:color="auto" w:fill="auto"/>
            <w:noWrap/>
            <w:vAlign w:val="center"/>
            <w:hideMark/>
          </w:tcPr>
          <w:p w14:paraId="0482DD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£1,739.66</w:t>
            </w:r>
          </w:p>
        </w:tc>
        <w:tc>
          <w:tcPr>
            <w:tcW w:w="1559" w:type="dxa"/>
            <w:tcBorders>
              <w:top w:val="nil"/>
              <w:left w:val="nil"/>
              <w:bottom w:val="single" w:sz="4" w:space="0" w:color="auto"/>
              <w:right w:val="single" w:sz="4" w:space="0" w:color="auto"/>
            </w:tcBorders>
            <w:shd w:val="clear" w:color="auto" w:fill="auto"/>
            <w:noWrap/>
            <w:vAlign w:val="center"/>
            <w:hideMark/>
          </w:tcPr>
          <w:p w14:paraId="2B777E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£1,739.66</w:t>
            </w:r>
          </w:p>
        </w:tc>
        <w:tc>
          <w:tcPr>
            <w:tcW w:w="1418" w:type="dxa"/>
            <w:tcBorders>
              <w:top w:val="nil"/>
              <w:left w:val="nil"/>
              <w:bottom w:val="single" w:sz="4" w:space="0" w:color="auto"/>
              <w:right w:val="single" w:sz="4" w:space="0" w:color="auto"/>
            </w:tcBorders>
            <w:shd w:val="clear" w:color="auto" w:fill="auto"/>
            <w:noWrap/>
            <w:vAlign w:val="center"/>
            <w:hideMark/>
          </w:tcPr>
          <w:p w14:paraId="223994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£1,739.66</w:t>
            </w:r>
          </w:p>
        </w:tc>
        <w:tc>
          <w:tcPr>
            <w:tcW w:w="1559" w:type="dxa"/>
            <w:tcBorders>
              <w:top w:val="nil"/>
              <w:left w:val="nil"/>
              <w:bottom w:val="single" w:sz="4" w:space="0" w:color="auto"/>
              <w:right w:val="single" w:sz="4" w:space="0" w:color="auto"/>
            </w:tcBorders>
            <w:shd w:val="clear" w:color="auto" w:fill="auto"/>
            <w:noWrap/>
            <w:vAlign w:val="center"/>
            <w:hideMark/>
          </w:tcPr>
          <w:p w14:paraId="15FC42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£1,739.66</w:t>
            </w:r>
          </w:p>
        </w:tc>
        <w:tc>
          <w:tcPr>
            <w:tcW w:w="1531" w:type="dxa"/>
            <w:tcBorders>
              <w:top w:val="nil"/>
              <w:left w:val="nil"/>
              <w:bottom w:val="single" w:sz="4" w:space="0" w:color="auto"/>
              <w:right w:val="single" w:sz="4" w:space="0" w:color="auto"/>
            </w:tcBorders>
            <w:shd w:val="clear" w:color="auto" w:fill="auto"/>
            <w:noWrap/>
            <w:vAlign w:val="center"/>
            <w:hideMark/>
          </w:tcPr>
          <w:p w14:paraId="09A1DF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£6,958.64</w:t>
            </w:r>
          </w:p>
        </w:tc>
      </w:tr>
      <w:tr w:rsidR="004433D7" w:rsidRPr="004433D7" w14:paraId="45EBF15C" w14:textId="77777777" w:rsidTr="00780608">
        <w:trPr>
          <w:trHeight w:val="4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2370E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Vattenfall Energy Trading GmbH</w:t>
            </w:r>
          </w:p>
        </w:tc>
        <w:tc>
          <w:tcPr>
            <w:tcW w:w="1418" w:type="dxa"/>
            <w:tcBorders>
              <w:top w:val="nil"/>
              <w:left w:val="nil"/>
              <w:bottom w:val="single" w:sz="4" w:space="0" w:color="auto"/>
              <w:right w:val="single" w:sz="4" w:space="0" w:color="auto"/>
            </w:tcBorders>
            <w:shd w:val="clear" w:color="auto" w:fill="auto"/>
            <w:noWrap/>
            <w:vAlign w:val="center"/>
            <w:hideMark/>
          </w:tcPr>
          <w:p w14:paraId="59AFB6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£52.73</w:t>
            </w:r>
          </w:p>
        </w:tc>
        <w:tc>
          <w:tcPr>
            <w:tcW w:w="1417" w:type="dxa"/>
            <w:tcBorders>
              <w:top w:val="nil"/>
              <w:left w:val="nil"/>
              <w:bottom w:val="single" w:sz="4" w:space="0" w:color="auto"/>
              <w:right w:val="single" w:sz="4" w:space="0" w:color="auto"/>
            </w:tcBorders>
            <w:shd w:val="clear" w:color="auto" w:fill="auto"/>
            <w:noWrap/>
            <w:vAlign w:val="center"/>
            <w:hideMark/>
          </w:tcPr>
          <w:p w14:paraId="450A38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£52.73</w:t>
            </w:r>
          </w:p>
        </w:tc>
        <w:tc>
          <w:tcPr>
            <w:tcW w:w="1559" w:type="dxa"/>
            <w:tcBorders>
              <w:top w:val="nil"/>
              <w:left w:val="nil"/>
              <w:bottom w:val="single" w:sz="4" w:space="0" w:color="auto"/>
              <w:right w:val="single" w:sz="4" w:space="0" w:color="auto"/>
            </w:tcBorders>
            <w:shd w:val="clear" w:color="auto" w:fill="auto"/>
            <w:noWrap/>
            <w:vAlign w:val="center"/>
            <w:hideMark/>
          </w:tcPr>
          <w:p w14:paraId="341373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693945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53A84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0EFAD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£52.73</w:t>
            </w:r>
          </w:p>
        </w:tc>
      </w:tr>
      <w:tr w:rsidR="004433D7" w:rsidRPr="004433D7" w14:paraId="49A6A60D"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797266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Zebra Power Limited</w:t>
            </w:r>
          </w:p>
        </w:tc>
        <w:tc>
          <w:tcPr>
            <w:tcW w:w="1418" w:type="dxa"/>
            <w:tcBorders>
              <w:top w:val="nil"/>
              <w:left w:val="nil"/>
              <w:bottom w:val="single" w:sz="4" w:space="0" w:color="auto"/>
              <w:right w:val="single" w:sz="4" w:space="0" w:color="auto"/>
            </w:tcBorders>
            <w:shd w:val="clear" w:color="auto" w:fill="auto"/>
            <w:noWrap/>
            <w:vAlign w:val="center"/>
            <w:hideMark/>
          </w:tcPr>
          <w:p w14:paraId="4CA7DD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£862.62</w:t>
            </w:r>
          </w:p>
        </w:tc>
        <w:tc>
          <w:tcPr>
            <w:tcW w:w="1417" w:type="dxa"/>
            <w:tcBorders>
              <w:top w:val="nil"/>
              <w:left w:val="nil"/>
              <w:bottom w:val="single" w:sz="4" w:space="0" w:color="auto"/>
              <w:right w:val="single" w:sz="4" w:space="0" w:color="auto"/>
            </w:tcBorders>
            <w:shd w:val="clear" w:color="auto" w:fill="auto"/>
            <w:noWrap/>
            <w:vAlign w:val="center"/>
            <w:hideMark/>
          </w:tcPr>
          <w:p w14:paraId="5ED94E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£1,483.00</w:t>
            </w:r>
          </w:p>
        </w:tc>
        <w:tc>
          <w:tcPr>
            <w:tcW w:w="1559" w:type="dxa"/>
            <w:tcBorders>
              <w:top w:val="nil"/>
              <w:left w:val="nil"/>
              <w:bottom w:val="single" w:sz="4" w:space="0" w:color="auto"/>
              <w:right w:val="single" w:sz="4" w:space="0" w:color="auto"/>
            </w:tcBorders>
            <w:shd w:val="clear" w:color="auto" w:fill="auto"/>
            <w:noWrap/>
            <w:vAlign w:val="center"/>
            <w:hideMark/>
          </w:tcPr>
          <w:p w14:paraId="51B52A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E1E9D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79457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40E91A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£1,483.00</w:t>
            </w:r>
          </w:p>
        </w:tc>
      </w:tr>
      <w:tr w:rsidR="004433D7" w:rsidRPr="004433D7" w14:paraId="172BEFE4" w14:textId="77777777" w:rsidTr="00780608">
        <w:trPr>
          <w:trHeight w:val="270"/>
        </w:trPr>
        <w:tc>
          <w:tcPr>
            <w:tcW w:w="1560" w:type="dxa"/>
            <w:tcBorders>
              <w:top w:val="nil"/>
              <w:left w:val="single" w:sz="4" w:space="0" w:color="auto"/>
              <w:bottom w:val="single" w:sz="4" w:space="0" w:color="auto"/>
              <w:right w:val="single" w:sz="4" w:space="0" w:color="auto"/>
            </w:tcBorders>
            <w:shd w:val="clear" w:color="auto" w:fill="2363AF"/>
            <w:noWrap/>
            <w:vAlign w:val="center"/>
            <w:hideMark/>
          </w:tcPr>
          <w:p w14:paraId="193D2940"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418" w:type="dxa"/>
            <w:tcBorders>
              <w:top w:val="nil"/>
              <w:left w:val="nil"/>
              <w:bottom w:val="single" w:sz="4" w:space="0" w:color="auto"/>
              <w:right w:val="single" w:sz="4" w:space="0" w:color="auto"/>
            </w:tcBorders>
            <w:shd w:val="clear" w:color="auto" w:fill="2363AF"/>
            <w:noWrap/>
            <w:vAlign w:val="center"/>
            <w:hideMark/>
          </w:tcPr>
          <w:p w14:paraId="5A643EA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£9,402,635.28</w:t>
            </w:r>
          </w:p>
        </w:tc>
        <w:tc>
          <w:tcPr>
            <w:tcW w:w="1417" w:type="dxa"/>
            <w:tcBorders>
              <w:top w:val="nil"/>
              <w:left w:val="nil"/>
              <w:bottom w:val="single" w:sz="4" w:space="0" w:color="auto"/>
              <w:right w:val="single" w:sz="4" w:space="0" w:color="auto"/>
            </w:tcBorders>
            <w:shd w:val="clear" w:color="auto" w:fill="2363AF"/>
            <w:noWrap/>
            <w:vAlign w:val="center"/>
            <w:hideMark/>
          </w:tcPr>
          <w:p w14:paraId="52C3CA81"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£2,374,565.44</w:t>
            </w:r>
          </w:p>
        </w:tc>
        <w:tc>
          <w:tcPr>
            <w:tcW w:w="1559" w:type="dxa"/>
            <w:tcBorders>
              <w:top w:val="nil"/>
              <w:left w:val="nil"/>
              <w:bottom w:val="single" w:sz="4" w:space="0" w:color="auto"/>
              <w:right w:val="single" w:sz="4" w:space="0" w:color="auto"/>
            </w:tcBorders>
            <w:shd w:val="clear" w:color="auto" w:fill="2363AF"/>
            <w:noWrap/>
            <w:vAlign w:val="center"/>
            <w:hideMark/>
          </w:tcPr>
          <w:p w14:paraId="3C3CA82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£2,343,514.18</w:t>
            </w:r>
          </w:p>
        </w:tc>
        <w:tc>
          <w:tcPr>
            <w:tcW w:w="1418" w:type="dxa"/>
            <w:tcBorders>
              <w:top w:val="nil"/>
              <w:left w:val="nil"/>
              <w:bottom w:val="single" w:sz="4" w:space="0" w:color="auto"/>
              <w:right w:val="single" w:sz="4" w:space="0" w:color="auto"/>
            </w:tcBorders>
            <w:shd w:val="clear" w:color="auto" w:fill="2363AF"/>
            <w:noWrap/>
            <w:vAlign w:val="center"/>
            <w:hideMark/>
          </w:tcPr>
          <w:p w14:paraId="7E0BD294"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£2,335,642.07</w:t>
            </w:r>
          </w:p>
        </w:tc>
        <w:tc>
          <w:tcPr>
            <w:tcW w:w="1559" w:type="dxa"/>
            <w:tcBorders>
              <w:top w:val="nil"/>
              <w:left w:val="nil"/>
              <w:bottom w:val="single" w:sz="4" w:space="0" w:color="auto"/>
              <w:right w:val="single" w:sz="4" w:space="0" w:color="auto"/>
            </w:tcBorders>
            <w:shd w:val="clear" w:color="auto" w:fill="2363AF"/>
            <w:noWrap/>
            <w:vAlign w:val="center"/>
            <w:hideMark/>
          </w:tcPr>
          <w:p w14:paraId="269A85F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£2,328,094.51</w:t>
            </w:r>
          </w:p>
        </w:tc>
        <w:tc>
          <w:tcPr>
            <w:tcW w:w="1531" w:type="dxa"/>
            <w:tcBorders>
              <w:top w:val="nil"/>
              <w:left w:val="nil"/>
              <w:bottom w:val="single" w:sz="4" w:space="0" w:color="auto"/>
              <w:right w:val="single" w:sz="4" w:space="0" w:color="auto"/>
            </w:tcBorders>
            <w:shd w:val="clear" w:color="auto" w:fill="2363AF"/>
            <w:noWrap/>
            <w:vAlign w:val="center"/>
            <w:hideMark/>
          </w:tcPr>
          <w:p w14:paraId="1112BEBC"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£9,381,816.21</w:t>
            </w:r>
          </w:p>
        </w:tc>
      </w:tr>
    </w:tbl>
    <w:p w14:paraId="4B595D58" w14:textId="77777777" w:rsidR="00017E6B" w:rsidRDefault="00017E6B">
      <w:pPr>
        <w:spacing w:line="276" w:lineRule="auto"/>
        <w:rPr>
          <w:rFonts w:cstheme="minorHAnsi"/>
        </w:rPr>
      </w:pPr>
    </w:p>
    <w:p w14:paraId="28B52B5D" w14:textId="77777777" w:rsidR="00F741F5" w:rsidRDefault="00F741F5">
      <w:pPr>
        <w:spacing w:line="276" w:lineRule="auto"/>
        <w:rPr>
          <w:rFonts w:eastAsiaTheme="minorEastAsia"/>
          <w:b/>
          <w:color w:val="000000" w:themeColor="text1"/>
        </w:rPr>
      </w:pPr>
      <w:r>
        <w:rPr>
          <w:rFonts w:eastAsiaTheme="minorEastAsia"/>
          <w:b/>
          <w:color w:val="000000" w:themeColor="text1"/>
        </w:rPr>
        <w:br w:type="page"/>
      </w:r>
    </w:p>
    <w:p w14:paraId="3EE9D414" w14:textId="6E4D5B51" w:rsidR="00017E6B" w:rsidRDefault="00017E6B" w:rsidP="00017E6B">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5</w:t>
      </w:r>
      <w:r w:rsidRPr="006B3AC6">
        <w:rPr>
          <w:rFonts w:eastAsiaTheme="minorEastAsia"/>
          <w:b/>
          <w:color w:val="000000" w:themeColor="text1"/>
        </w:rPr>
        <w:t xml:space="preserve">: </w:t>
      </w:r>
      <w:r>
        <w:rPr>
          <w:rFonts w:eastAsiaTheme="minorEastAsia"/>
          <w:b/>
          <w:color w:val="000000" w:themeColor="text1"/>
        </w:rPr>
        <w:t>RO mutualisation payment redistribution 2017-18</w:t>
      </w:r>
    </w:p>
    <w:tbl>
      <w:tblPr>
        <w:tblW w:w="10060" w:type="dxa"/>
        <w:tblLayout w:type="fixed"/>
        <w:tblLook w:val="04A0" w:firstRow="1" w:lastRow="0" w:firstColumn="1" w:lastColumn="0" w:noHBand="0" w:noVBand="1"/>
      </w:tblPr>
      <w:tblGrid>
        <w:gridCol w:w="2121"/>
        <w:gridCol w:w="1560"/>
        <w:gridCol w:w="1560"/>
        <w:gridCol w:w="1560"/>
        <w:gridCol w:w="1560"/>
        <w:gridCol w:w="1699"/>
      </w:tblGrid>
      <w:tr w:rsidR="004433D7" w:rsidRPr="004433D7" w14:paraId="1BFD36BB" w14:textId="77777777" w:rsidTr="00780608">
        <w:trPr>
          <w:trHeight w:val="420"/>
          <w:tblHeader/>
        </w:trPr>
        <w:tc>
          <w:tcPr>
            <w:tcW w:w="2121"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5D366949"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560" w:type="dxa"/>
            <w:tcBorders>
              <w:top w:val="single" w:sz="4" w:space="0" w:color="auto"/>
              <w:left w:val="nil"/>
              <w:bottom w:val="single" w:sz="4" w:space="0" w:color="auto"/>
              <w:right w:val="single" w:sz="4" w:space="0" w:color="auto"/>
            </w:tcBorders>
            <w:shd w:val="clear" w:color="auto" w:fill="2363AF"/>
            <w:vAlign w:val="center"/>
            <w:hideMark/>
          </w:tcPr>
          <w:p w14:paraId="0B72057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Q1</w:t>
            </w:r>
            <w:r w:rsidRPr="004433D7">
              <w:rPr>
                <w:rFonts w:eastAsia="Times New Roman" w:cs="Times New Roman"/>
                <w:color w:val="FFFFFF"/>
                <w:sz w:val="16"/>
                <w:szCs w:val="16"/>
              </w:rPr>
              <w:br/>
              <w:t>Redistributions</w:t>
            </w:r>
          </w:p>
        </w:tc>
        <w:tc>
          <w:tcPr>
            <w:tcW w:w="1560" w:type="dxa"/>
            <w:tcBorders>
              <w:top w:val="single" w:sz="4" w:space="0" w:color="auto"/>
              <w:left w:val="nil"/>
              <w:bottom w:val="single" w:sz="4" w:space="0" w:color="auto"/>
              <w:right w:val="single" w:sz="4" w:space="0" w:color="auto"/>
            </w:tcBorders>
            <w:shd w:val="clear" w:color="auto" w:fill="2363AF"/>
            <w:vAlign w:val="center"/>
            <w:hideMark/>
          </w:tcPr>
          <w:p w14:paraId="304867F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Q2</w:t>
            </w:r>
            <w:r w:rsidRPr="004433D7">
              <w:rPr>
                <w:rFonts w:eastAsia="Times New Roman" w:cs="Times New Roman"/>
                <w:color w:val="FFFFFF"/>
                <w:sz w:val="16"/>
                <w:szCs w:val="16"/>
              </w:rPr>
              <w:br/>
              <w:t>Redistributions</w:t>
            </w:r>
          </w:p>
        </w:tc>
        <w:tc>
          <w:tcPr>
            <w:tcW w:w="1560" w:type="dxa"/>
            <w:tcBorders>
              <w:top w:val="single" w:sz="4" w:space="0" w:color="auto"/>
              <w:left w:val="nil"/>
              <w:bottom w:val="single" w:sz="4" w:space="0" w:color="auto"/>
              <w:right w:val="single" w:sz="4" w:space="0" w:color="auto"/>
            </w:tcBorders>
            <w:shd w:val="clear" w:color="auto" w:fill="2363AF"/>
            <w:vAlign w:val="center"/>
            <w:hideMark/>
          </w:tcPr>
          <w:p w14:paraId="64C86DD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Q3</w:t>
            </w:r>
            <w:r w:rsidRPr="004433D7">
              <w:rPr>
                <w:rFonts w:eastAsia="Times New Roman" w:cs="Times New Roman"/>
                <w:color w:val="FFFFFF"/>
                <w:sz w:val="16"/>
                <w:szCs w:val="16"/>
              </w:rPr>
              <w:br/>
              <w:t>Redistributions</w:t>
            </w:r>
          </w:p>
        </w:tc>
        <w:tc>
          <w:tcPr>
            <w:tcW w:w="1560" w:type="dxa"/>
            <w:tcBorders>
              <w:top w:val="single" w:sz="4" w:space="0" w:color="auto"/>
              <w:left w:val="nil"/>
              <w:bottom w:val="single" w:sz="4" w:space="0" w:color="auto"/>
              <w:right w:val="single" w:sz="4" w:space="0" w:color="auto"/>
            </w:tcBorders>
            <w:shd w:val="clear" w:color="auto" w:fill="2363AF"/>
            <w:vAlign w:val="center"/>
            <w:hideMark/>
          </w:tcPr>
          <w:p w14:paraId="782B3436"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Q4</w:t>
            </w:r>
            <w:r w:rsidRPr="004433D7">
              <w:rPr>
                <w:rFonts w:eastAsia="Times New Roman" w:cs="Times New Roman"/>
                <w:color w:val="FFFFFF"/>
                <w:sz w:val="16"/>
                <w:szCs w:val="16"/>
              </w:rPr>
              <w:br/>
              <w:t>Redistributions</w:t>
            </w:r>
          </w:p>
        </w:tc>
        <w:tc>
          <w:tcPr>
            <w:tcW w:w="1699" w:type="dxa"/>
            <w:tcBorders>
              <w:top w:val="single" w:sz="4" w:space="0" w:color="auto"/>
              <w:left w:val="nil"/>
              <w:bottom w:val="single" w:sz="4" w:space="0" w:color="auto"/>
              <w:right w:val="single" w:sz="4" w:space="0" w:color="auto"/>
            </w:tcBorders>
            <w:shd w:val="clear" w:color="auto" w:fill="2363AF"/>
            <w:vAlign w:val="center"/>
            <w:hideMark/>
          </w:tcPr>
          <w:p w14:paraId="3F4CC49A" w14:textId="77777777" w:rsid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w:t>
            </w:r>
          </w:p>
          <w:p w14:paraId="2C7EEAAA" w14:textId="39279A0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Total redistributed</w:t>
            </w:r>
          </w:p>
        </w:tc>
      </w:tr>
      <w:tr w:rsidR="004433D7" w:rsidRPr="004433D7" w14:paraId="53681DA3"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C29558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560" w:type="dxa"/>
            <w:tcBorders>
              <w:top w:val="nil"/>
              <w:left w:val="nil"/>
              <w:bottom w:val="single" w:sz="4" w:space="0" w:color="auto"/>
              <w:right w:val="single" w:sz="4" w:space="0" w:color="auto"/>
            </w:tcBorders>
            <w:shd w:val="clear" w:color="auto" w:fill="auto"/>
            <w:noWrap/>
            <w:vAlign w:val="center"/>
            <w:hideMark/>
          </w:tcPr>
          <w:p w14:paraId="38C34C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£61,211</w:t>
            </w:r>
          </w:p>
        </w:tc>
        <w:tc>
          <w:tcPr>
            <w:tcW w:w="1560" w:type="dxa"/>
            <w:tcBorders>
              <w:top w:val="nil"/>
              <w:left w:val="nil"/>
              <w:bottom w:val="single" w:sz="4" w:space="0" w:color="auto"/>
              <w:right w:val="single" w:sz="4" w:space="0" w:color="auto"/>
            </w:tcBorders>
            <w:shd w:val="clear" w:color="auto" w:fill="auto"/>
            <w:noWrap/>
            <w:vAlign w:val="center"/>
            <w:hideMark/>
          </w:tcPr>
          <w:p w14:paraId="37495C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£60,757</w:t>
            </w:r>
          </w:p>
        </w:tc>
        <w:tc>
          <w:tcPr>
            <w:tcW w:w="1560" w:type="dxa"/>
            <w:tcBorders>
              <w:top w:val="nil"/>
              <w:left w:val="nil"/>
              <w:bottom w:val="single" w:sz="4" w:space="0" w:color="auto"/>
              <w:right w:val="single" w:sz="4" w:space="0" w:color="auto"/>
            </w:tcBorders>
            <w:shd w:val="clear" w:color="auto" w:fill="auto"/>
            <w:noWrap/>
            <w:vAlign w:val="center"/>
            <w:hideMark/>
          </w:tcPr>
          <w:p w14:paraId="145D23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£60,422</w:t>
            </w:r>
          </w:p>
        </w:tc>
        <w:tc>
          <w:tcPr>
            <w:tcW w:w="1560" w:type="dxa"/>
            <w:tcBorders>
              <w:top w:val="nil"/>
              <w:left w:val="nil"/>
              <w:bottom w:val="single" w:sz="4" w:space="0" w:color="auto"/>
              <w:right w:val="single" w:sz="4" w:space="0" w:color="auto"/>
            </w:tcBorders>
            <w:shd w:val="clear" w:color="auto" w:fill="auto"/>
            <w:noWrap/>
            <w:vAlign w:val="center"/>
            <w:hideMark/>
          </w:tcPr>
          <w:p w14:paraId="542AE2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£61,812</w:t>
            </w:r>
          </w:p>
        </w:tc>
        <w:tc>
          <w:tcPr>
            <w:tcW w:w="1699" w:type="dxa"/>
            <w:tcBorders>
              <w:top w:val="nil"/>
              <w:left w:val="nil"/>
              <w:bottom w:val="single" w:sz="4" w:space="0" w:color="auto"/>
              <w:right w:val="single" w:sz="4" w:space="0" w:color="auto"/>
            </w:tcBorders>
            <w:shd w:val="clear" w:color="auto" w:fill="auto"/>
            <w:noWrap/>
            <w:vAlign w:val="center"/>
            <w:hideMark/>
          </w:tcPr>
          <w:p w14:paraId="0C3474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£244,202</w:t>
            </w:r>
          </w:p>
        </w:tc>
      </w:tr>
      <w:tr w:rsidR="004433D7" w:rsidRPr="004433D7" w14:paraId="4A798E46"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C45DCF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560" w:type="dxa"/>
            <w:tcBorders>
              <w:top w:val="nil"/>
              <w:left w:val="nil"/>
              <w:bottom w:val="single" w:sz="4" w:space="0" w:color="auto"/>
              <w:right w:val="single" w:sz="4" w:space="0" w:color="auto"/>
            </w:tcBorders>
            <w:shd w:val="clear" w:color="auto" w:fill="auto"/>
            <w:noWrap/>
            <w:vAlign w:val="center"/>
            <w:hideMark/>
          </w:tcPr>
          <w:p w14:paraId="7F39E4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£25,261</w:t>
            </w:r>
          </w:p>
        </w:tc>
        <w:tc>
          <w:tcPr>
            <w:tcW w:w="1560" w:type="dxa"/>
            <w:tcBorders>
              <w:top w:val="nil"/>
              <w:left w:val="nil"/>
              <w:bottom w:val="single" w:sz="4" w:space="0" w:color="auto"/>
              <w:right w:val="single" w:sz="4" w:space="0" w:color="auto"/>
            </w:tcBorders>
            <w:shd w:val="clear" w:color="auto" w:fill="auto"/>
            <w:noWrap/>
            <w:vAlign w:val="center"/>
            <w:hideMark/>
          </w:tcPr>
          <w:p w14:paraId="6B0063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£25,073</w:t>
            </w:r>
          </w:p>
        </w:tc>
        <w:tc>
          <w:tcPr>
            <w:tcW w:w="1560" w:type="dxa"/>
            <w:tcBorders>
              <w:top w:val="nil"/>
              <w:left w:val="nil"/>
              <w:bottom w:val="single" w:sz="4" w:space="0" w:color="auto"/>
              <w:right w:val="single" w:sz="4" w:space="0" w:color="auto"/>
            </w:tcBorders>
            <w:shd w:val="clear" w:color="auto" w:fill="auto"/>
            <w:noWrap/>
            <w:vAlign w:val="center"/>
            <w:hideMark/>
          </w:tcPr>
          <w:p w14:paraId="08E51E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£24,935</w:t>
            </w:r>
          </w:p>
        </w:tc>
        <w:tc>
          <w:tcPr>
            <w:tcW w:w="1560" w:type="dxa"/>
            <w:tcBorders>
              <w:top w:val="nil"/>
              <w:left w:val="nil"/>
              <w:bottom w:val="single" w:sz="4" w:space="0" w:color="auto"/>
              <w:right w:val="single" w:sz="4" w:space="0" w:color="auto"/>
            </w:tcBorders>
            <w:shd w:val="clear" w:color="auto" w:fill="auto"/>
            <w:noWrap/>
            <w:vAlign w:val="center"/>
            <w:hideMark/>
          </w:tcPr>
          <w:p w14:paraId="58DC5F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£25,509</w:t>
            </w:r>
          </w:p>
        </w:tc>
        <w:tc>
          <w:tcPr>
            <w:tcW w:w="1699" w:type="dxa"/>
            <w:tcBorders>
              <w:top w:val="nil"/>
              <w:left w:val="nil"/>
              <w:bottom w:val="single" w:sz="4" w:space="0" w:color="auto"/>
              <w:right w:val="single" w:sz="4" w:space="0" w:color="auto"/>
            </w:tcBorders>
            <w:shd w:val="clear" w:color="auto" w:fill="auto"/>
            <w:noWrap/>
            <w:vAlign w:val="center"/>
            <w:hideMark/>
          </w:tcPr>
          <w:p w14:paraId="194A17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£100,778</w:t>
            </w:r>
          </w:p>
        </w:tc>
      </w:tr>
      <w:tr w:rsidR="004433D7" w:rsidRPr="004433D7" w14:paraId="5BC276DB" w14:textId="77777777" w:rsidTr="00780608">
        <w:trPr>
          <w:trHeight w:val="6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453E6E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11CDEC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£2,524</w:t>
            </w:r>
          </w:p>
        </w:tc>
        <w:tc>
          <w:tcPr>
            <w:tcW w:w="1560" w:type="dxa"/>
            <w:tcBorders>
              <w:top w:val="nil"/>
              <w:left w:val="nil"/>
              <w:bottom w:val="single" w:sz="4" w:space="0" w:color="auto"/>
              <w:right w:val="single" w:sz="4" w:space="0" w:color="auto"/>
            </w:tcBorders>
            <w:shd w:val="clear" w:color="auto" w:fill="auto"/>
            <w:noWrap/>
            <w:vAlign w:val="center"/>
            <w:hideMark/>
          </w:tcPr>
          <w:p w14:paraId="23FFA0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£2,505</w:t>
            </w:r>
          </w:p>
        </w:tc>
        <w:tc>
          <w:tcPr>
            <w:tcW w:w="1560" w:type="dxa"/>
            <w:tcBorders>
              <w:top w:val="nil"/>
              <w:left w:val="nil"/>
              <w:bottom w:val="single" w:sz="4" w:space="0" w:color="auto"/>
              <w:right w:val="single" w:sz="4" w:space="0" w:color="auto"/>
            </w:tcBorders>
            <w:shd w:val="clear" w:color="auto" w:fill="auto"/>
            <w:noWrap/>
            <w:vAlign w:val="center"/>
            <w:hideMark/>
          </w:tcPr>
          <w:p w14:paraId="20B724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£2,491</w:t>
            </w:r>
          </w:p>
        </w:tc>
        <w:tc>
          <w:tcPr>
            <w:tcW w:w="1560" w:type="dxa"/>
            <w:tcBorders>
              <w:top w:val="nil"/>
              <w:left w:val="nil"/>
              <w:bottom w:val="single" w:sz="4" w:space="0" w:color="auto"/>
              <w:right w:val="single" w:sz="4" w:space="0" w:color="auto"/>
            </w:tcBorders>
            <w:shd w:val="clear" w:color="auto" w:fill="auto"/>
            <w:noWrap/>
            <w:vAlign w:val="center"/>
            <w:hideMark/>
          </w:tcPr>
          <w:p w14:paraId="2D0844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£2,548</w:t>
            </w:r>
          </w:p>
        </w:tc>
        <w:tc>
          <w:tcPr>
            <w:tcW w:w="1699" w:type="dxa"/>
            <w:tcBorders>
              <w:top w:val="nil"/>
              <w:left w:val="nil"/>
              <w:bottom w:val="single" w:sz="4" w:space="0" w:color="auto"/>
              <w:right w:val="single" w:sz="4" w:space="0" w:color="auto"/>
            </w:tcBorders>
            <w:shd w:val="clear" w:color="auto" w:fill="auto"/>
            <w:noWrap/>
            <w:vAlign w:val="center"/>
            <w:hideMark/>
          </w:tcPr>
          <w:p w14:paraId="313F12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£10,068</w:t>
            </w:r>
          </w:p>
        </w:tc>
      </w:tr>
      <w:tr w:rsidR="004433D7" w:rsidRPr="004433D7" w14:paraId="06B74953"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E56849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560" w:type="dxa"/>
            <w:tcBorders>
              <w:top w:val="nil"/>
              <w:left w:val="nil"/>
              <w:bottom w:val="single" w:sz="4" w:space="0" w:color="auto"/>
              <w:right w:val="single" w:sz="4" w:space="0" w:color="auto"/>
            </w:tcBorders>
            <w:shd w:val="clear" w:color="auto" w:fill="auto"/>
            <w:noWrap/>
            <w:vAlign w:val="center"/>
            <w:hideMark/>
          </w:tcPr>
          <w:p w14:paraId="6829E8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£1,414,319</w:t>
            </w:r>
          </w:p>
        </w:tc>
        <w:tc>
          <w:tcPr>
            <w:tcW w:w="1560" w:type="dxa"/>
            <w:tcBorders>
              <w:top w:val="nil"/>
              <w:left w:val="nil"/>
              <w:bottom w:val="single" w:sz="4" w:space="0" w:color="auto"/>
              <w:right w:val="single" w:sz="4" w:space="0" w:color="auto"/>
            </w:tcBorders>
            <w:shd w:val="clear" w:color="auto" w:fill="auto"/>
            <w:noWrap/>
            <w:vAlign w:val="center"/>
            <w:hideMark/>
          </w:tcPr>
          <w:p w14:paraId="2AB642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£1,403,835</w:t>
            </w:r>
          </w:p>
        </w:tc>
        <w:tc>
          <w:tcPr>
            <w:tcW w:w="1560" w:type="dxa"/>
            <w:tcBorders>
              <w:top w:val="nil"/>
              <w:left w:val="nil"/>
              <w:bottom w:val="single" w:sz="4" w:space="0" w:color="auto"/>
              <w:right w:val="single" w:sz="4" w:space="0" w:color="auto"/>
            </w:tcBorders>
            <w:shd w:val="clear" w:color="auto" w:fill="auto"/>
            <w:noWrap/>
            <w:vAlign w:val="center"/>
            <w:hideMark/>
          </w:tcPr>
          <w:p w14:paraId="2D338D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£1,396,099</w:t>
            </w:r>
          </w:p>
        </w:tc>
        <w:tc>
          <w:tcPr>
            <w:tcW w:w="1560" w:type="dxa"/>
            <w:tcBorders>
              <w:top w:val="nil"/>
              <w:left w:val="nil"/>
              <w:bottom w:val="single" w:sz="4" w:space="0" w:color="auto"/>
              <w:right w:val="single" w:sz="4" w:space="0" w:color="auto"/>
            </w:tcBorders>
            <w:shd w:val="clear" w:color="auto" w:fill="auto"/>
            <w:noWrap/>
            <w:vAlign w:val="center"/>
            <w:hideMark/>
          </w:tcPr>
          <w:p w14:paraId="2DCCAD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£1,428,225</w:t>
            </w:r>
          </w:p>
        </w:tc>
        <w:tc>
          <w:tcPr>
            <w:tcW w:w="1699" w:type="dxa"/>
            <w:tcBorders>
              <w:top w:val="nil"/>
              <w:left w:val="nil"/>
              <w:bottom w:val="single" w:sz="4" w:space="0" w:color="auto"/>
              <w:right w:val="single" w:sz="4" w:space="0" w:color="auto"/>
            </w:tcBorders>
            <w:shd w:val="clear" w:color="auto" w:fill="auto"/>
            <w:noWrap/>
            <w:vAlign w:val="center"/>
            <w:hideMark/>
          </w:tcPr>
          <w:p w14:paraId="202356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£5,642,478</w:t>
            </w:r>
          </w:p>
        </w:tc>
      </w:tr>
      <w:tr w:rsidR="004433D7" w:rsidRPr="004433D7" w14:paraId="59B09AF4"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084B1B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560" w:type="dxa"/>
            <w:tcBorders>
              <w:top w:val="nil"/>
              <w:left w:val="nil"/>
              <w:bottom w:val="single" w:sz="4" w:space="0" w:color="auto"/>
              <w:right w:val="single" w:sz="4" w:space="0" w:color="auto"/>
            </w:tcBorders>
            <w:shd w:val="clear" w:color="auto" w:fill="auto"/>
            <w:noWrap/>
            <w:vAlign w:val="center"/>
            <w:hideMark/>
          </w:tcPr>
          <w:p w14:paraId="3DA1CA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£1,814</w:t>
            </w:r>
          </w:p>
        </w:tc>
        <w:tc>
          <w:tcPr>
            <w:tcW w:w="1560" w:type="dxa"/>
            <w:tcBorders>
              <w:top w:val="nil"/>
              <w:left w:val="nil"/>
              <w:bottom w:val="single" w:sz="4" w:space="0" w:color="auto"/>
              <w:right w:val="single" w:sz="4" w:space="0" w:color="auto"/>
            </w:tcBorders>
            <w:shd w:val="clear" w:color="auto" w:fill="auto"/>
            <w:noWrap/>
            <w:vAlign w:val="center"/>
            <w:hideMark/>
          </w:tcPr>
          <w:p w14:paraId="02E2DD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£1,800</w:t>
            </w:r>
          </w:p>
        </w:tc>
        <w:tc>
          <w:tcPr>
            <w:tcW w:w="1560" w:type="dxa"/>
            <w:tcBorders>
              <w:top w:val="nil"/>
              <w:left w:val="nil"/>
              <w:bottom w:val="single" w:sz="4" w:space="0" w:color="auto"/>
              <w:right w:val="single" w:sz="4" w:space="0" w:color="auto"/>
            </w:tcBorders>
            <w:shd w:val="clear" w:color="auto" w:fill="auto"/>
            <w:noWrap/>
            <w:vAlign w:val="center"/>
            <w:hideMark/>
          </w:tcPr>
          <w:p w14:paraId="544737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£1,790</w:t>
            </w:r>
          </w:p>
        </w:tc>
        <w:tc>
          <w:tcPr>
            <w:tcW w:w="1560" w:type="dxa"/>
            <w:tcBorders>
              <w:top w:val="nil"/>
              <w:left w:val="nil"/>
              <w:bottom w:val="single" w:sz="4" w:space="0" w:color="auto"/>
              <w:right w:val="single" w:sz="4" w:space="0" w:color="auto"/>
            </w:tcBorders>
            <w:shd w:val="clear" w:color="auto" w:fill="auto"/>
            <w:noWrap/>
            <w:vAlign w:val="center"/>
            <w:hideMark/>
          </w:tcPr>
          <w:p w14:paraId="4B208C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£1,832</w:t>
            </w:r>
          </w:p>
        </w:tc>
        <w:tc>
          <w:tcPr>
            <w:tcW w:w="1699" w:type="dxa"/>
            <w:tcBorders>
              <w:top w:val="nil"/>
              <w:left w:val="nil"/>
              <w:bottom w:val="single" w:sz="4" w:space="0" w:color="auto"/>
              <w:right w:val="single" w:sz="4" w:space="0" w:color="auto"/>
            </w:tcBorders>
            <w:shd w:val="clear" w:color="auto" w:fill="auto"/>
            <w:noWrap/>
            <w:vAlign w:val="center"/>
            <w:hideMark/>
          </w:tcPr>
          <w:p w14:paraId="3AC604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£7,236</w:t>
            </w:r>
          </w:p>
        </w:tc>
      </w:tr>
      <w:tr w:rsidR="004433D7" w:rsidRPr="004433D7" w14:paraId="446CDB99"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673569BD"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 (prev. Bullion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072675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£20,554</w:t>
            </w:r>
          </w:p>
        </w:tc>
        <w:tc>
          <w:tcPr>
            <w:tcW w:w="1560" w:type="dxa"/>
            <w:tcBorders>
              <w:top w:val="nil"/>
              <w:left w:val="nil"/>
              <w:bottom w:val="single" w:sz="4" w:space="0" w:color="auto"/>
              <w:right w:val="single" w:sz="4" w:space="0" w:color="auto"/>
            </w:tcBorders>
            <w:shd w:val="clear" w:color="auto" w:fill="auto"/>
            <w:noWrap/>
            <w:vAlign w:val="center"/>
            <w:hideMark/>
          </w:tcPr>
          <w:p w14:paraId="69752F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£20,401</w:t>
            </w:r>
          </w:p>
        </w:tc>
        <w:tc>
          <w:tcPr>
            <w:tcW w:w="1560" w:type="dxa"/>
            <w:tcBorders>
              <w:top w:val="nil"/>
              <w:left w:val="nil"/>
              <w:bottom w:val="single" w:sz="4" w:space="0" w:color="auto"/>
              <w:right w:val="single" w:sz="4" w:space="0" w:color="auto"/>
            </w:tcBorders>
            <w:shd w:val="clear" w:color="auto" w:fill="auto"/>
            <w:noWrap/>
            <w:vAlign w:val="center"/>
            <w:hideMark/>
          </w:tcPr>
          <w:p w14:paraId="4F9C95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£20,289</w:t>
            </w:r>
          </w:p>
        </w:tc>
        <w:tc>
          <w:tcPr>
            <w:tcW w:w="1560" w:type="dxa"/>
            <w:tcBorders>
              <w:top w:val="nil"/>
              <w:left w:val="nil"/>
              <w:bottom w:val="single" w:sz="4" w:space="0" w:color="auto"/>
              <w:right w:val="single" w:sz="4" w:space="0" w:color="auto"/>
            </w:tcBorders>
            <w:shd w:val="clear" w:color="auto" w:fill="auto"/>
            <w:noWrap/>
            <w:vAlign w:val="center"/>
            <w:hideMark/>
          </w:tcPr>
          <w:p w14:paraId="452F34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£20,756</w:t>
            </w:r>
          </w:p>
        </w:tc>
        <w:tc>
          <w:tcPr>
            <w:tcW w:w="1699" w:type="dxa"/>
            <w:tcBorders>
              <w:top w:val="nil"/>
              <w:left w:val="nil"/>
              <w:bottom w:val="single" w:sz="4" w:space="0" w:color="auto"/>
              <w:right w:val="single" w:sz="4" w:space="0" w:color="auto"/>
            </w:tcBorders>
            <w:shd w:val="clear" w:color="auto" w:fill="auto"/>
            <w:noWrap/>
            <w:vAlign w:val="center"/>
            <w:hideMark/>
          </w:tcPr>
          <w:p w14:paraId="3EFB29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£82,000</w:t>
            </w:r>
          </w:p>
        </w:tc>
      </w:tr>
      <w:tr w:rsidR="004433D7" w:rsidRPr="004433D7" w14:paraId="7E3E9AD3"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F3147E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Budget Energy Ltd</w:t>
            </w:r>
          </w:p>
        </w:tc>
        <w:tc>
          <w:tcPr>
            <w:tcW w:w="1560" w:type="dxa"/>
            <w:tcBorders>
              <w:top w:val="nil"/>
              <w:left w:val="nil"/>
              <w:bottom w:val="single" w:sz="4" w:space="0" w:color="auto"/>
              <w:right w:val="single" w:sz="4" w:space="0" w:color="auto"/>
            </w:tcBorders>
            <w:shd w:val="clear" w:color="auto" w:fill="auto"/>
            <w:noWrap/>
            <w:vAlign w:val="center"/>
            <w:hideMark/>
          </w:tcPr>
          <w:p w14:paraId="409F97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£2,794</w:t>
            </w:r>
          </w:p>
        </w:tc>
        <w:tc>
          <w:tcPr>
            <w:tcW w:w="1560" w:type="dxa"/>
            <w:tcBorders>
              <w:top w:val="nil"/>
              <w:left w:val="nil"/>
              <w:bottom w:val="single" w:sz="4" w:space="0" w:color="auto"/>
              <w:right w:val="single" w:sz="4" w:space="0" w:color="auto"/>
            </w:tcBorders>
            <w:shd w:val="clear" w:color="auto" w:fill="auto"/>
            <w:noWrap/>
            <w:vAlign w:val="center"/>
            <w:hideMark/>
          </w:tcPr>
          <w:p w14:paraId="4596E4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£2,774</w:t>
            </w:r>
          </w:p>
        </w:tc>
        <w:tc>
          <w:tcPr>
            <w:tcW w:w="1560" w:type="dxa"/>
            <w:tcBorders>
              <w:top w:val="nil"/>
              <w:left w:val="nil"/>
              <w:bottom w:val="single" w:sz="4" w:space="0" w:color="auto"/>
              <w:right w:val="single" w:sz="4" w:space="0" w:color="auto"/>
            </w:tcBorders>
            <w:shd w:val="clear" w:color="auto" w:fill="auto"/>
            <w:noWrap/>
            <w:vAlign w:val="center"/>
            <w:hideMark/>
          </w:tcPr>
          <w:p w14:paraId="48D784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£2,758</w:t>
            </w:r>
          </w:p>
        </w:tc>
        <w:tc>
          <w:tcPr>
            <w:tcW w:w="1560" w:type="dxa"/>
            <w:tcBorders>
              <w:top w:val="nil"/>
              <w:left w:val="nil"/>
              <w:bottom w:val="single" w:sz="4" w:space="0" w:color="auto"/>
              <w:right w:val="single" w:sz="4" w:space="0" w:color="auto"/>
            </w:tcBorders>
            <w:shd w:val="clear" w:color="auto" w:fill="auto"/>
            <w:noWrap/>
            <w:vAlign w:val="center"/>
            <w:hideMark/>
          </w:tcPr>
          <w:p w14:paraId="0EFE1B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£2,822</w:t>
            </w:r>
          </w:p>
        </w:tc>
        <w:tc>
          <w:tcPr>
            <w:tcW w:w="1699" w:type="dxa"/>
            <w:tcBorders>
              <w:top w:val="nil"/>
              <w:left w:val="nil"/>
              <w:bottom w:val="single" w:sz="4" w:space="0" w:color="auto"/>
              <w:right w:val="single" w:sz="4" w:space="0" w:color="auto"/>
            </w:tcBorders>
            <w:shd w:val="clear" w:color="auto" w:fill="auto"/>
            <w:noWrap/>
            <w:vAlign w:val="center"/>
            <w:hideMark/>
          </w:tcPr>
          <w:p w14:paraId="456993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£11,148</w:t>
            </w:r>
          </w:p>
        </w:tc>
      </w:tr>
      <w:tr w:rsidR="004433D7" w:rsidRPr="004433D7" w14:paraId="4E83DBE0"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2C68D2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560" w:type="dxa"/>
            <w:tcBorders>
              <w:top w:val="nil"/>
              <w:left w:val="nil"/>
              <w:bottom w:val="single" w:sz="4" w:space="0" w:color="auto"/>
              <w:right w:val="single" w:sz="4" w:space="0" w:color="auto"/>
            </w:tcBorders>
            <w:shd w:val="clear" w:color="auto" w:fill="auto"/>
            <w:noWrap/>
            <w:vAlign w:val="center"/>
            <w:hideMark/>
          </w:tcPr>
          <w:p w14:paraId="562319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£750</w:t>
            </w:r>
          </w:p>
        </w:tc>
        <w:tc>
          <w:tcPr>
            <w:tcW w:w="1560" w:type="dxa"/>
            <w:tcBorders>
              <w:top w:val="nil"/>
              <w:left w:val="nil"/>
              <w:bottom w:val="single" w:sz="4" w:space="0" w:color="auto"/>
              <w:right w:val="single" w:sz="4" w:space="0" w:color="auto"/>
            </w:tcBorders>
            <w:shd w:val="clear" w:color="auto" w:fill="auto"/>
            <w:noWrap/>
            <w:vAlign w:val="center"/>
            <w:hideMark/>
          </w:tcPr>
          <w:p w14:paraId="1B9E72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£744</w:t>
            </w:r>
          </w:p>
        </w:tc>
        <w:tc>
          <w:tcPr>
            <w:tcW w:w="1560" w:type="dxa"/>
            <w:tcBorders>
              <w:top w:val="nil"/>
              <w:left w:val="nil"/>
              <w:bottom w:val="single" w:sz="4" w:space="0" w:color="auto"/>
              <w:right w:val="single" w:sz="4" w:space="0" w:color="auto"/>
            </w:tcBorders>
            <w:shd w:val="clear" w:color="auto" w:fill="auto"/>
            <w:noWrap/>
            <w:vAlign w:val="center"/>
            <w:hideMark/>
          </w:tcPr>
          <w:p w14:paraId="28ABA1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£740</w:t>
            </w:r>
          </w:p>
        </w:tc>
        <w:tc>
          <w:tcPr>
            <w:tcW w:w="1560" w:type="dxa"/>
            <w:tcBorders>
              <w:top w:val="nil"/>
              <w:left w:val="nil"/>
              <w:bottom w:val="single" w:sz="4" w:space="0" w:color="auto"/>
              <w:right w:val="single" w:sz="4" w:space="0" w:color="auto"/>
            </w:tcBorders>
            <w:shd w:val="clear" w:color="auto" w:fill="auto"/>
            <w:noWrap/>
            <w:vAlign w:val="center"/>
            <w:hideMark/>
          </w:tcPr>
          <w:p w14:paraId="5B6815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£757</w:t>
            </w:r>
          </w:p>
        </w:tc>
        <w:tc>
          <w:tcPr>
            <w:tcW w:w="1699" w:type="dxa"/>
            <w:tcBorders>
              <w:top w:val="nil"/>
              <w:left w:val="nil"/>
              <w:bottom w:val="single" w:sz="4" w:space="0" w:color="auto"/>
              <w:right w:val="single" w:sz="4" w:space="0" w:color="auto"/>
            </w:tcBorders>
            <w:shd w:val="clear" w:color="auto" w:fill="auto"/>
            <w:noWrap/>
            <w:vAlign w:val="center"/>
            <w:hideMark/>
          </w:tcPr>
          <w:p w14:paraId="4319C4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£2,991</w:t>
            </w:r>
          </w:p>
        </w:tc>
      </w:tr>
      <w:tr w:rsidR="004433D7" w:rsidRPr="004433D7" w14:paraId="4815CB24"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3970B7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CNG Electricity Limited</w:t>
            </w:r>
          </w:p>
        </w:tc>
        <w:tc>
          <w:tcPr>
            <w:tcW w:w="1560" w:type="dxa"/>
            <w:tcBorders>
              <w:top w:val="nil"/>
              <w:left w:val="nil"/>
              <w:bottom w:val="single" w:sz="4" w:space="0" w:color="auto"/>
              <w:right w:val="single" w:sz="4" w:space="0" w:color="auto"/>
            </w:tcBorders>
            <w:shd w:val="clear" w:color="auto" w:fill="auto"/>
            <w:noWrap/>
            <w:vAlign w:val="center"/>
            <w:hideMark/>
          </w:tcPr>
          <w:p w14:paraId="449F03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560" w:type="dxa"/>
            <w:tcBorders>
              <w:top w:val="nil"/>
              <w:left w:val="nil"/>
              <w:bottom w:val="single" w:sz="4" w:space="0" w:color="auto"/>
              <w:right w:val="single" w:sz="4" w:space="0" w:color="auto"/>
            </w:tcBorders>
            <w:shd w:val="clear" w:color="auto" w:fill="auto"/>
            <w:noWrap/>
            <w:vAlign w:val="center"/>
            <w:hideMark/>
          </w:tcPr>
          <w:p w14:paraId="2365BF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560" w:type="dxa"/>
            <w:tcBorders>
              <w:top w:val="nil"/>
              <w:left w:val="nil"/>
              <w:bottom w:val="single" w:sz="4" w:space="0" w:color="auto"/>
              <w:right w:val="single" w:sz="4" w:space="0" w:color="auto"/>
            </w:tcBorders>
            <w:shd w:val="clear" w:color="auto" w:fill="auto"/>
            <w:noWrap/>
            <w:vAlign w:val="center"/>
            <w:hideMark/>
          </w:tcPr>
          <w:p w14:paraId="118025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560" w:type="dxa"/>
            <w:tcBorders>
              <w:top w:val="nil"/>
              <w:left w:val="nil"/>
              <w:bottom w:val="single" w:sz="4" w:space="0" w:color="auto"/>
              <w:right w:val="single" w:sz="4" w:space="0" w:color="auto"/>
            </w:tcBorders>
            <w:shd w:val="clear" w:color="auto" w:fill="auto"/>
            <w:noWrap/>
            <w:vAlign w:val="center"/>
            <w:hideMark/>
          </w:tcPr>
          <w:p w14:paraId="7C2435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699" w:type="dxa"/>
            <w:tcBorders>
              <w:top w:val="nil"/>
              <w:left w:val="nil"/>
              <w:bottom w:val="single" w:sz="4" w:space="0" w:color="auto"/>
              <w:right w:val="single" w:sz="4" w:space="0" w:color="auto"/>
            </w:tcBorders>
            <w:shd w:val="clear" w:color="auto" w:fill="auto"/>
            <w:noWrap/>
            <w:vAlign w:val="center"/>
            <w:hideMark/>
          </w:tcPr>
          <w:p w14:paraId="14241A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w:t>
            </w:r>
          </w:p>
        </w:tc>
      </w:tr>
      <w:tr w:rsidR="004433D7" w:rsidRPr="004433D7" w14:paraId="5482DB42"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71F093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4CB1FE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£86,387</w:t>
            </w:r>
          </w:p>
        </w:tc>
        <w:tc>
          <w:tcPr>
            <w:tcW w:w="1560" w:type="dxa"/>
            <w:tcBorders>
              <w:top w:val="nil"/>
              <w:left w:val="nil"/>
              <w:bottom w:val="single" w:sz="4" w:space="0" w:color="auto"/>
              <w:right w:val="single" w:sz="4" w:space="0" w:color="auto"/>
            </w:tcBorders>
            <w:shd w:val="clear" w:color="auto" w:fill="auto"/>
            <w:noWrap/>
            <w:vAlign w:val="center"/>
            <w:hideMark/>
          </w:tcPr>
          <w:p w14:paraId="637DDE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£85,746</w:t>
            </w:r>
          </w:p>
        </w:tc>
        <w:tc>
          <w:tcPr>
            <w:tcW w:w="1560" w:type="dxa"/>
            <w:tcBorders>
              <w:top w:val="nil"/>
              <w:left w:val="nil"/>
              <w:bottom w:val="single" w:sz="4" w:space="0" w:color="auto"/>
              <w:right w:val="single" w:sz="4" w:space="0" w:color="auto"/>
            </w:tcBorders>
            <w:shd w:val="clear" w:color="auto" w:fill="auto"/>
            <w:noWrap/>
            <w:vAlign w:val="center"/>
            <w:hideMark/>
          </w:tcPr>
          <w:p w14:paraId="6EDC17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£85,274</w:t>
            </w:r>
          </w:p>
        </w:tc>
        <w:tc>
          <w:tcPr>
            <w:tcW w:w="1560" w:type="dxa"/>
            <w:tcBorders>
              <w:top w:val="nil"/>
              <w:left w:val="nil"/>
              <w:bottom w:val="single" w:sz="4" w:space="0" w:color="auto"/>
              <w:right w:val="single" w:sz="4" w:space="0" w:color="auto"/>
            </w:tcBorders>
            <w:shd w:val="clear" w:color="auto" w:fill="auto"/>
            <w:noWrap/>
            <w:vAlign w:val="center"/>
            <w:hideMark/>
          </w:tcPr>
          <w:p w14:paraId="0C8A31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£87,236</w:t>
            </w:r>
          </w:p>
        </w:tc>
        <w:tc>
          <w:tcPr>
            <w:tcW w:w="1699" w:type="dxa"/>
            <w:tcBorders>
              <w:top w:val="nil"/>
              <w:left w:val="nil"/>
              <w:bottom w:val="single" w:sz="4" w:space="0" w:color="auto"/>
              <w:right w:val="single" w:sz="4" w:space="0" w:color="auto"/>
            </w:tcBorders>
            <w:shd w:val="clear" w:color="auto" w:fill="auto"/>
            <w:noWrap/>
            <w:vAlign w:val="center"/>
            <w:hideMark/>
          </w:tcPr>
          <w:p w14:paraId="2C9112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£344,643</w:t>
            </w:r>
          </w:p>
        </w:tc>
      </w:tr>
      <w:tr w:rsidR="004433D7" w:rsidRPr="004433D7" w14:paraId="49D2C750"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B2259D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5 Limited</w:t>
            </w:r>
          </w:p>
        </w:tc>
        <w:tc>
          <w:tcPr>
            <w:tcW w:w="1560" w:type="dxa"/>
            <w:tcBorders>
              <w:top w:val="nil"/>
              <w:left w:val="nil"/>
              <w:bottom w:val="single" w:sz="4" w:space="0" w:color="auto"/>
              <w:right w:val="single" w:sz="4" w:space="0" w:color="auto"/>
            </w:tcBorders>
            <w:shd w:val="clear" w:color="auto" w:fill="auto"/>
            <w:noWrap/>
            <w:vAlign w:val="center"/>
            <w:hideMark/>
          </w:tcPr>
          <w:p w14:paraId="2FDDE9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w:t>
            </w:r>
          </w:p>
        </w:tc>
        <w:tc>
          <w:tcPr>
            <w:tcW w:w="1560" w:type="dxa"/>
            <w:tcBorders>
              <w:top w:val="nil"/>
              <w:left w:val="nil"/>
              <w:bottom w:val="single" w:sz="4" w:space="0" w:color="auto"/>
              <w:right w:val="single" w:sz="4" w:space="0" w:color="auto"/>
            </w:tcBorders>
            <w:shd w:val="clear" w:color="auto" w:fill="auto"/>
            <w:noWrap/>
            <w:vAlign w:val="center"/>
            <w:hideMark/>
          </w:tcPr>
          <w:p w14:paraId="6F4422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£622</w:t>
            </w:r>
          </w:p>
        </w:tc>
        <w:tc>
          <w:tcPr>
            <w:tcW w:w="1560" w:type="dxa"/>
            <w:tcBorders>
              <w:top w:val="nil"/>
              <w:left w:val="nil"/>
              <w:bottom w:val="single" w:sz="4" w:space="0" w:color="auto"/>
              <w:right w:val="single" w:sz="4" w:space="0" w:color="auto"/>
            </w:tcBorders>
            <w:shd w:val="clear" w:color="auto" w:fill="auto"/>
            <w:noWrap/>
            <w:vAlign w:val="center"/>
            <w:hideMark/>
          </w:tcPr>
          <w:p w14:paraId="23FD86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w:t>
            </w:r>
          </w:p>
        </w:tc>
        <w:tc>
          <w:tcPr>
            <w:tcW w:w="1560" w:type="dxa"/>
            <w:tcBorders>
              <w:top w:val="nil"/>
              <w:left w:val="nil"/>
              <w:bottom w:val="single" w:sz="4" w:space="0" w:color="auto"/>
              <w:right w:val="single" w:sz="4" w:space="0" w:color="auto"/>
            </w:tcBorders>
            <w:shd w:val="clear" w:color="auto" w:fill="auto"/>
            <w:noWrap/>
            <w:vAlign w:val="center"/>
            <w:hideMark/>
          </w:tcPr>
          <w:p w14:paraId="502F7E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£632</w:t>
            </w:r>
          </w:p>
        </w:tc>
        <w:tc>
          <w:tcPr>
            <w:tcW w:w="1699" w:type="dxa"/>
            <w:tcBorders>
              <w:top w:val="nil"/>
              <w:left w:val="nil"/>
              <w:bottom w:val="single" w:sz="4" w:space="0" w:color="auto"/>
              <w:right w:val="single" w:sz="4" w:space="0" w:color="auto"/>
            </w:tcBorders>
            <w:shd w:val="clear" w:color="auto" w:fill="auto"/>
            <w:noWrap/>
            <w:vAlign w:val="center"/>
            <w:hideMark/>
          </w:tcPr>
          <w:p w14:paraId="491BC7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£2,498</w:t>
            </w:r>
          </w:p>
        </w:tc>
      </w:tr>
      <w:tr w:rsidR="004433D7" w:rsidRPr="004433D7" w14:paraId="274CC932"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635229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Dong Energy Power Sales UK Limited</w:t>
            </w:r>
          </w:p>
        </w:tc>
        <w:tc>
          <w:tcPr>
            <w:tcW w:w="1560" w:type="dxa"/>
            <w:tcBorders>
              <w:top w:val="nil"/>
              <w:left w:val="nil"/>
              <w:bottom w:val="single" w:sz="4" w:space="0" w:color="auto"/>
              <w:right w:val="single" w:sz="4" w:space="0" w:color="auto"/>
            </w:tcBorders>
            <w:shd w:val="clear" w:color="auto" w:fill="auto"/>
            <w:noWrap/>
            <w:vAlign w:val="center"/>
            <w:hideMark/>
          </w:tcPr>
          <w:p w14:paraId="2F7C4B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£151,660</w:t>
            </w:r>
          </w:p>
        </w:tc>
        <w:tc>
          <w:tcPr>
            <w:tcW w:w="1560" w:type="dxa"/>
            <w:tcBorders>
              <w:top w:val="nil"/>
              <w:left w:val="nil"/>
              <w:bottom w:val="single" w:sz="4" w:space="0" w:color="auto"/>
              <w:right w:val="single" w:sz="4" w:space="0" w:color="auto"/>
            </w:tcBorders>
            <w:shd w:val="clear" w:color="auto" w:fill="auto"/>
            <w:noWrap/>
            <w:vAlign w:val="center"/>
            <w:hideMark/>
          </w:tcPr>
          <w:p w14:paraId="4E666F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£150,536</w:t>
            </w:r>
          </w:p>
        </w:tc>
        <w:tc>
          <w:tcPr>
            <w:tcW w:w="1560" w:type="dxa"/>
            <w:tcBorders>
              <w:top w:val="nil"/>
              <w:left w:val="nil"/>
              <w:bottom w:val="single" w:sz="4" w:space="0" w:color="auto"/>
              <w:right w:val="single" w:sz="4" w:space="0" w:color="auto"/>
            </w:tcBorders>
            <w:shd w:val="clear" w:color="auto" w:fill="auto"/>
            <w:noWrap/>
            <w:vAlign w:val="center"/>
            <w:hideMark/>
          </w:tcPr>
          <w:p w14:paraId="4AC72E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£149,706</w:t>
            </w:r>
          </w:p>
        </w:tc>
        <w:tc>
          <w:tcPr>
            <w:tcW w:w="1560" w:type="dxa"/>
            <w:tcBorders>
              <w:top w:val="nil"/>
              <w:left w:val="nil"/>
              <w:bottom w:val="single" w:sz="4" w:space="0" w:color="auto"/>
              <w:right w:val="single" w:sz="4" w:space="0" w:color="auto"/>
            </w:tcBorders>
            <w:shd w:val="clear" w:color="auto" w:fill="auto"/>
            <w:noWrap/>
            <w:vAlign w:val="center"/>
            <w:hideMark/>
          </w:tcPr>
          <w:p w14:paraId="56607F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£153,151</w:t>
            </w:r>
          </w:p>
        </w:tc>
        <w:tc>
          <w:tcPr>
            <w:tcW w:w="1699" w:type="dxa"/>
            <w:tcBorders>
              <w:top w:val="nil"/>
              <w:left w:val="nil"/>
              <w:bottom w:val="single" w:sz="4" w:space="0" w:color="auto"/>
              <w:right w:val="single" w:sz="4" w:space="0" w:color="auto"/>
            </w:tcBorders>
            <w:shd w:val="clear" w:color="auto" w:fill="auto"/>
            <w:noWrap/>
            <w:vAlign w:val="center"/>
            <w:hideMark/>
          </w:tcPr>
          <w:p w14:paraId="4F0C56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£605,053</w:t>
            </w:r>
          </w:p>
        </w:tc>
      </w:tr>
      <w:tr w:rsidR="004433D7" w:rsidRPr="004433D7" w14:paraId="7245A83A"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7CF52A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560" w:type="dxa"/>
            <w:tcBorders>
              <w:top w:val="nil"/>
              <w:left w:val="nil"/>
              <w:bottom w:val="single" w:sz="4" w:space="0" w:color="auto"/>
              <w:right w:val="single" w:sz="4" w:space="0" w:color="auto"/>
            </w:tcBorders>
            <w:shd w:val="clear" w:color="auto" w:fill="auto"/>
            <w:noWrap/>
            <w:vAlign w:val="center"/>
            <w:hideMark/>
          </w:tcPr>
          <w:p w14:paraId="77A312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£41,974</w:t>
            </w:r>
          </w:p>
        </w:tc>
        <w:tc>
          <w:tcPr>
            <w:tcW w:w="1560" w:type="dxa"/>
            <w:tcBorders>
              <w:top w:val="nil"/>
              <w:left w:val="nil"/>
              <w:bottom w:val="single" w:sz="4" w:space="0" w:color="auto"/>
              <w:right w:val="single" w:sz="4" w:space="0" w:color="auto"/>
            </w:tcBorders>
            <w:shd w:val="clear" w:color="auto" w:fill="auto"/>
            <w:noWrap/>
            <w:vAlign w:val="center"/>
            <w:hideMark/>
          </w:tcPr>
          <w:p w14:paraId="46183A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£41,663</w:t>
            </w:r>
          </w:p>
        </w:tc>
        <w:tc>
          <w:tcPr>
            <w:tcW w:w="1560" w:type="dxa"/>
            <w:tcBorders>
              <w:top w:val="nil"/>
              <w:left w:val="nil"/>
              <w:bottom w:val="single" w:sz="4" w:space="0" w:color="auto"/>
              <w:right w:val="single" w:sz="4" w:space="0" w:color="auto"/>
            </w:tcBorders>
            <w:shd w:val="clear" w:color="auto" w:fill="auto"/>
            <w:noWrap/>
            <w:vAlign w:val="center"/>
            <w:hideMark/>
          </w:tcPr>
          <w:p w14:paraId="2A9298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£41,434</w:t>
            </w:r>
          </w:p>
        </w:tc>
        <w:tc>
          <w:tcPr>
            <w:tcW w:w="1560" w:type="dxa"/>
            <w:tcBorders>
              <w:top w:val="nil"/>
              <w:left w:val="nil"/>
              <w:bottom w:val="single" w:sz="4" w:space="0" w:color="auto"/>
              <w:right w:val="single" w:sz="4" w:space="0" w:color="auto"/>
            </w:tcBorders>
            <w:shd w:val="clear" w:color="auto" w:fill="auto"/>
            <w:noWrap/>
            <w:vAlign w:val="center"/>
            <w:hideMark/>
          </w:tcPr>
          <w:p w14:paraId="54F96A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£42,387</w:t>
            </w:r>
          </w:p>
        </w:tc>
        <w:tc>
          <w:tcPr>
            <w:tcW w:w="1699" w:type="dxa"/>
            <w:tcBorders>
              <w:top w:val="nil"/>
              <w:left w:val="nil"/>
              <w:bottom w:val="single" w:sz="4" w:space="0" w:color="auto"/>
              <w:right w:val="single" w:sz="4" w:space="0" w:color="auto"/>
            </w:tcBorders>
            <w:shd w:val="clear" w:color="auto" w:fill="auto"/>
            <w:noWrap/>
            <w:vAlign w:val="center"/>
            <w:hideMark/>
          </w:tcPr>
          <w:p w14:paraId="7F7623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£167,458</w:t>
            </w:r>
          </w:p>
        </w:tc>
      </w:tr>
      <w:tr w:rsidR="004433D7" w:rsidRPr="004433D7" w14:paraId="4904F6CA" w14:textId="77777777" w:rsidTr="00780608">
        <w:trPr>
          <w:trHeight w:val="454"/>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553BD7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 (Gas and Electricity) Limited</w:t>
            </w:r>
          </w:p>
        </w:tc>
        <w:tc>
          <w:tcPr>
            <w:tcW w:w="1560" w:type="dxa"/>
            <w:tcBorders>
              <w:top w:val="nil"/>
              <w:left w:val="nil"/>
              <w:bottom w:val="single" w:sz="4" w:space="0" w:color="auto"/>
              <w:right w:val="single" w:sz="4" w:space="0" w:color="auto"/>
            </w:tcBorders>
            <w:shd w:val="clear" w:color="auto" w:fill="auto"/>
            <w:noWrap/>
            <w:vAlign w:val="center"/>
            <w:hideMark/>
          </w:tcPr>
          <w:p w14:paraId="28987C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£22,607</w:t>
            </w:r>
          </w:p>
        </w:tc>
        <w:tc>
          <w:tcPr>
            <w:tcW w:w="1560" w:type="dxa"/>
            <w:tcBorders>
              <w:top w:val="nil"/>
              <w:left w:val="nil"/>
              <w:bottom w:val="single" w:sz="4" w:space="0" w:color="auto"/>
              <w:right w:val="single" w:sz="4" w:space="0" w:color="auto"/>
            </w:tcBorders>
            <w:shd w:val="clear" w:color="auto" w:fill="auto"/>
            <w:noWrap/>
            <w:vAlign w:val="center"/>
            <w:hideMark/>
          </w:tcPr>
          <w:p w14:paraId="7CFDBC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£22,439</w:t>
            </w:r>
          </w:p>
        </w:tc>
        <w:tc>
          <w:tcPr>
            <w:tcW w:w="1560" w:type="dxa"/>
            <w:tcBorders>
              <w:top w:val="nil"/>
              <w:left w:val="nil"/>
              <w:bottom w:val="single" w:sz="4" w:space="0" w:color="auto"/>
              <w:right w:val="single" w:sz="4" w:space="0" w:color="auto"/>
            </w:tcBorders>
            <w:shd w:val="clear" w:color="auto" w:fill="auto"/>
            <w:noWrap/>
            <w:vAlign w:val="center"/>
            <w:hideMark/>
          </w:tcPr>
          <w:p w14:paraId="2D3B5F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£22,316</w:t>
            </w:r>
          </w:p>
        </w:tc>
        <w:tc>
          <w:tcPr>
            <w:tcW w:w="1560" w:type="dxa"/>
            <w:tcBorders>
              <w:top w:val="nil"/>
              <w:left w:val="nil"/>
              <w:bottom w:val="single" w:sz="4" w:space="0" w:color="auto"/>
              <w:right w:val="single" w:sz="4" w:space="0" w:color="auto"/>
            </w:tcBorders>
            <w:shd w:val="clear" w:color="auto" w:fill="auto"/>
            <w:noWrap/>
            <w:vAlign w:val="center"/>
            <w:hideMark/>
          </w:tcPr>
          <w:p w14:paraId="59BB91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£22,829</w:t>
            </w:r>
          </w:p>
        </w:tc>
        <w:tc>
          <w:tcPr>
            <w:tcW w:w="1699" w:type="dxa"/>
            <w:tcBorders>
              <w:top w:val="nil"/>
              <w:left w:val="nil"/>
              <w:bottom w:val="single" w:sz="4" w:space="0" w:color="auto"/>
              <w:right w:val="single" w:sz="4" w:space="0" w:color="auto"/>
            </w:tcBorders>
            <w:shd w:val="clear" w:color="auto" w:fill="auto"/>
            <w:noWrap/>
            <w:vAlign w:val="center"/>
            <w:hideMark/>
          </w:tcPr>
          <w:p w14:paraId="0BD36C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£90,191</w:t>
            </w:r>
          </w:p>
        </w:tc>
      </w:tr>
      <w:tr w:rsidR="004433D7" w:rsidRPr="004433D7" w14:paraId="02B9A426"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E7C714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560" w:type="dxa"/>
            <w:tcBorders>
              <w:top w:val="nil"/>
              <w:left w:val="nil"/>
              <w:bottom w:val="single" w:sz="4" w:space="0" w:color="auto"/>
              <w:right w:val="single" w:sz="4" w:space="0" w:color="auto"/>
            </w:tcBorders>
            <w:shd w:val="clear" w:color="auto" w:fill="auto"/>
            <w:noWrap/>
            <w:vAlign w:val="center"/>
            <w:hideMark/>
          </w:tcPr>
          <w:p w14:paraId="6713B9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£952,566</w:t>
            </w:r>
          </w:p>
        </w:tc>
        <w:tc>
          <w:tcPr>
            <w:tcW w:w="1560" w:type="dxa"/>
            <w:tcBorders>
              <w:top w:val="nil"/>
              <w:left w:val="nil"/>
              <w:bottom w:val="single" w:sz="4" w:space="0" w:color="auto"/>
              <w:right w:val="single" w:sz="4" w:space="0" w:color="auto"/>
            </w:tcBorders>
            <w:shd w:val="clear" w:color="auto" w:fill="auto"/>
            <w:noWrap/>
            <w:vAlign w:val="center"/>
            <w:hideMark/>
          </w:tcPr>
          <w:p w14:paraId="7AD12F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£945,505</w:t>
            </w:r>
          </w:p>
        </w:tc>
        <w:tc>
          <w:tcPr>
            <w:tcW w:w="1560" w:type="dxa"/>
            <w:tcBorders>
              <w:top w:val="nil"/>
              <w:left w:val="nil"/>
              <w:bottom w:val="single" w:sz="4" w:space="0" w:color="auto"/>
              <w:right w:val="single" w:sz="4" w:space="0" w:color="auto"/>
            </w:tcBorders>
            <w:shd w:val="clear" w:color="auto" w:fill="auto"/>
            <w:noWrap/>
            <w:vAlign w:val="center"/>
            <w:hideMark/>
          </w:tcPr>
          <w:p w14:paraId="460565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£940,294</w:t>
            </w:r>
          </w:p>
        </w:tc>
        <w:tc>
          <w:tcPr>
            <w:tcW w:w="1560" w:type="dxa"/>
            <w:tcBorders>
              <w:top w:val="nil"/>
              <w:left w:val="nil"/>
              <w:bottom w:val="single" w:sz="4" w:space="0" w:color="auto"/>
              <w:right w:val="single" w:sz="4" w:space="0" w:color="auto"/>
            </w:tcBorders>
            <w:shd w:val="clear" w:color="auto" w:fill="auto"/>
            <w:noWrap/>
            <w:vAlign w:val="center"/>
            <w:hideMark/>
          </w:tcPr>
          <w:p w14:paraId="5812B5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£961,932</w:t>
            </w:r>
          </w:p>
        </w:tc>
        <w:tc>
          <w:tcPr>
            <w:tcW w:w="1699" w:type="dxa"/>
            <w:tcBorders>
              <w:top w:val="nil"/>
              <w:left w:val="nil"/>
              <w:bottom w:val="single" w:sz="4" w:space="0" w:color="auto"/>
              <w:right w:val="single" w:sz="4" w:space="0" w:color="auto"/>
            </w:tcBorders>
            <w:shd w:val="clear" w:color="auto" w:fill="auto"/>
            <w:noWrap/>
            <w:vAlign w:val="center"/>
            <w:hideMark/>
          </w:tcPr>
          <w:p w14:paraId="60CF108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£3,800,297</w:t>
            </w:r>
          </w:p>
        </w:tc>
      </w:tr>
      <w:tr w:rsidR="004433D7" w:rsidRPr="004433D7" w14:paraId="31CC5AAB"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26DAF38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560" w:type="dxa"/>
            <w:tcBorders>
              <w:top w:val="nil"/>
              <w:left w:val="nil"/>
              <w:bottom w:val="single" w:sz="4" w:space="0" w:color="auto"/>
              <w:right w:val="single" w:sz="4" w:space="0" w:color="auto"/>
            </w:tcBorders>
            <w:shd w:val="clear" w:color="auto" w:fill="auto"/>
            <w:noWrap/>
            <w:vAlign w:val="center"/>
            <w:hideMark/>
          </w:tcPr>
          <w:p w14:paraId="38BCBA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£743,772</w:t>
            </w:r>
          </w:p>
        </w:tc>
        <w:tc>
          <w:tcPr>
            <w:tcW w:w="1560" w:type="dxa"/>
            <w:tcBorders>
              <w:top w:val="nil"/>
              <w:left w:val="nil"/>
              <w:bottom w:val="single" w:sz="4" w:space="0" w:color="auto"/>
              <w:right w:val="single" w:sz="4" w:space="0" w:color="auto"/>
            </w:tcBorders>
            <w:shd w:val="clear" w:color="auto" w:fill="auto"/>
            <w:noWrap/>
            <w:vAlign w:val="center"/>
            <w:hideMark/>
          </w:tcPr>
          <w:p w14:paraId="3B56AB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£738,259</w:t>
            </w:r>
          </w:p>
        </w:tc>
        <w:tc>
          <w:tcPr>
            <w:tcW w:w="1560" w:type="dxa"/>
            <w:tcBorders>
              <w:top w:val="nil"/>
              <w:left w:val="nil"/>
              <w:bottom w:val="single" w:sz="4" w:space="0" w:color="auto"/>
              <w:right w:val="single" w:sz="4" w:space="0" w:color="auto"/>
            </w:tcBorders>
            <w:shd w:val="clear" w:color="auto" w:fill="auto"/>
            <w:noWrap/>
            <w:vAlign w:val="center"/>
            <w:hideMark/>
          </w:tcPr>
          <w:p w14:paraId="070AB2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£734,190</w:t>
            </w:r>
          </w:p>
        </w:tc>
        <w:tc>
          <w:tcPr>
            <w:tcW w:w="1560" w:type="dxa"/>
            <w:tcBorders>
              <w:top w:val="nil"/>
              <w:left w:val="nil"/>
              <w:bottom w:val="single" w:sz="4" w:space="0" w:color="auto"/>
              <w:right w:val="single" w:sz="4" w:space="0" w:color="auto"/>
            </w:tcBorders>
            <w:shd w:val="clear" w:color="auto" w:fill="auto"/>
            <w:noWrap/>
            <w:vAlign w:val="center"/>
            <w:hideMark/>
          </w:tcPr>
          <w:p w14:paraId="4075FF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£751,085</w:t>
            </w:r>
          </w:p>
        </w:tc>
        <w:tc>
          <w:tcPr>
            <w:tcW w:w="1699" w:type="dxa"/>
            <w:tcBorders>
              <w:top w:val="nil"/>
              <w:left w:val="nil"/>
              <w:bottom w:val="single" w:sz="4" w:space="0" w:color="auto"/>
              <w:right w:val="single" w:sz="4" w:space="0" w:color="auto"/>
            </w:tcBorders>
            <w:shd w:val="clear" w:color="auto" w:fill="auto"/>
            <w:noWrap/>
            <w:vAlign w:val="center"/>
            <w:hideMark/>
          </w:tcPr>
          <w:p w14:paraId="09D7AB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£2,967,306</w:t>
            </w:r>
          </w:p>
        </w:tc>
      </w:tr>
      <w:tr w:rsidR="004433D7" w:rsidRPr="004433D7" w14:paraId="68673CBE"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7BF118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560" w:type="dxa"/>
            <w:tcBorders>
              <w:top w:val="nil"/>
              <w:left w:val="nil"/>
              <w:bottom w:val="single" w:sz="4" w:space="0" w:color="auto"/>
              <w:right w:val="single" w:sz="4" w:space="0" w:color="auto"/>
            </w:tcBorders>
            <w:shd w:val="clear" w:color="auto" w:fill="auto"/>
            <w:noWrap/>
            <w:vAlign w:val="center"/>
            <w:hideMark/>
          </w:tcPr>
          <w:p w14:paraId="480F9B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£452</w:t>
            </w:r>
          </w:p>
        </w:tc>
        <w:tc>
          <w:tcPr>
            <w:tcW w:w="1560" w:type="dxa"/>
            <w:tcBorders>
              <w:top w:val="nil"/>
              <w:left w:val="nil"/>
              <w:bottom w:val="single" w:sz="4" w:space="0" w:color="auto"/>
              <w:right w:val="single" w:sz="4" w:space="0" w:color="auto"/>
            </w:tcBorders>
            <w:shd w:val="clear" w:color="auto" w:fill="auto"/>
            <w:noWrap/>
            <w:vAlign w:val="center"/>
            <w:hideMark/>
          </w:tcPr>
          <w:p w14:paraId="19D4AB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£449</w:t>
            </w:r>
          </w:p>
        </w:tc>
        <w:tc>
          <w:tcPr>
            <w:tcW w:w="1560" w:type="dxa"/>
            <w:tcBorders>
              <w:top w:val="nil"/>
              <w:left w:val="nil"/>
              <w:bottom w:val="single" w:sz="4" w:space="0" w:color="auto"/>
              <w:right w:val="single" w:sz="4" w:space="0" w:color="auto"/>
            </w:tcBorders>
            <w:shd w:val="clear" w:color="auto" w:fill="auto"/>
            <w:noWrap/>
            <w:vAlign w:val="center"/>
            <w:hideMark/>
          </w:tcPr>
          <w:p w14:paraId="0EC8AF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£447</w:t>
            </w:r>
          </w:p>
        </w:tc>
        <w:tc>
          <w:tcPr>
            <w:tcW w:w="1560" w:type="dxa"/>
            <w:tcBorders>
              <w:top w:val="nil"/>
              <w:left w:val="nil"/>
              <w:bottom w:val="single" w:sz="4" w:space="0" w:color="auto"/>
              <w:right w:val="single" w:sz="4" w:space="0" w:color="auto"/>
            </w:tcBorders>
            <w:shd w:val="clear" w:color="auto" w:fill="auto"/>
            <w:noWrap/>
            <w:vAlign w:val="center"/>
            <w:hideMark/>
          </w:tcPr>
          <w:p w14:paraId="440E33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w:t>
            </w:r>
          </w:p>
        </w:tc>
        <w:tc>
          <w:tcPr>
            <w:tcW w:w="1699" w:type="dxa"/>
            <w:tcBorders>
              <w:top w:val="nil"/>
              <w:left w:val="nil"/>
              <w:bottom w:val="single" w:sz="4" w:space="0" w:color="auto"/>
              <w:right w:val="single" w:sz="4" w:space="0" w:color="auto"/>
            </w:tcBorders>
            <w:shd w:val="clear" w:color="auto" w:fill="auto"/>
            <w:noWrap/>
            <w:vAlign w:val="center"/>
            <w:hideMark/>
          </w:tcPr>
          <w:p w14:paraId="6FD20D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£1,805</w:t>
            </w:r>
          </w:p>
        </w:tc>
      </w:tr>
      <w:tr w:rsidR="004433D7" w:rsidRPr="004433D7" w14:paraId="4B9FE1A4"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B9240B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560" w:type="dxa"/>
            <w:tcBorders>
              <w:top w:val="nil"/>
              <w:left w:val="nil"/>
              <w:bottom w:val="single" w:sz="4" w:space="0" w:color="auto"/>
              <w:right w:val="single" w:sz="4" w:space="0" w:color="auto"/>
            </w:tcBorders>
            <w:shd w:val="clear" w:color="auto" w:fill="auto"/>
            <w:noWrap/>
            <w:vAlign w:val="center"/>
            <w:hideMark/>
          </w:tcPr>
          <w:p w14:paraId="14CA1B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£1,910,990</w:t>
            </w:r>
          </w:p>
        </w:tc>
        <w:tc>
          <w:tcPr>
            <w:tcW w:w="1560" w:type="dxa"/>
            <w:tcBorders>
              <w:top w:val="nil"/>
              <w:left w:val="nil"/>
              <w:bottom w:val="single" w:sz="4" w:space="0" w:color="auto"/>
              <w:right w:val="single" w:sz="4" w:space="0" w:color="auto"/>
            </w:tcBorders>
            <w:shd w:val="clear" w:color="auto" w:fill="auto"/>
            <w:noWrap/>
            <w:vAlign w:val="center"/>
            <w:hideMark/>
          </w:tcPr>
          <w:p w14:paraId="288DE7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£1,896,824</w:t>
            </w:r>
          </w:p>
        </w:tc>
        <w:tc>
          <w:tcPr>
            <w:tcW w:w="1560" w:type="dxa"/>
            <w:tcBorders>
              <w:top w:val="nil"/>
              <w:left w:val="nil"/>
              <w:bottom w:val="single" w:sz="4" w:space="0" w:color="auto"/>
              <w:right w:val="single" w:sz="4" w:space="0" w:color="auto"/>
            </w:tcBorders>
            <w:shd w:val="clear" w:color="auto" w:fill="auto"/>
            <w:noWrap/>
            <w:vAlign w:val="center"/>
            <w:hideMark/>
          </w:tcPr>
          <w:p w14:paraId="670919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£1,886,371</w:t>
            </w:r>
          </w:p>
        </w:tc>
        <w:tc>
          <w:tcPr>
            <w:tcW w:w="1560" w:type="dxa"/>
            <w:tcBorders>
              <w:top w:val="nil"/>
              <w:left w:val="nil"/>
              <w:bottom w:val="single" w:sz="4" w:space="0" w:color="auto"/>
              <w:right w:val="single" w:sz="4" w:space="0" w:color="auto"/>
            </w:tcBorders>
            <w:shd w:val="clear" w:color="auto" w:fill="auto"/>
            <w:noWrap/>
            <w:vAlign w:val="center"/>
            <w:hideMark/>
          </w:tcPr>
          <w:p w14:paraId="6326AE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£1,929,779</w:t>
            </w:r>
          </w:p>
        </w:tc>
        <w:tc>
          <w:tcPr>
            <w:tcW w:w="1699" w:type="dxa"/>
            <w:tcBorders>
              <w:top w:val="nil"/>
              <w:left w:val="nil"/>
              <w:bottom w:val="single" w:sz="4" w:space="0" w:color="auto"/>
              <w:right w:val="single" w:sz="4" w:space="0" w:color="auto"/>
            </w:tcBorders>
            <w:shd w:val="clear" w:color="auto" w:fill="auto"/>
            <w:noWrap/>
            <w:vAlign w:val="center"/>
            <w:hideMark/>
          </w:tcPr>
          <w:p w14:paraId="5E10F5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£7,623,964</w:t>
            </w:r>
          </w:p>
        </w:tc>
      </w:tr>
      <w:tr w:rsidR="004433D7" w:rsidRPr="004433D7" w14:paraId="7222FC6E"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FA039C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Electric Ireland </w:t>
            </w:r>
          </w:p>
        </w:tc>
        <w:tc>
          <w:tcPr>
            <w:tcW w:w="1560" w:type="dxa"/>
            <w:tcBorders>
              <w:top w:val="nil"/>
              <w:left w:val="nil"/>
              <w:bottom w:val="single" w:sz="4" w:space="0" w:color="auto"/>
              <w:right w:val="single" w:sz="4" w:space="0" w:color="auto"/>
            </w:tcBorders>
            <w:shd w:val="clear" w:color="auto" w:fill="auto"/>
            <w:noWrap/>
            <w:vAlign w:val="center"/>
            <w:hideMark/>
          </w:tcPr>
          <w:p w14:paraId="50D562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£20,412</w:t>
            </w:r>
          </w:p>
        </w:tc>
        <w:tc>
          <w:tcPr>
            <w:tcW w:w="1560" w:type="dxa"/>
            <w:tcBorders>
              <w:top w:val="nil"/>
              <w:left w:val="nil"/>
              <w:bottom w:val="single" w:sz="4" w:space="0" w:color="auto"/>
              <w:right w:val="single" w:sz="4" w:space="0" w:color="auto"/>
            </w:tcBorders>
            <w:shd w:val="clear" w:color="auto" w:fill="auto"/>
            <w:noWrap/>
            <w:vAlign w:val="center"/>
            <w:hideMark/>
          </w:tcPr>
          <w:p w14:paraId="251EA5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£20,260</w:t>
            </w:r>
          </w:p>
        </w:tc>
        <w:tc>
          <w:tcPr>
            <w:tcW w:w="1560" w:type="dxa"/>
            <w:tcBorders>
              <w:top w:val="nil"/>
              <w:left w:val="nil"/>
              <w:bottom w:val="single" w:sz="4" w:space="0" w:color="auto"/>
              <w:right w:val="single" w:sz="4" w:space="0" w:color="auto"/>
            </w:tcBorders>
            <w:shd w:val="clear" w:color="auto" w:fill="auto"/>
            <w:noWrap/>
            <w:vAlign w:val="center"/>
            <w:hideMark/>
          </w:tcPr>
          <w:p w14:paraId="23BEE1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£20,149</w:t>
            </w:r>
          </w:p>
        </w:tc>
        <w:tc>
          <w:tcPr>
            <w:tcW w:w="1560" w:type="dxa"/>
            <w:tcBorders>
              <w:top w:val="nil"/>
              <w:left w:val="nil"/>
              <w:bottom w:val="single" w:sz="4" w:space="0" w:color="auto"/>
              <w:right w:val="single" w:sz="4" w:space="0" w:color="auto"/>
            </w:tcBorders>
            <w:shd w:val="clear" w:color="auto" w:fill="auto"/>
            <w:noWrap/>
            <w:vAlign w:val="center"/>
            <w:hideMark/>
          </w:tcPr>
          <w:p w14:paraId="6CD473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£20,612</w:t>
            </w:r>
          </w:p>
        </w:tc>
        <w:tc>
          <w:tcPr>
            <w:tcW w:w="1699" w:type="dxa"/>
            <w:tcBorders>
              <w:top w:val="nil"/>
              <w:left w:val="nil"/>
              <w:bottom w:val="single" w:sz="4" w:space="0" w:color="auto"/>
              <w:right w:val="single" w:sz="4" w:space="0" w:color="auto"/>
            </w:tcBorders>
            <w:shd w:val="clear" w:color="auto" w:fill="auto"/>
            <w:noWrap/>
            <w:vAlign w:val="center"/>
            <w:hideMark/>
          </w:tcPr>
          <w:p w14:paraId="2D6761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£81,433</w:t>
            </w:r>
          </w:p>
        </w:tc>
      </w:tr>
      <w:tr w:rsidR="004433D7" w:rsidRPr="004433D7" w14:paraId="74D0C1CC"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33B064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4A6D28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£95,488</w:t>
            </w:r>
          </w:p>
        </w:tc>
        <w:tc>
          <w:tcPr>
            <w:tcW w:w="1560" w:type="dxa"/>
            <w:tcBorders>
              <w:top w:val="nil"/>
              <w:left w:val="nil"/>
              <w:bottom w:val="single" w:sz="4" w:space="0" w:color="auto"/>
              <w:right w:val="single" w:sz="4" w:space="0" w:color="auto"/>
            </w:tcBorders>
            <w:shd w:val="clear" w:color="auto" w:fill="auto"/>
            <w:noWrap/>
            <w:vAlign w:val="center"/>
            <w:hideMark/>
          </w:tcPr>
          <w:p w14:paraId="58B060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£94,780</w:t>
            </w:r>
          </w:p>
        </w:tc>
        <w:tc>
          <w:tcPr>
            <w:tcW w:w="1560" w:type="dxa"/>
            <w:tcBorders>
              <w:top w:val="nil"/>
              <w:left w:val="nil"/>
              <w:bottom w:val="single" w:sz="4" w:space="0" w:color="auto"/>
              <w:right w:val="single" w:sz="4" w:space="0" w:color="auto"/>
            </w:tcBorders>
            <w:shd w:val="clear" w:color="auto" w:fill="auto"/>
            <w:noWrap/>
            <w:vAlign w:val="center"/>
            <w:hideMark/>
          </w:tcPr>
          <w:p w14:paraId="016C33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£94,258</w:t>
            </w:r>
          </w:p>
        </w:tc>
        <w:tc>
          <w:tcPr>
            <w:tcW w:w="1560" w:type="dxa"/>
            <w:tcBorders>
              <w:top w:val="nil"/>
              <w:left w:val="nil"/>
              <w:bottom w:val="single" w:sz="4" w:space="0" w:color="auto"/>
              <w:right w:val="single" w:sz="4" w:space="0" w:color="auto"/>
            </w:tcBorders>
            <w:shd w:val="clear" w:color="auto" w:fill="auto"/>
            <w:noWrap/>
            <w:vAlign w:val="center"/>
            <w:hideMark/>
          </w:tcPr>
          <w:p w14:paraId="2EF277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£96,427</w:t>
            </w:r>
          </w:p>
        </w:tc>
        <w:tc>
          <w:tcPr>
            <w:tcW w:w="1699" w:type="dxa"/>
            <w:tcBorders>
              <w:top w:val="nil"/>
              <w:left w:val="nil"/>
              <w:bottom w:val="single" w:sz="4" w:space="0" w:color="auto"/>
              <w:right w:val="single" w:sz="4" w:space="0" w:color="auto"/>
            </w:tcBorders>
            <w:shd w:val="clear" w:color="auto" w:fill="auto"/>
            <w:noWrap/>
            <w:vAlign w:val="center"/>
            <w:hideMark/>
          </w:tcPr>
          <w:p w14:paraId="26D281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£380,953</w:t>
            </w:r>
          </w:p>
        </w:tc>
      </w:tr>
      <w:tr w:rsidR="004433D7" w:rsidRPr="004433D7" w14:paraId="7BA49CD1"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7A7A83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560" w:type="dxa"/>
            <w:tcBorders>
              <w:top w:val="nil"/>
              <w:left w:val="nil"/>
              <w:bottom w:val="single" w:sz="4" w:space="0" w:color="auto"/>
              <w:right w:val="single" w:sz="4" w:space="0" w:color="auto"/>
            </w:tcBorders>
            <w:shd w:val="clear" w:color="auto" w:fill="auto"/>
            <w:noWrap/>
            <w:vAlign w:val="center"/>
            <w:hideMark/>
          </w:tcPr>
          <w:p w14:paraId="45EDBE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£19,686</w:t>
            </w:r>
          </w:p>
        </w:tc>
        <w:tc>
          <w:tcPr>
            <w:tcW w:w="1560" w:type="dxa"/>
            <w:tcBorders>
              <w:top w:val="nil"/>
              <w:left w:val="nil"/>
              <w:bottom w:val="single" w:sz="4" w:space="0" w:color="auto"/>
              <w:right w:val="single" w:sz="4" w:space="0" w:color="auto"/>
            </w:tcBorders>
            <w:shd w:val="clear" w:color="auto" w:fill="auto"/>
            <w:noWrap/>
            <w:vAlign w:val="center"/>
            <w:hideMark/>
          </w:tcPr>
          <w:p w14:paraId="4CA17B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£19,540</w:t>
            </w:r>
          </w:p>
        </w:tc>
        <w:tc>
          <w:tcPr>
            <w:tcW w:w="1560" w:type="dxa"/>
            <w:tcBorders>
              <w:top w:val="nil"/>
              <w:left w:val="nil"/>
              <w:bottom w:val="single" w:sz="4" w:space="0" w:color="auto"/>
              <w:right w:val="single" w:sz="4" w:space="0" w:color="auto"/>
            </w:tcBorders>
            <w:shd w:val="clear" w:color="auto" w:fill="auto"/>
            <w:noWrap/>
            <w:vAlign w:val="center"/>
            <w:hideMark/>
          </w:tcPr>
          <w:p w14:paraId="6A182B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£19,433</w:t>
            </w:r>
          </w:p>
        </w:tc>
        <w:tc>
          <w:tcPr>
            <w:tcW w:w="1560" w:type="dxa"/>
            <w:tcBorders>
              <w:top w:val="nil"/>
              <w:left w:val="nil"/>
              <w:bottom w:val="single" w:sz="4" w:space="0" w:color="auto"/>
              <w:right w:val="single" w:sz="4" w:space="0" w:color="auto"/>
            </w:tcBorders>
            <w:shd w:val="clear" w:color="auto" w:fill="auto"/>
            <w:noWrap/>
            <w:vAlign w:val="center"/>
            <w:hideMark/>
          </w:tcPr>
          <w:p w14:paraId="3C5696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£19,880</w:t>
            </w:r>
          </w:p>
        </w:tc>
        <w:tc>
          <w:tcPr>
            <w:tcW w:w="1699" w:type="dxa"/>
            <w:tcBorders>
              <w:top w:val="nil"/>
              <w:left w:val="nil"/>
              <w:bottom w:val="single" w:sz="4" w:space="0" w:color="auto"/>
              <w:right w:val="single" w:sz="4" w:space="0" w:color="auto"/>
            </w:tcBorders>
            <w:shd w:val="clear" w:color="auto" w:fill="auto"/>
            <w:noWrap/>
            <w:vAlign w:val="center"/>
            <w:hideMark/>
          </w:tcPr>
          <w:p w14:paraId="60E992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£78,539</w:t>
            </w:r>
          </w:p>
        </w:tc>
      </w:tr>
      <w:tr w:rsidR="004433D7" w:rsidRPr="004433D7" w14:paraId="03815C4D"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52109F7"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Energia</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F8835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£19,888</w:t>
            </w:r>
          </w:p>
        </w:tc>
        <w:tc>
          <w:tcPr>
            <w:tcW w:w="1560" w:type="dxa"/>
            <w:tcBorders>
              <w:top w:val="nil"/>
              <w:left w:val="nil"/>
              <w:bottom w:val="single" w:sz="4" w:space="0" w:color="auto"/>
              <w:right w:val="single" w:sz="4" w:space="0" w:color="auto"/>
            </w:tcBorders>
            <w:shd w:val="clear" w:color="auto" w:fill="auto"/>
            <w:noWrap/>
            <w:vAlign w:val="center"/>
            <w:hideMark/>
          </w:tcPr>
          <w:p w14:paraId="7771AC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£19,740</w:t>
            </w:r>
          </w:p>
        </w:tc>
        <w:tc>
          <w:tcPr>
            <w:tcW w:w="1560" w:type="dxa"/>
            <w:tcBorders>
              <w:top w:val="nil"/>
              <w:left w:val="nil"/>
              <w:bottom w:val="single" w:sz="4" w:space="0" w:color="auto"/>
              <w:right w:val="single" w:sz="4" w:space="0" w:color="auto"/>
            </w:tcBorders>
            <w:shd w:val="clear" w:color="auto" w:fill="auto"/>
            <w:noWrap/>
            <w:vAlign w:val="center"/>
            <w:hideMark/>
          </w:tcPr>
          <w:p w14:paraId="5EF1C4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£19,632</w:t>
            </w:r>
          </w:p>
        </w:tc>
        <w:tc>
          <w:tcPr>
            <w:tcW w:w="1560" w:type="dxa"/>
            <w:tcBorders>
              <w:top w:val="nil"/>
              <w:left w:val="nil"/>
              <w:bottom w:val="single" w:sz="4" w:space="0" w:color="auto"/>
              <w:right w:val="single" w:sz="4" w:space="0" w:color="auto"/>
            </w:tcBorders>
            <w:shd w:val="clear" w:color="auto" w:fill="auto"/>
            <w:noWrap/>
            <w:vAlign w:val="center"/>
            <w:hideMark/>
          </w:tcPr>
          <w:p w14:paraId="7BFAB5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£20,083</w:t>
            </w:r>
          </w:p>
        </w:tc>
        <w:tc>
          <w:tcPr>
            <w:tcW w:w="1699" w:type="dxa"/>
            <w:tcBorders>
              <w:top w:val="nil"/>
              <w:left w:val="nil"/>
              <w:bottom w:val="single" w:sz="4" w:space="0" w:color="auto"/>
              <w:right w:val="single" w:sz="4" w:space="0" w:color="auto"/>
            </w:tcBorders>
            <w:shd w:val="clear" w:color="auto" w:fill="auto"/>
            <w:noWrap/>
            <w:vAlign w:val="center"/>
            <w:hideMark/>
          </w:tcPr>
          <w:p w14:paraId="5BFFE8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£79,343</w:t>
            </w:r>
          </w:p>
        </w:tc>
      </w:tr>
      <w:tr w:rsidR="004433D7" w:rsidRPr="004433D7" w14:paraId="26DD559F"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4BEB1C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560" w:type="dxa"/>
            <w:tcBorders>
              <w:top w:val="nil"/>
              <w:left w:val="nil"/>
              <w:bottom w:val="single" w:sz="4" w:space="0" w:color="auto"/>
              <w:right w:val="single" w:sz="4" w:space="0" w:color="auto"/>
            </w:tcBorders>
            <w:shd w:val="clear" w:color="auto" w:fill="auto"/>
            <w:noWrap/>
            <w:vAlign w:val="center"/>
            <w:hideMark/>
          </w:tcPr>
          <w:p w14:paraId="72B684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£506,844</w:t>
            </w:r>
          </w:p>
        </w:tc>
        <w:tc>
          <w:tcPr>
            <w:tcW w:w="1560" w:type="dxa"/>
            <w:tcBorders>
              <w:top w:val="nil"/>
              <w:left w:val="nil"/>
              <w:bottom w:val="single" w:sz="4" w:space="0" w:color="auto"/>
              <w:right w:val="single" w:sz="4" w:space="0" w:color="auto"/>
            </w:tcBorders>
            <w:shd w:val="clear" w:color="auto" w:fill="auto"/>
            <w:noWrap/>
            <w:vAlign w:val="center"/>
            <w:hideMark/>
          </w:tcPr>
          <w:p w14:paraId="5EF669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£503,087</w:t>
            </w:r>
          </w:p>
        </w:tc>
        <w:tc>
          <w:tcPr>
            <w:tcW w:w="1560" w:type="dxa"/>
            <w:tcBorders>
              <w:top w:val="nil"/>
              <w:left w:val="nil"/>
              <w:bottom w:val="single" w:sz="4" w:space="0" w:color="auto"/>
              <w:right w:val="single" w:sz="4" w:space="0" w:color="auto"/>
            </w:tcBorders>
            <w:shd w:val="clear" w:color="auto" w:fill="auto"/>
            <w:noWrap/>
            <w:vAlign w:val="center"/>
            <w:hideMark/>
          </w:tcPr>
          <w:p w14:paraId="2E2829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£500,314</w:t>
            </w:r>
          </w:p>
        </w:tc>
        <w:tc>
          <w:tcPr>
            <w:tcW w:w="1560" w:type="dxa"/>
            <w:tcBorders>
              <w:top w:val="nil"/>
              <w:left w:val="nil"/>
              <w:bottom w:val="single" w:sz="4" w:space="0" w:color="auto"/>
              <w:right w:val="single" w:sz="4" w:space="0" w:color="auto"/>
            </w:tcBorders>
            <w:shd w:val="clear" w:color="auto" w:fill="auto"/>
            <w:noWrap/>
            <w:vAlign w:val="center"/>
            <w:hideMark/>
          </w:tcPr>
          <w:p w14:paraId="55C74C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£511,827</w:t>
            </w:r>
          </w:p>
        </w:tc>
        <w:tc>
          <w:tcPr>
            <w:tcW w:w="1699" w:type="dxa"/>
            <w:tcBorders>
              <w:top w:val="nil"/>
              <w:left w:val="nil"/>
              <w:bottom w:val="single" w:sz="4" w:space="0" w:color="auto"/>
              <w:right w:val="single" w:sz="4" w:space="0" w:color="auto"/>
            </w:tcBorders>
            <w:shd w:val="clear" w:color="auto" w:fill="auto"/>
            <w:noWrap/>
            <w:vAlign w:val="center"/>
            <w:hideMark/>
          </w:tcPr>
          <w:p w14:paraId="59D04B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£2,022,072</w:t>
            </w:r>
          </w:p>
        </w:tc>
      </w:tr>
      <w:tr w:rsidR="004433D7" w:rsidRPr="004433D7" w14:paraId="5E490E7D"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42A8B4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3F2F01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£1,826</w:t>
            </w:r>
          </w:p>
        </w:tc>
        <w:tc>
          <w:tcPr>
            <w:tcW w:w="1560" w:type="dxa"/>
            <w:tcBorders>
              <w:top w:val="nil"/>
              <w:left w:val="nil"/>
              <w:bottom w:val="single" w:sz="4" w:space="0" w:color="auto"/>
              <w:right w:val="single" w:sz="4" w:space="0" w:color="auto"/>
            </w:tcBorders>
            <w:shd w:val="clear" w:color="auto" w:fill="auto"/>
            <w:noWrap/>
            <w:vAlign w:val="center"/>
            <w:hideMark/>
          </w:tcPr>
          <w:p w14:paraId="095202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£1,813</w:t>
            </w:r>
          </w:p>
        </w:tc>
        <w:tc>
          <w:tcPr>
            <w:tcW w:w="1560" w:type="dxa"/>
            <w:tcBorders>
              <w:top w:val="nil"/>
              <w:left w:val="nil"/>
              <w:bottom w:val="single" w:sz="4" w:space="0" w:color="auto"/>
              <w:right w:val="single" w:sz="4" w:space="0" w:color="auto"/>
            </w:tcBorders>
            <w:shd w:val="clear" w:color="auto" w:fill="auto"/>
            <w:noWrap/>
            <w:vAlign w:val="center"/>
            <w:hideMark/>
          </w:tcPr>
          <w:p w14:paraId="2A3A8B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£1,803</w:t>
            </w:r>
          </w:p>
        </w:tc>
        <w:tc>
          <w:tcPr>
            <w:tcW w:w="1560" w:type="dxa"/>
            <w:tcBorders>
              <w:top w:val="nil"/>
              <w:left w:val="nil"/>
              <w:bottom w:val="single" w:sz="4" w:space="0" w:color="auto"/>
              <w:right w:val="single" w:sz="4" w:space="0" w:color="auto"/>
            </w:tcBorders>
            <w:shd w:val="clear" w:color="auto" w:fill="auto"/>
            <w:noWrap/>
            <w:vAlign w:val="center"/>
            <w:hideMark/>
          </w:tcPr>
          <w:p w14:paraId="230DAC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£1,844</w:t>
            </w:r>
          </w:p>
        </w:tc>
        <w:tc>
          <w:tcPr>
            <w:tcW w:w="1699" w:type="dxa"/>
            <w:tcBorders>
              <w:top w:val="nil"/>
              <w:left w:val="nil"/>
              <w:bottom w:val="single" w:sz="4" w:space="0" w:color="auto"/>
              <w:right w:val="single" w:sz="4" w:space="0" w:color="auto"/>
            </w:tcBorders>
            <w:shd w:val="clear" w:color="auto" w:fill="auto"/>
            <w:noWrap/>
            <w:vAlign w:val="center"/>
            <w:hideMark/>
          </w:tcPr>
          <w:p w14:paraId="5E9391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£7,286</w:t>
            </w:r>
          </w:p>
        </w:tc>
      </w:tr>
      <w:tr w:rsidR="004433D7" w:rsidRPr="004433D7" w14:paraId="2C5CEFDE"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3BDAD6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Farmoor</w:t>
            </w:r>
            <w:proofErr w:type="spellEnd"/>
            <w:r w:rsidRPr="004433D7">
              <w:rPr>
                <w:rFonts w:eastAsia="Times New Roman" w:cs="Times New Roman"/>
                <w:color w:val="000000"/>
                <w:sz w:val="16"/>
                <w:szCs w:val="16"/>
              </w:rPr>
              <w:t xml:space="preserve">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0EB2E4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£9,803</w:t>
            </w:r>
          </w:p>
        </w:tc>
        <w:tc>
          <w:tcPr>
            <w:tcW w:w="1560" w:type="dxa"/>
            <w:tcBorders>
              <w:top w:val="nil"/>
              <w:left w:val="nil"/>
              <w:bottom w:val="single" w:sz="4" w:space="0" w:color="auto"/>
              <w:right w:val="single" w:sz="4" w:space="0" w:color="auto"/>
            </w:tcBorders>
            <w:shd w:val="clear" w:color="auto" w:fill="auto"/>
            <w:noWrap/>
            <w:vAlign w:val="center"/>
            <w:hideMark/>
          </w:tcPr>
          <w:p w14:paraId="7FE840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£9,730</w:t>
            </w:r>
          </w:p>
        </w:tc>
        <w:tc>
          <w:tcPr>
            <w:tcW w:w="1560" w:type="dxa"/>
            <w:tcBorders>
              <w:top w:val="nil"/>
              <w:left w:val="nil"/>
              <w:bottom w:val="single" w:sz="4" w:space="0" w:color="auto"/>
              <w:right w:val="single" w:sz="4" w:space="0" w:color="auto"/>
            </w:tcBorders>
            <w:shd w:val="clear" w:color="auto" w:fill="auto"/>
            <w:noWrap/>
            <w:vAlign w:val="center"/>
            <w:hideMark/>
          </w:tcPr>
          <w:p w14:paraId="0C10A9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£9,676</w:t>
            </w:r>
          </w:p>
        </w:tc>
        <w:tc>
          <w:tcPr>
            <w:tcW w:w="1560" w:type="dxa"/>
            <w:tcBorders>
              <w:top w:val="nil"/>
              <w:left w:val="nil"/>
              <w:bottom w:val="single" w:sz="4" w:space="0" w:color="auto"/>
              <w:right w:val="single" w:sz="4" w:space="0" w:color="auto"/>
            </w:tcBorders>
            <w:shd w:val="clear" w:color="auto" w:fill="auto"/>
            <w:noWrap/>
            <w:vAlign w:val="center"/>
            <w:hideMark/>
          </w:tcPr>
          <w:p w14:paraId="764C43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£9,899</w:t>
            </w:r>
          </w:p>
        </w:tc>
        <w:tc>
          <w:tcPr>
            <w:tcW w:w="1699" w:type="dxa"/>
            <w:tcBorders>
              <w:top w:val="nil"/>
              <w:left w:val="nil"/>
              <w:bottom w:val="single" w:sz="4" w:space="0" w:color="auto"/>
              <w:right w:val="single" w:sz="4" w:space="0" w:color="auto"/>
            </w:tcBorders>
            <w:shd w:val="clear" w:color="auto" w:fill="auto"/>
            <w:noWrap/>
            <w:vAlign w:val="center"/>
            <w:hideMark/>
          </w:tcPr>
          <w:p w14:paraId="66CEF3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£39,108</w:t>
            </w:r>
          </w:p>
        </w:tc>
      </w:tr>
      <w:tr w:rsidR="004433D7" w:rsidRPr="004433D7" w14:paraId="51779476"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46AE0A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First Utility Limited</w:t>
            </w:r>
          </w:p>
        </w:tc>
        <w:tc>
          <w:tcPr>
            <w:tcW w:w="1560" w:type="dxa"/>
            <w:tcBorders>
              <w:top w:val="nil"/>
              <w:left w:val="nil"/>
              <w:bottom w:val="single" w:sz="4" w:space="0" w:color="auto"/>
              <w:right w:val="single" w:sz="4" w:space="0" w:color="auto"/>
            </w:tcBorders>
            <w:shd w:val="clear" w:color="auto" w:fill="auto"/>
            <w:noWrap/>
            <w:vAlign w:val="center"/>
            <w:hideMark/>
          </w:tcPr>
          <w:p w14:paraId="133857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£156,235</w:t>
            </w:r>
          </w:p>
        </w:tc>
        <w:tc>
          <w:tcPr>
            <w:tcW w:w="1560" w:type="dxa"/>
            <w:tcBorders>
              <w:top w:val="nil"/>
              <w:left w:val="nil"/>
              <w:bottom w:val="single" w:sz="4" w:space="0" w:color="auto"/>
              <w:right w:val="single" w:sz="4" w:space="0" w:color="auto"/>
            </w:tcBorders>
            <w:shd w:val="clear" w:color="auto" w:fill="auto"/>
            <w:noWrap/>
            <w:vAlign w:val="center"/>
            <w:hideMark/>
          </w:tcPr>
          <w:p w14:paraId="73755F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£155,076</w:t>
            </w:r>
          </w:p>
        </w:tc>
        <w:tc>
          <w:tcPr>
            <w:tcW w:w="1560" w:type="dxa"/>
            <w:tcBorders>
              <w:top w:val="nil"/>
              <w:left w:val="nil"/>
              <w:bottom w:val="single" w:sz="4" w:space="0" w:color="auto"/>
              <w:right w:val="single" w:sz="4" w:space="0" w:color="auto"/>
            </w:tcBorders>
            <w:shd w:val="clear" w:color="auto" w:fill="auto"/>
            <w:noWrap/>
            <w:vAlign w:val="center"/>
            <w:hideMark/>
          </w:tcPr>
          <w:p w14:paraId="78E21D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£154,222</w:t>
            </w:r>
          </w:p>
        </w:tc>
        <w:tc>
          <w:tcPr>
            <w:tcW w:w="1560" w:type="dxa"/>
            <w:tcBorders>
              <w:top w:val="nil"/>
              <w:left w:val="nil"/>
              <w:bottom w:val="single" w:sz="4" w:space="0" w:color="auto"/>
              <w:right w:val="single" w:sz="4" w:space="0" w:color="auto"/>
            </w:tcBorders>
            <w:shd w:val="clear" w:color="auto" w:fill="auto"/>
            <w:noWrap/>
            <w:vAlign w:val="center"/>
            <w:hideMark/>
          </w:tcPr>
          <w:p w14:paraId="158F76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£157,771</w:t>
            </w:r>
          </w:p>
        </w:tc>
        <w:tc>
          <w:tcPr>
            <w:tcW w:w="1699" w:type="dxa"/>
            <w:tcBorders>
              <w:top w:val="nil"/>
              <w:left w:val="nil"/>
              <w:bottom w:val="single" w:sz="4" w:space="0" w:color="auto"/>
              <w:right w:val="single" w:sz="4" w:space="0" w:color="auto"/>
            </w:tcBorders>
            <w:shd w:val="clear" w:color="auto" w:fill="auto"/>
            <w:noWrap/>
            <w:vAlign w:val="center"/>
            <w:hideMark/>
          </w:tcPr>
          <w:p w14:paraId="3BCD63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£623,304</w:t>
            </w:r>
          </w:p>
        </w:tc>
      </w:tr>
      <w:tr w:rsidR="004433D7" w:rsidRPr="004433D7" w14:paraId="7C67EC7B"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3874E0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28CA4B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£9,671</w:t>
            </w:r>
          </w:p>
        </w:tc>
        <w:tc>
          <w:tcPr>
            <w:tcW w:w="1560" w:type="dxa"/>
            <w:tcBorders>
              <w:top w:val="nil"/>
              <w:left w:val="nil"/>
              <w:bottom w:val="single" w:sz="4" w:space="0" w:color="auto"/>
              <w:right w:val="single" w:sz="4" w:space="0" w:color="auto"/>
            </w:tcBorders>
            <w:shd w:val="clear" w:color="auto" w:fill="auto"/>
            <w:noWrap/>
            <w:vAlign w:val="center"/>
            <w:hideMark/>
          </w:tcPr>
          <w:p w14:paraId="73AFDA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£9,600</w:t>
            </w:r>
          </w:p>
        </w:tc>
        <w:tc>
          <w:tcPr>
            <w:tcW w:w="1560" w:type="dxa"/>
            <w:tcBorders>
              <w:top w:val="nil"/>
              <w:left w:val="nil"/>
              <w:bottom w:val="single" w:sz="4" w:space="0" w:color="auto"/>
              <w:right w:val="single" w:sz="4" w:space="0" w:color="auto"/>
            </w:tcBorders>
            <w:shd w:val="clear" w:color="auto" w:fill="auto"/>
            <w:noWrap/>
            <w:vAlign w:val="center"/>
            <w:hideMark/>
          </w:tcPr>
          <w:p w14:paraId="3C4BC6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£9,547</w:t>
            </w:r>
          </w:p>
        </w:tc>
        <w:tc>
          <w:tcPr>
            <w:tcW w:w="1560" w:type="dxa"/>
            <w:tcBorders>
              <w:top w:val="nil"/>
              <w:left w:val="nil"/>
              <w:bottom w:val="single" w:sz="4" w:space="0" w:color="auto"/>
              <w:right w:val="single" w:sz="4" w:space="0" w:color="auto"/>
            </w:tcBorders>
            <w:shd w:val="clear" w:color="auto" w:fill="auto"/>
            <w:noWrap/>
            <w:vAlign w:val="center"/>
            <w:hideMark/>
          </w:tcPr>
          <w:p w14:paraId="4215E6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£9,766</w:t>
            </w:r>
          </w:p>
        </w:tc>
        <w:tc>
          <w:tcPr>
            <w:tcW w:w="1699" w:type="dxa"/>
            <w:tcBorders>
              <w:top w:val="nil"/>
              <w:left w:val="nil"/>
              <w:bottom w:val="single" w:sz="4" w:space="0" w:color="auto"/>
              <w:right w:val="single" w:sz="4" w:space="0" w:color="auto"/>
            </w:tcBorders>
            <w:shd w:val="clear" w:color="auto" w:fill="auto"/>
            <w:noWrap/>
            <w:vAlign w:val="center"/>
            <w:hideMark/>
          </w:tcPr>
          <w:p w14:paraId="5D2F58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£38,584</w:t>
            </w:r>
          </w:p>
        </w:tc>
      </w:tr>
      <w:tr w:rsidR="004433D7" w:rsidRPr="004433D7" w14:paraId="61784A4B"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9E81C4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560" w:type="dxa"/>
            <w:tcBorders>
              <w:top w:val="nil"/>
              <w:left w:val="nil"/>
              <w:bottom w:val="single" w:sz="4" w:space="0" w:color="auto"/>
              <w:right w:val="single" w:sz="4" w:space="0" w:color="auto"/>
            </w:tcBorders>
            <w:shd w:val="clear" w:color="auto" w:fill="auto"/>
            <w:noWrap/>
            <w:vAlign w:val="center"/>
            <w:hideMark/>
          </w:tcPr>
          <w:p w14:paraId="189191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£66,558</w:t>
            </w:r>
          </w:p>
        </w:tc>
        <w:tc>
          <w:tcPr>
            <w:tcW w:w="1560" w:type="dxa"/>
            <w:tcBorders>
              <w:top w:val="nil"/>
              <w:left w:val="nil"/>
              <w:bottom w:val="single" w:sz="4" w:space="0" w:color="auto"/>
              <w:right w:val="single" w:sz="4" w:space="0" w:color="auto"/>
            </w:tcBorders>
            <w:shd w:val="clear" w:color="auto" w:fill="auto"/>
            <w:noWrap/>
            <w:vAlign w:val="center"/>
            <w:hideMark/>
          </w:tcPr>
          <w:p w14:paraId="238227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£66,065</w:t>
            </w:r>
          </w:p>
        </w:tc>
        <w:tc>
          <w:tcPr>
            <w:tcW w:w="1560" w:type="dxa"/>
            <w:tcBorders>
              <w:top w:val="nil"/>
              <w:left w:val="nil"/>
              <w:bottom w:val="single" w:sz="4" w:space="0" w:color="auto"/>
              <w:right w:val="single" w:sz="4" w:space="0" w:color="auto"/>
            </w:tcBorders>
            <w:shd w:val="clear" w:color="auto" w:fill="auto"/>
            <w:noWrap/>
            <w:vAlign w:val="center"/>
            <w:hideMark/>
          </w:tcPr>
          <w:p w14:paraId="532F52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£65,701</w:t>
            </w:r>
          </w:p>
        </w:tc>
        <w:tc>
          <w:tcPr>
            <w:tcW w:w="1560" w:type="dxa"/>
            <w:tcBorders>
              <w:top w:val="nil"/>
              <w:left w:val="nil"/>
              <w:bottom w:val="single" w:sz="4" w:space="0" w:color="auto"/>
              <w:right w:val="single" w:sz="4" w:space="0" w:color="auto"/>
            </w:tcBorders>
            <w:shd w:val="clear" w:color="auto" w:fill="auto"/>
            <w:noWrap/>
            <w:vAlign w:val="center"/>
            <w:hideMark/>
          </w:tcPr>
          <w:p w14:paraId="597C9A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£67,213</w:t>
            </w:r>
          </w:p>
        </w:tc>
        <w:tc>
          <w:tcPr>
            <w:tcW w:w="1699" w:type="dxa"/>
            <w:tcBorders>
              <w:top w:val="nil"/>
              <w:left w:val="nil"/>
              <w:bottom w:val="single" w:sz="4" w:space="0" w:color="auto"/>
              <w:right w:val="single" w:sz="4" w:space="0" w:color="auto"/>
            </w:tcBorders>
            <w:shd w:val="clear" w:color="auto" w:fill="auto"/>
            <w:noWrap/>
            <w:vAlign w:val="center"/>
            <w:hideMark/>
          </w:tcPr>
          <w:p w14:paraId="1C2F66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£265,537</w:t>
            </w:r>
          </w:p>
        </w:tc>
      </w:tr>
      <w:tr w:rsidR="004433D7" w:rsidRPr="004433D7" w14:paraId="7524D81F"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EC7070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Go Power </w:t>
            </w:r>
          </w:p>
        </w:tc>
        <w:tc>
          <w:tcPr>
            <w:tcW w:w="1560" w:type="dxa"/>
            <w:tcBorders>
              <w:top w:val="nil"/>
              <w:left w:val="nil"/>
              <w:bottom w:val="single" w:sz="4" w:space="0" w:color="auto"/>
              <w:right w:val="single" w:sz="4" w:space="0" w:color="auto"/>
            </w:tcBorders>
            <w:shd w:val="clear" w:color="auto" w:fill="auto"/>
            <w:noWrap/>
            <w:vAlign w:val="center"/>
            <w:hideMark/>
          </w:tcPr>
          <w:p w14:paraId="14653A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£7,105</w:t>
            </w:r>
          </w:p>
        </w:tc>
        <w:tc>
          <w:tcPr>
            <w:tcW w:w="1560" w:type="dxa"/>
            <w:tcBorders>
              <w:top w:val="nil"/>
              <w:left w:val="nil"/>
              <w:bottom w:val="single" w:sz="4" w:space="0" w:color="auto"/>
              <w:right w:val="single" w:sz="4" w:space="0" w:color="auto"/>
            </w:tcBorders>
            <w:shd w:val="clear" w:color="auto" w:fill="auto"/>
            <w:noWrap/>
            <w:vAlign w:val="center"/>
            <w:hideMark/>
          </w:tcPr>
          <w:p w14:paraId="0A864C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£7,053</w:t>
            </w:r>
          </w:p>
        </w:tc>
        <w:tc>
          <w:tcPr>
            <w:tcW w:w="1560" w:type="dxa"/>
            <w:tcBorders>
              <w:top w:val="nil"/>
              <w:left w:val="nil"/>
              <w:bottom w:val="single" w:sz="4" w:space="0" w:color="auto"/>
              <w:right w:val="single" w:sz="4" w:space="0" w:color="auto"/>
            </w:tcBorders>
            <w:shd w:val="clear" w:color="auto" w:fill="auto"/>
            <w:noWrap/>
            <w:vAlign w:val="center"/>
            <w:hideMark/>
          </w:tcPr>
          <w:p w14:paraId="5D3D8E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£7,014</w:t>
            </w:r>
          </w:p>
        </w:tc>
        <w:tc>
          <w:tcPr>
            <w:tcW w:w="1560" w:type="dxa"/>
            <w:tcBorders>
              <w:top w:val="nil"/>
              <w:left w:val="nil"/>
              <w:bottom w:val="single" w:sz="4" w:space="0" w:color="auto"/>
              <w:right w:val="single" w:sz="4" w:space="0" w:color="auto"/>
            </w:tcBorders>
            <w:shd w:val="clear" w:color="auto" w:fill="auto"/>
            <w:noWrap/>
            <w:vAlign w:val="center"/>
            <w:hideMark/>
          </w:tcPr>
          <w:p w14:paraId="1D99FE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£7,175</w:t>
            </w:r>
          </w:p>
        </w:tc>
        <w:tc>
          <w:tcPr>
            <w:tcW w:w="1699" w:type="dxa"/>
            <w:tcBorders>
              <w:top w:val="nil"/>
              <w:left w:val="nil"/>
              <w:bottom w:val="single" w:sz="4" w:space="0" w:color="auto"/>
              <w:right w:val="single" w:sz="4" w:space="0" w:color="auto"/>
            </w:tcBorders>
            <w:shd w:val="clear" w:color="auto" w:fill="auto"/>
            <w:noWrap/>
            <w:vAlign w:val="center"/>
            <w:hideMark/>
          </w:tcPr>
          <w:p w14:paraId="37BD52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£28,347</w:t>
            </w:r>
          </w:p>
        </w:tc>
      </w:tr>
      <w:tr w:rsidR="004433D7" w:rsidRPr="004433D7" w14:paraId="01223672"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218409E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617CF1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£25,659</w:t>
            </w:r>
          </w:p>
        </w:tc>
        <w:tc>
          <w:tcPr>
            <w:tcW w:w="1560" w:type="dxa"/>
            <w:tcBorders>
              <w:top w:val="nil"/>
              <w:left w:val="nil"/>
              <w:bottom w:val="single" w:sz="4" w:space="0" w:color="auto"/>
              <w:right w:val="single" w:sz="4" w:space="0" w:color="auto"/>
            </w:tcBorders>
            <w:shd w:val="clear" w:color="auto" w:fill="auto"/>
            <w:noWrap/>
            <w:vAlign w:val="center"/>
            <w:hideMark/>
          </w:tcPr>
          <w:p w14:paraId="115554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£25,469</w:t>
            </w:r>
          </w:p>
        </w:tc>
        <w:tc>
          <w:tcPr>
            <w:tcW w:w="1560" w:type="dxa"/>
            <w:tcBorders>
              <w:top w:val="nil"/>
              <w:left w:val="nil"/>
              <w:bottom w:val="single" w:sz="4" w:space="0" w:color="auto"/>
              <w:right w:val="single" w:sz="4" w:space="0" w:color="auto"/>
            </w:tcBorders>
            <w:shd w:val="clear" w:color="auto" w:fill="auto"/>
            <w:noWrap/>
            <w:vAlign w:val="center"/>
            <w:hideMark/>
          </w:tcPr>
          <w:p w14:paraId="119AD5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£25,328</w:t>
            </w:r>
          </w:p>
        </w:tc>
        <w:tc>
          <w:tcPr>
            <w:tcW w:w="1560" w:type="dxa"/>
            <w:tcBorders>
              <w:top w:val="nil"/>
              <w:left w:val="nil"/>
              <w:bottom w:val="single" w:sz="4" w:space="0" w:color="auto"/>
              <w:right w:val="single" w:sz="4" w:space="0" w:color="auto"/>
            </w:tcBorders>
            <w:shd w:val="clear" w:color="auto" w:fill="auto"/>
            <w:noWrap/>
            <w:vAlign w:val="center"/>
            <w:hideMark/>
          </w:tcPr>
          <w:p w14:paraId="7C084A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£25,911</w:t>
            </w:r>
          </w:p>
        </w:tc>
        <w:tc>
          <w:tcPr>
            <w:tcW w:w="1699" w:type="dxa"/>
            <w:tcBorders>
              <w:top w:val="nil"/>
              <w:left w:val="nil"/>
              <w:bottom w:val="single" w:sz="4" w:space="0" w:color="auto"/>
              <w:right w:val="single" w:sz="4" w:space="0" w:color="auto"/>
            </w:tcBorders>
            <w:shd w:val="clear" w:color="auto" w:fill="auto"/>
            <w:noWrap/>
            <w:vAlign w:val="center"/>
            <w:hideMark/>
          </w:tcPr>
          <w:p w14:paraId="653018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£102,367</w:t>
            </w:r>
          </w:p>
        </w:tc>
      </w:tr>
      <w:tr w:rsidR="004433D7" w:rsidRPr="004433D7" w14:paraId="708F3E1A"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88F646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560" w:type="dxa"/>
            <w:tcBorders>
              <w:top w:val="nil"/>
              <w:left w:val="nil"/>
              <w:bottom w:val="single" w:sz="4" w:space="0" w:color="auto"/>
              <w:right w:val="single" w:sz="4" w:space="0" w:color="auto"/>
            </w:tcBorders>
            <w:shd w:val="clear" w:color="auto" w:fill="auto"/>
            <w:noWrap/>
            <w:vAlign w:val="center"/>
            <w:hideMark/>
          </w:tcPr>
          <w:p w14:paraId="500C2E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£5,436</w:t>
            </w:r>
          </w:p>
        </w:tc>
        <w:tc>
          <w:tcPr>
            <w:tcW w:w="1560" w:type="dxa"/>
            <w:tcBorders>
              <w:top w:val="nil"/>
              <w:left w:val="nil"/>
              <w:bottom w:val="single" w:sz="4" w:space="0" w:color="auto"/>
              <w:right w:val="single" w:sz="4" w:space="0" w:color="auto"/>
            </w:tcBorders>
            <w:shd w:val="clear" w:color="auto" w:fill="auto"/>
            <w:noWrap/>
            <w:vAlign w:val="center"/>
            <w:hideMark/>
          </w:tcPr>
          <w:p w14:paraId="7E6B0E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£5,396</w:t>
            </w:r>
          </w:p>
        </w:tc>
        <w:tc>
          <w:tcPr>
            <w:tcW w:w="1560" w:type="dxa"/>
            <w:tcBorders>
              <w:top w:val="nil"/>
              <w:left w:val="nil"/>
              <w:bottom w:val="single" w:sz="4" w:space="0" w:color="auto"/>
              <w:right w:val="single" w:sz="4" w:space="0" w:color="auto"/>
            </w:tcBorders>
            <w:shd w:val="clear" w:color="auto" w:fill="auto"/>
            <w:noWrap/>
            <w:vAlign w:val="center"/>
            <w:hideMark/>
          </w:tcPr>
          <w:p w14:paraId="6C2B43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£5,366</w:t>
            </w:r>
          </w:p>
        </w:tc>
        <w:tc>
          <w:tcPr>
            <w:tcW w:w="1560" w:type="dxa"/>
            <w:tcBorders>
              <w:top w:val="nil"/>
              <w:left w:val="nil"/>
              <w:bottom w:val="single" w:sz="4" w:space="0" w:color="auto"/>
              <w:right w:val="single" w:sz="4" w:space="0" w:color="auto"/>
            </w:tcBorders>
            <w:shd w:val="clear" w:color="auto" w:fill="auto"/>
            <w:noWrap/>
            <w:vAlign w:val="center"/>
            <w:hideMark/>
          </w:tcPr>
          <w:p w14:paraId="52C856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£5,490</w:t>
            </w:r>
          </w:p>
        </w:tc>
        <w:tc>
          <w:tcPr>
            <w:tcW w:w="1699" w:type="dxa"/>
            <w:tcBorders>
              <w:top w:val="nil"/>
              <w:left w:val="nil"/>
              <w:bottom w:val="single" w:sz="4" w:space="0" w:color="auto"/>
              <w:right w:val="single" w:sz="4" w:space="0" w:color="auto"/>
            </w:tcBorders>
            <w:shd w:val="clear" w:color="auto" w:fill="auto"/>
            <w:noWrap/>
            <w:vAlign w:val="center"/>
            <w:hideMark/>
          </w:tcPr>
          <w:p w14:paraId="6A9BA8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£21,688</w:t>
            </w:r>
          </w:p>
        </w:tc>
      </w:tr>
      <w:tr w:rsidR="004433D7" w:rsidRPr="004433D7" w14:paraId="296BEFBA"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24E6C6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55A14F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£10,367</w:t>
            </w:r>
          </w:p>
        </w:tc>
        <w:tc>
          <w:tcPr>
            <w:tcW w:w="1560" w:type="dxa"/>
            <w:tcBorders>
              <w:top w:val="nil"/>
              <w:left w:val="nil"/>
              <w:bottom w:val="single" w:sz="4" w:space="0" w:color="auto"/>
              <w:right w:val="single" w:sz="4" w:space="0" w:color="auto"/>
            </w:tcBorders>
            <w:shd w:val="clear" w:color="auto" w:fill="auto"/>
            <w:noWrap/>
            <w:vAlign w:val="center"/>
            <w:hideMark/>
          </w:tcPr>
          <w:p w14:paraId="287DA2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£10,290</w:t>
            </w:r>
          </w:p>
        </w:tc>
        <w:tc>
          <w:tcPr>
            <w:tcW w:w="1560" w:type="dxa"/>
            <w:tcBorders>
              <w:top w:val="nil"/>
              <w:left w:val="nil"/>
              <w:bottom w:val="single" w:sz="4" w:space="0" w:color="auto"/>
              <w:right w:val="single" w:sz="4" w:space="0" w:color="auto"/>
            </w:tcBorders>
            <w:shd w:val="clear" w:color="auto" w:fill="auto"/>
            <w:noWrap/>
            <w:vAlign w:val="center"/>
            <w:hideMark/>
          </w:tcPr>
          <w:p w14:paraId="76E291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£10,234</w:t>
            </w:r>
          </w:p>
        </w:tc>
        <w:tc>
          <w:tcPr>
            <w:tcW w:w="1560" w:type="dxa"/>
            <w:tcBorders>
              <w:top w:val="nil"/>
              <w:left w:val="nil"/>
              <w:bottom w:val="single" w:sz="4" w:space="0" w:color="auto"/>
              <w:right w:val="single" w:sz="4" w:space="0" w:color="auto"/>
            </w:tcBorders>
            <w:shd w:val="clear" w:color="auto" w:fill="auto"/>
            <w:noWrap/>
            <w:vAlign w:val="center"/>
            <w:hideMark/>
          </w:tcPr>
          <w:p w14:paraId="6CFEB5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£10,469</w:t>
            </w:r>
          </w:p>
        </w:tc>
        <w:tc>
          <w:tcPr>
            <w:tcW w:w="1699" w:type="dxa"/>
            <w:tcBorders>
              <w:top w:val="nil"/>
              <w:left w:val="nil"/>
              <w:bottom w:val="single" w:sz="4" w:space="0" w:color="auto"/>
              <w:right w:val="single" w:sz="4" w:space="0" w:color="auto"/>
            </w:tcBorders>
            <w:shd w:val="clear" w:color="auto" w:fill="auto"/>
            <w:noWrap/>
            <w:vAlign w:val="center"/>
            <w:hideMark/>
          </w:tcPr>
          <w:p w14:paraId="0276FA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£41,360</w:t>
            </w:r>
          </w:p>
        </w:tc>
      </w:tr>
      <w:tr w:rsidR="004433D7" w:rsidRPr="004433D7" w14:paraId="73A75266"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2CD8711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560" w:type="dxa"/>
            <w:tcBorders>
              <w:top w:val="nil"/>
              <w:left w:val="nil"/>
              <w:bottom w:val="single" w:sz="4" w:space="0" w:color="auto"/>
              <w:right w:val="single" w:sz="4" w:space="0" w:color="auto"/>
            </w:tcBorders>
            <w:shd w:val="clear" w:color="auto" w:fill="auto"/>
            <w:noWrap/>
            <w:vAlign w:val="center"/>
            <w:hideMark/>
          </w:tcPr>
          <w:p w14:paraId="067650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£761,437</w:t>
            </w:r>
          </w:p>
        </w:tc>
        <w:tc>
          <w:tcPr>
            <w:tcW w:w="1560" w:type="dxa"/>
            <w:tcBorders>
              <w:top w:val="nil"/>
              <w:left w:val="nil"/>
              <w:bottom w:val="single" w:sz="4" w:space="0" w:color="auto"/>
              <w:right w:val="single" w:sz="4" w:space="0" w:color="auto"/>
            </w:tcBorders>
            <w:shd w:val="clear" w:color="auto" w:fill="auto"/>
            <w:noWrap/>
            <w:vAlign w:val="center"/>
            <w:hideMark/>
          </w:tcPr>
          <w:p w14:paraId="03E8CE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£755,793</w:t>
            </w:r>
          </w:p>
        </w:tc>
        <w:tc>
          <w:tcPr>
            <w:tcW w:w="1560" w:type="dxa"/>
            <w:tcBorders>
              <w:top w:val="nil"/>
              <w:left w:val="nil"/>
              <w:bottom w:val="single" w:sz="4" w:space="0" w:color="auto"/>
              <w:right w:val="single" w:sz="4" w:space="0" w:color="auto"/>
            </w:tcBorders>
            <w:shd w:val="clear" w:color="auto" w:fill="auto"/>
            <w:noWrap/>
            <w:vAlign w:val="center"/>
            <w:hideMark/>
          </w:tcPr>
          <w:p w14:paraId="1547A4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£751,628</w:t>
            </w:r>
          </w:p>
        </w:tc>
        <w:tc>
          <w:tcPr>
            <w:tcW w:w="1560" w:type="dxa"/>
            <w:tcBorders>
              <w:top w:val="nil"/>
              <w:left w:val="nil"/>
              <w:bottom w:val="single" w:sz="4" w:space="0" w:color="auto"/>
              <w:right w:val="single" w:sz="4" w:space="0" w:color="auto"/>
            </w:tcBorders>
            <w:shd w:val="clear" w:color="auto" w:fill="auto"/>
            <w:noWrap/>
            <w:vAlign w:val="center"/>
            <w:hideMark/>
          </w:tcPr>
          <w:p w14:paraId="786E4B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£768,924</w:t>
            </w:r>
          </w:p>
        </w:tc>
        <w:tc>
          <w:tcPr>
            <w:tcW w:w="1699" w:type="dxa"/>
            <w:tcBorders>
              <w:top w:val="nil"/>
              <w:left w:val="nil"/>
              <w:bottom w:val="single" w:sz="4" w:space="0" w:color="auto"/>
              <w:right w:val="single" w:sz="4" w:space="0" w:color="auto"/>
            </w:tcBorders>
            <w:shd w:val="clear" w:color="auto" w:fill="auto"/>
            <w:noWrap/>
            <w:vAlign w:val="center"/>
            <w:hideMark/>
          </w:tcPr>
          <w:p w14:paraId="3A65EFA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£3,037,782</w:t>
            </w:r>
          </w:p>
        </w:tc>
      </w:tr>
      <w:tr w:rsidR="004433D7" w:rsidRPr="004433D7" w14:paraId="1EB5C9B2"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510FB8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Huddle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278D65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w:t>
            </w:r>
          </w:p>
        </w:tc>
        <w:tc>
          <w:tcPr>
            <w:tcW w:w="1560" w:type="dxa"/>
            <w:tcBorders>
              <w:top w:val="nil"/>
              <w:left w:val="nil"/>
              <w:bottom w:val="single" w:sz="4" w:space="0" w:color="auto"/>
              <w:right w:val="single" w:sz="4" w:space="0" w:color="auto"/>
            </w:tcBorders>
            <w:shd w:val="clear" w:color="auto" w:fill="auto"/>
            <w:noWrap/>
            <w:vAlign w:val="center"/>
            <w:hideMark/>
          </w:tcPr>
          <w:p w14:paraId="768706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w:t>
            </w:r>
          </w:p>
        </w:tc>
        <w:tc>
          <w:tcPr>
            <w:tcW w:w="1560" w:type="dxa"/>
            <w:tcBorders>
              <w:top w:val="nil"/>
              <w:left w:val="nil"/>
              <w:bottom w:val="single" w:sz="4" w:space="0" w:color="auto"/>
              <w:right w:val="single" w:sz="4" w:space="0" w:color="auto"/>
            </w:tcBorders>
            <w:shd w:val="clear" w:color="auto" w:fill="auto"/>
            <w:noWrap/>
            <w:vAlign w:val="center"/>
            <w:hideMark/>
          </w:tcPr>
          <w:p w14:paraId="35048F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w:t>
            </w:r>
          </w:p>
        </w:tc>
        <w:tc>
          <w:tcPr>
            <w:tcW w:w="1560" w:type="dxa"/>
            <w:tcBorders>
              <w:top w:val="nil"/>
              <w:left w:val="nil"/>
              <w:bottom w:val="single" w:sz="4" w:space="0" w:color="auto"/>
              <w:right w:val="single" w:sz="4" w:space="0" w:color="auto"/>
            </w:tcBorders>
            <w:shd w:val="clear" w:color="auto" w:fill="auto"/>
            <w:noWrap/>
            <w:vAlign w:val="center"/>
            <w:hideMark/>
          </w:tcPr>
          <w:p w14:paraId="0AF8F0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w:t>
            </w:r>
          </w:p>
        </w:tc>
        <w:tc>
          <w:tcPr>
            <w:tcW w:w="1699" w:type="dxa"/>
            <w:tcBorders>
              <w:top w:val="nil"/>
              <w:left w:val="nil"/>
              <w:bottom w:val="single" w:sz="4" w:space="0" w:color="auto"/>
              <w:right w:val="single" w:sz="4" w:space="0" w:color="auto"/>
            </w:tcBorders>
            <w:shd w:val="clear" w:color="auto" w:fill="auto"/>
            <w:noWrap/>
            <w:vAlign w:val="center"/>
            <w:hideMark/>
          </w:tcPr>
          <w:p w14:paraId="0B1E26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£246</w:t>
            </w:r>
          </w:p>
        </w:tc>
      </w:tr>
      <w:tr w:rsidR="004433D7" w:rsidRPr="004433D7" w14:paraId="29E9E3FA"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F0762D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Hudson Energy Supply UK Limited</w:t>
            </w:r>
          </w:p>
        </w:tc>
        <w:tc>
          <w:tcPr>
            <w:tcW w:w="1560" w:type="dxa"/>
            <w:tcBorders>
              <w:top w:val="nil"/>
              <w:left w:val="nil"/>
              <w:bottom w:val="single" w:sz="4" w:space="0" w:color="auto"/>
              <w:right w:val="single" w:sz="4" w:space="0" w:color="auto"/>
            </w:tcBorders>
            <w:shd w:val="clear" w:color="auto" w:fill="auto"/>
            <w:noWrap/>
            <w:vAlign w:val="center"/>
            <w:hideMark/>
          </w:tcPr>
          <w:p w14:paraId="1966CB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£98,885</w:t>
            </w:r>
          </w:p>
        </w:tc>
        <w:tc>
          <w:tcPr>
            <w:tcW w:w="1560" w:type="dxa"/>
            <w:tcBorders>
              <w:top w:val="nil"/>
              <w:left w:val="nil"/>
              <w:bottom w:val="single" w:sz="4" w:space="0" w:color="auto"/>
              <w:right w:val="single" w:sz="4" w:space="0" w:color="auto"/>
            </w:tcBorders>
            <w:shd w:val="clear" w:color="auto" w:fill="auto"/>
            <w:noWrap/>
            <w:vAlign w:val="center"/>
            <w:hideMark/>
          </w:tcPr>
          <w:p w14:paraId="17A3B7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£98,152</w:t>
            </w:r>
          </w:p>
        </w:tc>
        <w:tc>
          <w:tcPr>
            <w:tcW w:w="1560" w:type="dxa"/>
            <w:tcBorders>
              <w:top w:val="nil"/>
              <w:left w:val="nil"/>
              <w:bottom w:val="single" w:sz="4" w:space="0" w:color="auto"/>
              <w:right w:val="single" w:sz="4" w:space="0" w:color="auto"/>
            </w:tcBorders>
            <w:shd w:val="clear" w:color="auto" w:fill="auto"/>
            <w:noWrap/>
            <w:vAlign w:val="center"/>
            <w:hideMark/>
          </w:tcPr>
          <w:p w14:paraId="7EC49F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£97,611</w:t>
            </w:r>
          </w:p>
        </w:tc>
        <w:tc>
          <w:tcPr>
            <w:tcW w:w="1560" w:type="dxa"/>
            <w:tcBorders>
              <w:top w:val="nil"/>
              <w:left w:val="nil"/>
              <w:bottom w:val="single" w:sz="4" w:space="0" w:color="auto"/>
              <w:right w:val="single" w:sz="4" w:space="0" w:color="auto"/>
            </w:tcBorders>
            <w:shd w:val="clear" w:color="auto" w:fill="auto"/>
            <w:noWrap/>
            <w:vAlign w:val="center"/>
            <w:hideMark/>
          </w:tcPr>
          <w:p w14:paraId="581548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£99,857</w:t>
            </w:r>
          </w:p>
        </w:tc>
        <w:tc>
          <w:tcPr>
            <w:tcW w:w="1699" w:type="dxa"/>
            <w:tcBorders>
              <w:top w:val="nil"/>
              <w:left w:val="nil"/>
              <w:bottom w:val="single" w:sz="4" w:space="0" w:color="auto"/>
              <w:right w:val="single" w:sz="4" w:space="0" w:color="auto"/>
            </w:tcBorders>
            <w:shd w:val="clear" w:color="auto" w:fill="auto"/>
            <w:noWrap/>
            <w:vAlign w:val="center"/>
            <w:hideMark/>
          </w:tcPr>
          <w:p w14:paraId="4390ED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£394,505</w:t>
            </w:r>
          </w:p>
        </w:tc>
      </w:tr>
      <w:tr w:rsidR="004433D7" w:rsidRPr="004433D7" w14:paraId="5A8A0FC5"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CDBA4B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Kensington Power Limited</w:t>
            </w:r>
          </w:p>
        </w:tc>
        <w:tc>
          <w:tcPr>
            <w:tcW w:w="1560" w:type="dxa"/>
            <w:tcBorders>
              <w:top w:val="nil"/>
              <w:left w:val="nil"/>
              <w:bottom w:val="single" w:sz="4" w:space="0" w:color="auto"/>
              <w:right w:val="single" w:sz="4" w:space="0" w:color="auto"/>
            </w:tcBorders>
            <w:shd w:val="clear" w:color="auto" w:fill="auto"/>
            <w:noWrap/>
            <w:vAlign w:val="center"/>
            <w:hideMark/>
          </w:tcPr>
          <w:p w14:paraId="614BEC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£13,678</w:t>
            </w:r>
          </w:p>
        </w:tc>
        <w:tc>
          <w:tcPr>
            <w:tcW w:w="1560" w:type="dxa"/>
            <w:tcBorders>
              <w:top w:val="nil"/>
              <w:left w:val="nil"/>
              <w:bottom w:val="single" w:sz="4" w:space="0" w:color="auto"/>
              <w:right w:val="single" w:sz="4" w:space="0" w:color="auto"/>
            </w:tcBorders>
            <w:shd w:val="clear" w:color="auto" w:fill="auto"/>
            <w:noWrap/>
            <w:vAlign w:val="center"/>
            <w:hideMark/>
          </w:tcPr>
          <w:p w14:paraId="38B6548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£13,577</w:t>
            </w:r>
          </w:p>
        </w:tc>
        <w:tc>
          <w:tcPr>
            <w:tcW w:w="1560" w:type="dxa"/>
            <w:tcBorders>
              <w:top w:val="nil"/>
              <w:left w:val="nil"/>
              <w:bottom w:val="single" w:sz="4" w:space="0" w:color="auto"/>
              <w:right w:val="single" w:sz="4" w:space="0" w:color="auto"/>
            </w:tcBorders>
            <w:shd w:val="clear" w:color="auto" w:fill="auto"/>
            <w:noWrap/>
            <w:vAlign w:val="center"/>
            <w:hideMark/>
          </w:tcPr>
          <w:p w14:paraId="45D52B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£13,502</w:t>
            </w:r>
          </w:p>
        </w:tc>
        <w:tc>
          <w:tcPr>
            <w:tcW w:w="1560" w:type="dxa"/>
            <w:tcBorders>
              <w:top w:val="nil"/>
              <w:left w:val="nil"/>
              <w:bottom w:val="single" w:sz="4" w:space="0" w:color="auto"/>
              <w:right w:val="single" w:sz="4" w:space="0" w:color="auto"/>
            </w:tcBorders>
            <w:shd w:val="clear" w:color="auto" w:fill="auto"/>
            <w:noWrap/>
            <w:vAlign w:val="center"/>
            <w:hideMark/>
          </w:tcPr>
          <w:p w14:paraId="1DEF44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£13,813</w:t>
            </w:r>
          </w:p>
        </w:tc>
        <w:tc>
          <w:tcPr>
            <w:tcW w:w="1699" w:type="dxa"/>
            <w:tcBorders>
              <w:top w:val="nil"/>
              <w:left w:val="nil"/>
              <w:bottom w:val="single" w:sz="4" w:space="0" w:color="auto"/>
              <w:right w:val="single" w:sz="4" w:space="0" w:color="auto"/>
            </w:tcBorders>
            <w:shd w:val="clear" w:color="auto" w:fill="auto"/>
            <w:noWrap/>
            <w:vAlign w:val="center"/>
            <w:hideMark/>
          </w:tcPr>
          <w:p w14:paraId="7F2C1E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£54,570</w:t>
            </w:r>
          </w:p>
        </w:tc>
      </w:tr>
      <w:tr w:rsidR="004433D7" w:rsidRPr="004433D7" w14:paraId="69254EBA"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D8BEF2D"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Ltd</w:t>
            </w:r>
          </w:p>
        </w:tc>
        <w:tc>
          <w:tcPr>
            <w:tcW w:w="1560" w:type="dxa"/>
            <w:tcBorders>
              <w:top w:val="nil"/>
              <w:left w:val="nil"/>
              <w:bottom w:val="single" w:sz="4" w:space="0" w:color="auto"/>
              <w:right w:val="single" w:sz="4" w:space="0" w:color="auto"/>
            </w:tcBorders>
            <w:shd w:val="clear" w:color="auto" w:fill="auto"/>
            <w:noWrap/>
            <w:vAlign w:val="center"/>
            <w:hideMark/>
          </w:tcPr>
          <w:p w14:paraId="7C637F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£429</w:t>
            </w:r>
          </w:p>
        </w:tc>
        <w:tc>
          <w:tcPr>
            <w:tcW w:w="1560" w:type="dxa"/>
            <w:tcBorders>
              <w:top w:val="nil"/>
              <w:left w:val="nil"/>
              <w:bottom w:val="single" w:sz="4" w:space="0" w:color="auto"/>
              <w:right w:val="single" w:sz="4" w:space="0" w:color="auto"/>
            </w:tcBorders>
            <w:shd w:val="clear" w:color="auto" w:fill="auto"/>
            <w:noWrap/>
            <w:vAlign w:val="center"/>
            <w:hideMark/>
          </w:tcPr>
          <w:p w14:paraId="102A5E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£426</w:t>
            </w:r>
          </w:p>
        </w:tc>
        <w:tc>
          <w:tcPr>
            <w:tcW w:w="1560" w:type="dxa"/>
            <w:tcBorders>
              <w:top w:val="nil"/>
              <w:left w:val="nil"/>
              <w:bottom w:val="single" w:sz="4" w:space="0" w:color="auto"/>
              <w:right w:val="single" w:sz="4" w:space="0" w:color="auto"/>
            </w:tcBorders>
            <w:shd w:val="clear" w:color="auto" w:fill="auto"/>
            <w:noWrap/>
            <w:vAlign w:val="center"/>
            <w:hideMark/>
          </w:tcPr>
          <w:p w14:paraId="447FA5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£423</w:t>
            </w:r>
          </w:p>
        </w:tc>
        <w:tc>
          <w:tcPr>
            <w:tcW w:w="1560" w:type="dxa"/>
            <w:tcBorders>
              <w:top w:val="nil"/>
              <w:left w:val="nil"/>
              <w:bottom w:val="single" w:sz="4" w:space="0" w:color="auto"/>
              <w:right w:val="single" w:sz="4" w:space="0" w:color="auto"/>
            </w:tcBorders>
            <w:shd w:val="clear" w:color="auto" w:fill="auto"/>
            <w:noWrap/>
            <w:vAlign w:val="center"/>
            <w:hideMark/>
          </w:tcPr>
          <w:p w14:paraId="6FF5AE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£433</w:t>
            </w:r>
          </w:p>
        </w:tc>
        <w:tc>
          <w:tcPr>
            <w:tcW w:w="1699" w:type="dxa"/>
            <w:tcBorders>
              <w:top w:val="nil"/>
              <w:left w:val="nil"/>
              <w:bottom w:val="single" w:sz="4" w:space="0" w:color="auto"/>
              <w:right w:val="single" w:sz="4" w:space="0" w:color="auto"/>
            </w:tcBorders>
            <w:shd w:val="clear" w:color="auto" w:fill="auto"/>
            <w:noWrap/>
            <w:vAlign w:val="center"/>
            <w:hideMark/>
          </w:tcPr>
          <w:p w14:paraId="3F4585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£1,711</w:t>
            </w:r>
          </w:p>
        </w:tc>
      </w:tr>
      <w:tr w:rsidR="004433D7" w:rsidRPr="004433D7" w14:paraId="6125CB27" w14:textId="77777777" w:rsidTr="00780608">
        <w:trPr>
          <w:trHeight w:val="454"/>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74A27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MVV Environment Services  Limited</w:t>
            </w:r>
          </w:p>
        </w:tc>
        <w:tc>
          <w:tcPr>
            <w:tcW w:w="1560" w:type="dxa"/>
            <w:tcBorders>
              <w:top w:val="nil"/>
              <w:left w:val="nil"/>
              <w:bottom w:val="single" w:sz="4" w:space="0" w:color="auto"/>
              <w:right w:val="single" w:sz="4" w:space="0" w:color="auto"/>
            </w:tcBorders>
            <w:shd w:val="clear" w:color="auto" w:fill="auto"/>
            <w:noWrap/>
            <w:vAlign w:val="center"/>
            <w:hideMark/>
          </w:tcPr>
          <w:p w14:paraId="52D8B7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w:t>
            </w:r>
          </w:p>
        </w:tc>
        <w:tc>
          <w:tcPr>
            <w:tcW w:w="1560" w:type="dxa"/>
            <w:tcBorders>
              <w:top w:val="nil"/>
              <w:left w:val="nil"/>
              <w:bottom w:val="single" w:sz="4" w:space="0" w:color="auto"/>
              <w:right w:val="single" w:sz="4" w:space="0" w:color="auto"/>
            </w:tcBorders>
            <w:shd w:val="clear" w:color="auto" w:fill="auto"/>
            <w:noWrap/>
            <w:vAlign w:val="center"/>
            <w:hideMark/>
          </w:tcPr>
          <w:p w14:paraId="5EFCF2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w:t>
            </w:r>
          </w:p>
        </w:tc>
        <w:tc>
          <w:tcPr>
            <w:tcW w:w="1560" w:type="dxa"/>
            <w:tcBorders>
              <w:top w:val="nil"/>
              <w:left w:val="nil"/>
              <w:bottom w:val="single" w:sz="4" w:space="0" w:color="auto"/>
              <w:right w:val="single" w:sz="4" w:space="0" w:color="auto"/>
            </w:tcBorders>
            <w:shd w:val="clear" w:color="auto" w:fill="auto"/>
            <w:noWrap/>
            <w:vAlign w:val="center"/>
            <w:hideMark/>
          </w:tcPr>
          <w:p w14:paraId="28E521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w:t>
            </w:r>
          </w:p>
        </w:tc>
        <w:tc>
          <w:tcPr>
            <w:tcW w:w="1560" w:type="dxa"/>
            <w:tcBorders>
              <w:top w:val="nil"/>
              <w:left w:val="nil"/>
              <w:bottom w:val="single" w:sz="4" w:space="0" w:color="auto"/>
              <w:right w:val="single" w:sz="4" w:space="0" w:color="auto"/>
            </w:tcBorders>
            <w:shd w:val="clear" w:color="auto" w:fill="auto"/>
            <w:noWrap/>
            <w:vAlign w:val="center"/>
            <w:hideMark/>
          </w:tcPr>
          <w:p w14:paraId="794C2F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w:t>
            </w:r>
          </w:p>
        </w:tc>
        <w:tc>
          <w:tcPr>
            <w:tcW w:w="1699" w:type="dxa"/>
            <w:tcBorders>
              <w:top w:val="nil"/>
              <w:left w:val="nil"/>
              <w:bottom w:val="single" w:sz="4" w:space="0" w:color="auto"/>
              <w:right w:val="single" w:sz="4" w:space="0" w:color="auto"/>
            </w:tcBorders>
            <w:shd w:val="clear" w:color="auto" w:fill="auto"/>
            <w:noWrap/>
            <w:vAlign w:val="center"/>
            <w:hideMark/>
          </w:tcPr>
          <w:p w14:paraId="7AD53A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w:t>
            </w:r>
          </w:p>
        </w:tc>
      </w:tr>
      <w:tr w:rsidR="004433D7" w:rsidRPr="004433D7" w14:paraId="2C1617EA"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1EF8C4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560" w:type="dxa"/>
            <w:tcBorders>
              <w:top w:val="nil"/>
              <w:left w:val="nil"/>
              <w:bottom w:val="single" w:sz="4" w:space="0" w:color="auto"/>
              <w:right w:val="single" w:sz="4" w:space="0" w:color="auto"/>
            </w:tcBorders>
            <w:shd w:val="clear" w:color="auto" w:fill="auto"/>
            <w:noWrap/>
            <w:vAlign w:val="center"/>
            <w:hideMark/>
          </w:tcPr>
          <w:p w14:paraId="5DE57C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£63,955</w:t>
            </w:r>
          </w:p>
        </w:tc>
        <w:tc>
          <w:tcPr>
            <w:tcW w:w="1560" w:type="dxa"/>
            <w:tcBorders>
              <w:top w:val="nil"/>
              <w:left w:val="nil"/>
              <w:bottom w:val="single" w:sz="4" w:space="0" w:color="auto"/>
              <w:right w:val="single" w:sz="4" w:space="0" w:color="auto"/>
            </w:tcBorders>
            <w:shd w:val="clear" w:color="auto" w:fill="auto"/>
            <w:noWrap/>
            <w:vAlign w:val="center"/>
            <w:hideMark/>
          </w:tcPr>
          <w:p w14:paraId="47DF51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£63,480</w:t>
            </w:r>
          </w:p>
        </w:tc>
        <w:tc>
          <w:tcPr>
            <w:tcW w:w="1560" w:type="dxa"/>
            <w:tcBorders>
              <w:top w:val="nil"/>
              <w:left w:val="nil"/>
              <w:bottom w:val="single" w:sz="4" w:space="0" w:color="auto"/>
              <w:right w:val="single" w:sz="4" w:space="0" w:color="auto"/>
            </w:tcBorders>
            <w:shd w:val="clear" w:color="auto" w:fill="auto"/>
            <w:noWrap/>
            <w:vAlign w:val="center"/>
            <w:hideMark/>
          </w:tcPr>
          <w:p w14:paraId="5D4C21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£63,131</w:t>
            </w:r>
          </w:p>
        </w:tc>
        <w:tc>
          <w:tcPr>
            <w:tcW w:w="1560" w:type="dxa"/>
            <w:tcBorders>
              <w:top w:val="nil"/>
              <w:left w:val="nil"/>
              <w:bottom w:val="single" w:sz="4" w:space="0" w:color="auto"/>
              <w:right w:val="single" w:sz="4" w:space="0" w:color="auto"/>
            </w:tcBorders>
            <w:shd w:val="clear" w:color="auto" w:fill="auto"/>
            <w:noWrap/>
            <w:vAlign w:val="center"/>
            <w:hideMark/>
          </w:tcPr>
          <w:p w14:paraId="4CAC11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£64,583</w:t>
            </w:r>
          </w:p>
        </w:tc>
        <w:tc>
          <w:tcPr>
            <w:tcW w:w="1699" w:type="dxa"/>
            <w:tcBorders>
              <w:top w:val="nil"/>
              <w:left w:val="nil"/>
              <w:bottom w:val="single" w:sz="4" w:space="0" w:color="auto"/>
              <w:right w:val="single" w:sz="4" w:space="0" w:color="auto"/>
            </w:tcBorders>
            <w:shd w:val="clear" w:color="auto" w:fill="auto"/>
            <w:noWrap/>
            <w:vAlign w:val="center"/>
            <w:hideMark/>
          </w:tcPr>
          <w:p w14:paraId="00392A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£255,149</w:t>
            </w:r>
          </w:p>
        </w:tc>
      </w:tr>
      <w:tr w:rsidR="004433D7" w:rsidRPr="004433D7" w14:paraId="44761974"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66A036D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560" w:type="dxa"/>
            <w:tcBorders>
              <w:top w:val="nil"/>
              <w:left w:val="nil"/>
              <w:bottom w:val="single" w:sz="4" w:space="0" w:color="auto"/>
              <w:right w:val="single" w:sz="4" w:space="0" w:color="auto"/>
            </w:tcBorders>
            <w:shd w:val="clear" w:color="auto" w:fill="auto"/>
            <w:noWrap/>
            <w:vAlign w:val="center"/>
            <w:hideMark/>
          </w:tcPr>
          <w:p w14:paraId="2B658F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£1,337,610</w:t>
            </w:r>
          </w:p>
        </w:tc>
        <w:tc>
          <w:tcPr>
            <w:tcW w:w="1560" w:type="dxa"/>
            <w:tcBorders>
              <w:top w:val="nil"/>
              <w:left w:val="nil"/>
              <w:bottom w:val="single" w:sz="4" w:space="0" w:color="auto"/>
              <w:right w:val="single" w:sz="4" w:space="0" w:color="auto"/>
            </w:tcBorders>
            <w:shd w:val="clear" w:color="auto" w:fill="auto"/>
            <w:noWrap/>
            <w:vAlign w:val="center"/>
            <w:hideMark/>
          </w:tcPr>
          <w:p w14:paraId="7248C6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£1,327,695</w:t>
            </w:r>
          </w:p>
        </w:tc>
        <w:tc>
          <w:tcPr>
            <w:tcW w:w="1560" w:type="dxa"/>
            <w:tcBorders>
              <w:top w:val="nil"/>
              <w:left w:val="nil"/>
              <w:bottom w:val="single" w:sz="4" w:space="0" w:color="auto"/>
              <w:right w:val="single" w:sz="4" w:space="0" w:color="auto"/>
            </w:tcBorders>
            <w:shd w:val="clear" w:color="auto" w:fill="auto"/>
            <w:noWrap/>
            <w:vAlign w:val="center"/>
            <w:hideMark/>
          </w:tcPr>
          <w:p w14:paraId="6CEBE3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£1,320,378</w:t>
            </w:r>
          </w:p>
        </w:tc>
        <w:tc>
          <w:tcPr>
            <w:tcW w:w="1560" w:type="dxa"/>
            <w:tcBorders>
              <w:top w:val="nil"/>
              <w:left w:val="nil"/>
              <w:bottom w:val="single" w:sz="4" w:space="0" w:color="auto"/>
              <w:right w:val="single" w:sz="4" w:space="0" w:color="auto"/>
            </w:tcBorders>
            <w:shd w:val="clear" w:color="auto" w:fill="auto"/>
            <w:noWrap/>
            <w:vAlign w:val="center"/>
            <w:hideMark/>
          </w:tcPr>
          <w:p w14:paraId="307B88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£1,350,762</w:t>
            </w:r>
          </w:p>
        </w:tc>
        <w:tc>
          <w:tcPr>
            <w:tcW w:w="1699" w:type="dxa"/>
            <w:tcBorders>
              <w:top w:val="nil"/>
              <w:left w:val="nil"/>
              <w:bottom w:val="single" w:sz="4" w:space="0" w:color="auto"/>
              <w:right w:val="single" w:sz="4" w:space="0" w:color="auto"/>
            </w:tcBorders>
            <w:shd w:val="clear" w:color="auto" w:fill="auto"/>
            <w:noWrap/>
            <w:vAlign w:val="center"/>
            <w:hideMark/>
          </w:tcPr>
          <w:p w14:paraId="0E433C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£5,336,445</w:t>
            </w:r>
          </w:p>
        </w:tc>
      </w:tr>
      <w:tr w:rsidR="004433D7" w:rsidRPr="004433D7" w14:paraId="4343014B"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1BB4E2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09B143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£307,127</w:t>
            </w:r>
          </w:p>
        </w:tc>
        <w:tc>
          <w:tcPr>
            <w:tcW w:w="1560" w:type="dxa"/>
            <w:tcBorders>
              <w:top w:val="nil"/>
              <w:left w:val="nil"/>
              <w:bottom w:val="single" w:sz="4" w:space="0" w:color="auto"/>
              <w:right w:val="single" w:sz="4" w:space="0" w:color="auto"/>
            </w:tcBorders>
            <w:shd w:val="clear" w:color="auto" w:fill="auto"/>
            <w:noWrap/>
            <w:vAlign w:val="center"/>
            <w:hideMark/>
          </w:tcPr>
          <w:p w14:paraId="7081B9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£304,850</w:t>
            </w:r>
          </w:p>
        </w:tc>
        <w:tc>
          <w:tcPr>
            <w:tcW w:w="1560" w:type="dxa"/>
            <w:tcBorders>
              <w:top w:val="nil"/>
              <w:left w:val="nil"/>
              <w:bottom w:val="single" w:sz="4" w:space="0" w:color="auto"/>
              <w:right w:val="single" w:sz="4" w:space="0" w:color="auto"/>
            </w:tcBorders>
            <w:shd w:val="clear" w:color="auto" w:fill="auto"/>
            <w:noWrap/>
            <w:vAlign w:val="center"/>
            <w:hideMark/>
          </w:tcPr>
          <w:p w14:paraId="3BA717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£303,170</w:t>
            </w:r>
          </w:p>
        </w:tc>
        <w:tc>
          <w:tcPr>
            <w:tcW w:w="1560" w:type="dxa"/>
            <w:tcBorders>
              <w:top w:val="nil"/>
              <w:left w:val="nil"/>
              <w:bottom w:val="single" w:sz="4" w:space="0" w:color="auto"/>
              <w:right w:val="single" w:sz="4" w:space="0" w:color="auto"/>
            </w:tcBorders>
            <w:shd w:val="clear" w:color="auto" w:fill="auto"/>
            <w:noWrap/>
            <w:vAlign w:val="center"/>
            <w:hideMark/>
          </w:tcPr>
          <w:p w14:paraId="14488C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£310,147</w:t>
            </w:r>
          </w:p>
        </w:tc>
        <w:tc>
          <w:tcPr>
            <w:tcW w:w="1699" w:type="dxa"/>
            <w:tcBorders>
              <w:top w:val="nil"/>
              <w:left w:val="nil"/>
              <w:bottom w:val="single" w:sz="4" w:space="0" w:color="auto"/>
              <w:right w:val="single" w:sz="4" w:space="0" w:color="auto"/>
            </w:tcBorders>
            <w:shd w:val="clear" w:color="auto" w:fill="auto"/>
            <w:noWrap/>
            <w:vAlign w:val="center"/>
            <w:hideMark/>
          </w:tcPr>
          <w:p w14:paraId="3E544E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£1,225,294</w:t>
            </w:r>
          </w:p>
        </w:tc>
      </w:tr>
      <w:tr w:rsidR="004433D7" w:rsidRPr="004433D7" w14:paraId="458D60BB"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7C95796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0D5F58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£34,479</w:t>
            </w:r>
          </w:p>
        </w:tc>
        <w:tc>
          <w:tcPr>
            <w:tcW w:w="1560" w:type="dxa"/>
            <w:tcBorders>
              <w:top w:val="nil"/>
              <w:left w:val="nil"/>
              <w:bottom w:val="single" w:sz="4" w:space="0" w:color="auto"/>
              <w:right w:val="single" w:sz="4" w:space="0" w:color="auto"/>
            </w:tcBorders>
            <w:shd w:val="clear" w:color="auto" w:fill="auto"/>
            <w:noWrap/>
            <w:vAlign w:val="center"/>
            <w:hideMark/>
          </w:tcPr>
          <w:p w14:paraId="1DD24E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£34,223</w:t>
            </w:r>
          </w:p>
        </w:tc>
        <w:tc>
          <w:tcPr>
            <w:tcW w:w="1560" w:type="dxa"/>
            <w:tcBorders>
              <w:top w:val="nil"/>
              <w:left w:val="nil"/>
              <w:bottom w:val="single" w:sz="4" w:space="0" w:color="auto"/>
              <w:right w:val="single" w:sz="4" w:space="0" w:color="auto"/>
            </w:tcBorders>
            <w:shd w:val="clear" w:color="auto" w:fill="auto"/>
            <w:noWrap/>
            <w:vAlign w:val="center"/>
            <w:hideMark/>
          </w:tcPr>
          <w:p w14:paraId="2818CE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£34,034</w:t>
            </w:r>
          </w:p>
        </w:tc>
        <w:tc>
          <w:tcPr>
            <w:tcW w:w="1560" w:type="dxa"/>
            <w:tcBorders>
              <w:top w:val="nil"/>
              <w:left w:val="nil"/>
              <w:bottom w:val="single" w:sz="4" w:space="0" w:color="auto"/>
              <w:right w:val="single" w:sz="4" w:space="0" w:color="auto"/>
            </w:tcBorders>
            <w:shd w:val="clear" w:color="auto" w:fill="auto"/>
            <w:noWrap/>
            <w:vAlign w:val="center"/>
            <w:hideMark/>
          </w:tcPr>
          <w:p w14:paraId="5AAF13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£34,818</w:t>
            </w:r>
          </w:p>
        </w:tc>
        <w:tc>
          <w:tcPr>
            <w:tcW w:w="1699" w:type="dxa"/>
            <w:tcBorders>
              <w:top w:val="nil"/>
              <w:left w:val="nil"/>
              <w:bottom w:val="single" w:sz="4" w:space="0" w:color="auto"/>
              <w:right w:val="single" w:sz="4" w:space="0" w:color="auto"/>
            </w:tcBorders>
            <w:shd w:val="clear" w:color="auto" w:fill="auto"/>
            <w:noWrap/>
            <w:vAlign w:val="center"/>
            <w:hideMark/>
          </w:tcPr>
          <w:p w14:paraId="099573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£137,554</w:t>
            </w:r>
          </w:p>
        </w:tc>
      </w:tr>
      <w:tr w:rsidR="004433D7" w:rsidRPr="004433D7" w14:paraId="6E10977D"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BC4B5A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2479D21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£1,286</w:t>
            </w:r>
          </w:p>
        </w:tc>
        <w:tc>
          <w:tcPr>
            <w:tcW w:w="1560" w:type="dxa"/>
            <w:tcBorders>
              <w:top w:val="nil"/>
              <w:left w:val="nil"/>
              <w:bottom w:val="single" w:sz="4" w:space="0" w:color="auto"/>
              <w:right w:val="single" w:sz="4" w:space="0" w:color="auto"/>
            </w:tcBorders>
            <w:shd w:val="clear" w:color="auto" w:fill="auto"/>
            <w:noWrap/>
            <w:vAlign w:val="center"/>
            <w:hideMark/>
          </w:tcPr>
          <w:p w14:paraId="707C76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£1,276</w:t>
            </w:r>
          </w:p>
        </w:tc>
        <w:tc>
          <w:tcPr>
            <w:tcW w:w="1560" w:type="dxa"/>
            <w:tcBorders>
              <w:top w:val="nil"/>
              <w:left w:val="nil"/>
              <w:bottom w:val="single" w:sz="4" w:space="0" w:color="auto"/>
              <w:right w:val="single" w:sz="4" w:space="0" w:color="auto"/>
            </w:tcBorders>
            <w:shd w:val="clear" w:color="auto" w:fill="auto"/>
            <w:noWrap/>
            <w:vAlign w:val="center"/>
            <w:hideMark/>
          </w:tcPr>
          <w:p w14:paraId="71CB5F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£1,269</w:t>
            </w:r>
          </w:p>
        </w:tc>
        <w:tc>
          <w:tcPr>
            <w:tcW w:w="1560" w:type="dxa"/>
            <w:tcBorders>
              <w:top w:val="nil"/>
              <w:left w:val="nil"/>
              <w:bottom w:val="single" w:sz="4" w:space="0" w:color="auto"/>
              <w:right w:val="single" w:sz="4" w:space="0" w:color="auto"/>
            </w:tcBorders>
            <w:shd w:val="clear" w:color="auto" w:fill="auto"/>
            <w:noWrap/>
            <w:vAlign w:val="center"/>
            <w:hideMark/>
          </w:tcPr>
          <w:p w14:paraId="220BF6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£1,299</w:t>
            </w:r>
          </w:p>
        </w:tc>
        <w:tc>
          <w:tcPr>
            <w:tcW w:w="1699" w:type="dxa"/>
            <w:tcBorders>
              <w:top w:val="nil"/>
              <w:left w:val="nil"/>
              <w:bottom w:val="single" w:sz="4" w:space="0" w:color="auto"/>
              <w:right w:val="single" w:sz="4" w:space="0" w:color="auto"/>
            </w:tcBorders>
            <w:shd w:val="clear" w:color="auto" w:fill="auto"/>
            <w:noWrap/>
            <w:vAlign w:val="center"/>
            <w:hideMark/>
          </w:tcPr>
          <w:p w14:paraId="40007E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£5,130</w:t>
            </w:r>
          </w:p>
        </w:tc>
      </w:tr>
      <w:tr w:rsidR="004433D7" w:rsidRPr="004433D7" w14:paraId="54881B44"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D908C2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560" w:type="dxa"/>
            <w:tcBorders>
              <w:top w:val="nil"/>
              <w:left w:val="nil"/>
              <w:bottom w:val="single" w:sz="4" w:space="0" w:color="auto"/>
              <w:right w:val="single" w:sz="4" w:space="0" w:color="auto"/>
            </w:tcBorders>
            <w:shd w:val="clear" w:color="auto" w:fill="auto"/>
            <w:noWrap/>
            <w:vAlign w:val="center"/>
            <w:hideMark/>
          </w:tcPr>
          <w:p w14:paraId="7D5C68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£115,276</w:t>
            </w:r>
          </w:p>
        </w:tc>
        <w:tc>
          <w:tcPr>
            <w:tcW w:w="1560" w:type="dxa"/>
            <w:tcBorders>
              <w:top w:val="nil"/>
              <w:left w:val="nil"/>
              <w:bottom w:val="single" w:sz="4" w:space="0" w:color="auto"/>
              <w:right w:val="single" w:sz="4" w:space="0" w:color="auto"/>
            </w:tcBorders>
            <w:shd w:val="clear" w:color="auto" w:fill="auto"/>
            <w:noWrap/>
            <w:vAlign w:val="center"/>
            <w:hideMark/>
          </w:tcPr>
          <w:p w14:paraId="5D30AE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£114,422</w:t>
            </w:r>
          </w:p>
        </w:tc>
        <w:tc>
          <w:tcPr>
            <w:tcW w:w="1560" w:type="dxa"/>
            <w:tcBorders>
              <w:top w:val="nil"/>
              <w:left w:val="nil"/>
              <w:bottom w:val="single" w:sz="4" w:space="0" w:color="auto"/>
              <w:right w:val="single" w:sz="4" w:space="0" w:color="auto"/>
            </w:tcBorders>
            <w:shd w:val="clear" w:color="auto" w:fill="auto"/>
            <w:noWrap/>
            <w:vAlign w:val="center"/>
            <w:hideMark/>
          </w:tcPr>
          <w:p w14:paraId="2F9C62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£113,791</w:t>
            </w:r>
          </w:p>
        </w:tc>
        <w:tc>
          <w:tcPr>
            <w:tcW w:w="1560" w:type="dxa"/>
            <w:tcBorders>
              <w:top w:val="nil"/>
              <w:left w:val="nil"/>
              <w:bottom w:val="single" w:sz="4" w:space="0" w:color="auto"/>
              <w:right w:val="single" w:sz="4" w:space="0" w:color="auto"/>
            </w:tcBorders>
            <w:shd w:val="clear" w:color="auto" w:fill="auto"/>
            <w:noWrap/>
            <w:vAlign w:val="center"/>
            <w:hideMark/>
          </w:tcPr>
          <w:p w14:paraId="1D74B8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£116,410</w:t>
            </w:r>
          </w:p>
        </w:tc>
        <w:tc>
          <w:tcPr>
            <w:tcW w:w="1699" w:type="dxa"/>
            <w:tcBorders>
              <w:top w:val="nil"/>
              <w:left w:val="nil"/>
              <w:bottom w:val="single" w:sz="4" w:space="0" w:color="auto"/>
              <w:right w:val="single" w:sz="4" w:space="0" w:color="auto"/>
            </w:tcBorders>
            <w:shd w:val="clear" w:color="auto" w:fill="auto"/>
            <w:noWrap/>
            <w:vAlign w:val="center"/>
            <w:hideMark/>
          </w:tcPr>
          <w:p w14:paraId="21C9C4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£459,899</w:t>
            </w:r>
          </w:p>
        </w:tc>
      </w:tr>
      <w:tr w:rsidR="004433D7" w:rsidRPr="004433D7" w14:paraId="5EB435BC"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48AD8F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5DB17C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£117,966</w:t>
            </w:r>
          </w:p>
        </w:tc>
        <w:tc>
          <w:tcPr>
            <w:tcW w:w="1560" w:type="dxa"/>
            <w:tcBorders>
              <w:top w:val="nil"/>
              <w:left w:val="nil"/>
              <w:bottom w:val="single" w:sz="4" w:space="0" w:color="auto"/>
              <w:right w:val="single" w:sz="4" w:space="0" w:color="auto"/>
            </w:tcBorders>
            <w:shd w:val="clear" w:color="auto" w:fill="auto"/>
            <w:noWrap/>
            <w:vAlign w:val="center"/>
            <w:hideMark/>
          </w:tcPr>
          <w:p w14:paraId="7CF6AA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£117,092</w:t>
            </w:r>
          </w:p>
        </w:tc>
        <w:tc>
          <w:tcPr>
            <w:tcW w:w="1560" w:type="dxa"/>
            <w:tcBorders>
              <w:top w:val="nil"/>
              <w:left w:val="nil"/>
              <w:bottom w:val="single" w:sz="4" w:space="0" w:color="auto"/>
              <w:right w:val="single" w:sz="4" w:space="0" w:color="auto"/>
            </w:tcBorders>
            <w:shd w:val="clear" w:color="auto" w:fill="auto"/>
            <w:noWrap/>
            <w:vAlign w:val="center"/>
            <w:hideMark/>
          </w:tcPr>
          <w:p w14:paraId="1E0691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£116,446</w:t>
            </w:r>
          </w:p>
        </w:tc>
        <w:tc>
          <w:tcPr>
            <w:tcW w:w="1560" w:type="dxa"/>
            <w:tcBorders>
              <w:top w:val="nil"/>
              <w:left w:val="nil"/>
              <w:bottom w:val="single" w:sz="4" w:space="0" w:color="auto"/>
              <w:right w:val="single" w:sz="4" w:space="0" w:color="auto"/>
            </w:tcBorders>
            <w:shd w:val="clear" w:color="auto" w:fill="auto"/>
            <w:noWrap/>
            <w:vAlign w:val="center"/>
            <w:hideMark/>
          </w:tcPr>
          <w:p w14:paraId="7D101B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£119,126</w:t>
            </w:r>
          </w:p>
        </w:tc>
        <w:tc>
          <w:tcPr>
            <w:tcW w:w="1699" w:type="dxa"/>
            <w:tcBorders>
              <w:top w:val="nil"/>
              <w:left w:val="nil"/>
              <w:bottom w:val="single" w:sz="4" w:space="0" w:color="auto"/>
              <w:right w:val="single" w:sz="4" w:space="0" w:color="auto"/>
            </w:tcBorders>
            <w:shd w:val="clear" w:color="auto" w:fill="auto"/>
            <w:noWrap/>
            <w:vAlign w:val="center"/>
            <w:hideMark/>
          </w:tcPr>
          <w:p w14:paraId="6DF157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£470,630</w:t>
            </w:r>
          </w:p>
        </w:tc>
      </w:tr>
      <w:tr w:rsidR="004433D7" w:rsidRPr="004433D7" w14:paraId="3C2650C9"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27E433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560" w:type="dxa"/>
            <w:tcBorders>
              <w:top w:val="nil"/>
              <w:left w:val="nil"/>
              <w:bottom w:val="single" w:sz="4" w:space="0" w:color="auto"/>
              <w:right w:val="single" w:sz="4" w:space="0" w:color="auto"/>
            </w:tcBorders>
            <w:shd w:val="clear" w:color="auto" w:fill="auto"/>
            <w:noWrap/>
            <w:vAlign w:val="center"/>
            <w:hideMark/>
          </w:tcPr>
          <w:p w14:paraId="00E662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£89,236</w:t>
            </w:r>
          </w:p>
        </w:tc>
        <w:tc>
          <w:tcPr>
            <w:tcW w:w="1560" w:type="dxa"/>
            <w:tcBorders>
              <w:top w:val="nil"/>
              <w:left w:val="nil"/>
              <w:bottom w:val="single" w:sz="4" w:space="0" w:color="auto"/>
              <w:right w:val="single" w:sz="4" w:space="0" w:color="auto"/>
            </w:tcBorders>
            <w:shd w:val="clear" w:color="auto" w:fill="auto"/>
            <w:noWrap/>
            <w:vAlign w:val="center"/>
            <w:hideMark/>
          </w:tcPr>
          <w:p w14:paraId="214EBC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£88,574</w:t>
            </w:r>
          </w:p>
        </w:tc>
        <w:tc>
          <w:tcPr>
            <w:tcW w:w="1560" w:type="dxa"/>
            <w:tcBorders>
              <w:top w:val="nil"/>
              <w:left w:val="nil"/>
              <w:bottom w:val="single" w:sz="4" w:space="0" w:color="auto"/>
              <w:right w:val="single" w:sz="4" w:space="0" w:color="auto"/>
            </w:tcBorders>
            <w:shd w:val="clear" w:color="auto" w:fill="auto"/>
            <w:noWrap/>
            <w:vAlign w:val="center"/>
            <w:hideMark/>
          </w:tcPr>
          <w:p w14:paraId="6490AC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£88,086</w:t>
            </w:r>
          </w:p>
        </w:tc>
        <w:tc>
          <w:tcPr>
            <w:tcW w:w="1560" w:type="dxa"/>
            <w:tcBorders>
              <w:top w:val="nil"/>
              <w:left w:val="nil"/>
              <w:bottom w:val="single" w:sz="4" w:space="0" w:color="auto"/>
              <w:right w:val="single" w:sz="4" w:space="0" w:color="auto"/>
            </w:tcBorders>
            <w:shd w:val="clear" w:color="auto" w:fill="auto"/>
            <w:noWrap/>
            <w:vAlign w:val="center"/>
            <w:hideMark/>
          </w:tcPr>
          <w:p w14:paraId="1D3FC3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£90,113</w:t>
            </w:r>
          </w:p>
        </w:tc>
        <w:tc>
          <w:tcPr>
            <w:tcW w:w="1699" w:type="dxa"/>
            <w:tcBorders>
              <w:top w:val="nil"/>
              <w:left w:val="nil"/>
              <w:bottom w:val="single" w:sz="4" w:space="0" w:color="auto"/>
              <w:right w:val="single" w:sz="4" w:space="0" w:color="auto"/>
            </w:tcBorders>
            <w:shd w:val="clear" w:color="auto" w:fill="auto"/>
            <w:noWrap/>
            <w:vAlign w:val="center"/>
            <w:hideMark/>
          </w:tcPr>
          <w:p w14:paraId="323F29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£356,009</w:t>
            </w:r>
          </w:p>
        </w:tc>
      </w:tr>
      <w:tr w:rsidR="004433D7" w:rsidRPr="004433D7" w14:paraId="3D15B5D4"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24F5FC5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 NI</w:t>
            </w:r>
          </w:p>
        </w:tc>
        <w:tc>
          <w:tcPr>
            <w:tcW w:w="1560" w:type="dxa"/>
            <w:tcBorders>
              <w:top w:val="nil"/>
              <w:left w:val="nil"/>
              <w:bottom w:val="single" w:sz="4" w:space="0" w:color="auto"/>
              <w:right w:val="single" w:sz="4" w:space="0" w:color="auto"/>
            </w:tcBorders>
            <w:shd w:val="clear" w:color="auto" w:fill="auto"/>
            <w:noWrap/>
            <w:vAlign w:val="center"/>
            <w:hideMark/>
          </w:tcPr>
          <w:p w14:paraId="0BDEA7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£54,011</w:t>
            </w:r>
          </w:p>
        </w:tc>
        <w:tc>
          <w:tcPr>
            <w:tcW w:w="1560" w:type="dxa"/>
            <w:tcBorders>
              <w:top w:val="nil"/>
              <w:left w:val="nil"/>
              <w:bottom w:val="single" w:sz="4" w:space="0" w:color="auto"/>
              <w:right w:val="single" w:sz="4" w:space="0" w:color="auto"/>
            </w:tcBorders>
            <w:shd w:val="clear" w:color="auto" w:fill="auto"/>
            <w:noWrap/>
            <w:vAlign w:val="center"/>
            <w:hideMark/>
          </w:tcPr>
          <w:p w14:paraId="77C0D9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£53,611</w:t>
            </w:r>
          </w:p>
        </w:tc>
        <w:tc>
          <w:tcPr>
            <w:tcW w:w="1560" w:type="dxa"/>
            <w:tcBorders>
              <w:top w:val="nil"/>
              <w:left w:val="nil"/>
              <w:bottom w:val="single" w:sz="4" w:space="0" w:color="auto"/>
              <w:right w:val="single" w:sz="4" w:space="0" w:color="auto"/>
            </w:tcBorders>
            <w:shd w:val="clear" w:color="auto" w:fill="auto"/>
            <w:noWrap/>
            <w:vAlign w:val="center"/>
            <w:hideMark/>
          </w:tcPr>
          <w:p w14:paraId="3C72F6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£53,315</w:t>
            </w:r>
          </w:p>
        </w:tc>
        <w:tc>
          <w:tcPr>
            <w:tcW w:w="1560" w:type="dxa"/>
            <w:tcBorders>
              <w:top w:val="nil"/>
              <w:left w:val="nil"/>
              <w:bottom w:val="single" w:sz="4" w:space="0" w:color="auto"/>
              <w:right w:val="single" w:sz="4" w:space="0" w:color="auto"/>
            </w:tcBorders>
            <w:shd w:val="clear" w:color="auto" w:fill="auto"/>
            <w:noWrap/>
            <w:vAlign w:val="center"/>
            <w:hideMark/>
          </w:tcPr>
          <w:p w14:paraId="21558F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£54,542</w:t>
            </w:r>
          </w:p>
        </w:tc>
        <w:tc>
          <w:tcPr>
            <w:tcW w:w="1699" w:type="dxa"/>
            <w:tcBorders>
              <w:top w:val="nil"/>
              <w:left w:val="nil"/>
              <w:bottom w:val="single" w:sz="4" w:space="0" w:color="auto"/>
              <w:right w:val="single" w:sz="4" w:space="0" w:color="auto"/>
            </w:tcBorders>
            <w:shd w:val="clear" w:color="auto" w:fill="auto"/>
            <w:noWrap/>
            <w:vAlign w:val="center"/>
            <w:hideMark/>
          </w:tcPr>
          <w:p w14:paraId="6A78F3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£215,479</w:t>
            </w:r>
          </w:p>
        </w:tc>
      </w:tr>
      <w:tr w:rsidR="004433D7" w:rsidRPr="004433D7" w14:paraId="0AD42E89"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4ED4D8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560" w:type="dxa"/>
            <w:tcBorders>
              <w:top w:val="nil"/>
              <w:left w:val="nil"/>
              <w:bottom w:val="single" w:sz="4" w:space="0" w:color="auto"/>
              <w:right w:val="single" w:sz="4" w:space="0" w:color="auto"/>
            </w:tcBorders>
            <w:shd w:val="clear" w:color="auto" w:fill="auto"/>
            <w:noWrap/>
            <w:vAlign w:val="center"/>
            <w:hideMark/>
          </w:tcPr>
          <w:p w14:paraId="1EC2E5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£1,081,813</w:t>
            </w:r>
          </w:p>
        </w:tc>
        <w:tc>
          <w:tcPr>
            <w:tcW w:w="1560" w:type="dxa"/>
            <w:tcBorders>
              <w:top w:val="nil"/>
              <w:left w:val="nil"/>
              <w:bottom w:val="single" w:sz="4" w:space="0" w:color="auto"/>
              <w:right w:val="single" w:sz="4" w:space="0" w:color="auto"/>
            </w:tcBorders>
            <w:shd w:val="clear" w:color="auto" w:fill="auto"/>
            <w:noWrap/>
            <w:vAlign w:val="center"/>
            <w:hideMark/>
          </w:tcPr>
          <w:p w14:paraId="35FB27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£1,073,794</w:t>
            </w:r>
          </w:p>
        </w:tc>
        <w:tc>
          <w:tcPr>
            <w:tcW w:w="1560" w:type="dxa"/>
            <w:tcBorders>
              <w:top w:val="nil"/>
              <w:left w:val="nil"/>
              <w:bottom w:val="single" w:sz="4" w:space="0" w:color="auto"/>
              <w:right w:val="single" w:sz="4" w:space="0" w:color="auto"/>
            </w:tcBorders>
            <w:shd w:val="clear" w:color="auto" w:fill="auto"/>
            <w:noWrap/>
            <w:vAlign w:val="center"/>
            <w:hideMark/>
          </w:tcPr>
          <w:p w14:paraId="7F2B71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£1,067,876</w:t>
            </w:r>
          </w:p>
        </w:tc>
        <w:tc>
          <w:tcPr>
            <w:tcW w:w="1560" w:type="dxa"/>
            <w:tcBorders>
              <w:top w:val="nil"/>
              <w:left w:val="nil"/>
              <w:bottom w:val="single" w:sz="4" w:space="0" w:color="auto"/>
              <w:right w:val="single" w:sz="4" w:space="0" w:color="auto"/>
            </w:tcBorders>
            <w:shd w:val="clear" w:color="auto" w:fill="auto"/>
            <w:noWrap/>
            <w:vAlign w:val="center"/>
            <w:hideMark/>
          </w:tcPr>
          <w:p w14:paraId="40A290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£1,092,450</w:t>
            </w:r>
          </w:p>
        </w:tc>
        <w:tc>
          <w:tcPr>
            <w:tcW w:w="1699" w:type="dxa"/>
            <w:tcBorders>
              <w:top w:val="nil"/>
              <w:left w:val="nil"/>
              <w:bottom w:val="single" w:sz="4" w:space="0" w:color="auto"/>
              <w:right w:val="single" w:sz="4" w:space="0" w:color="auto"/>
            </w:tcBorders>
            <w:shd w:val="clear" w:color="auto" w:fill="auto"/>
            <w:noWrap/>
            <w:vAlign w:val="center"/>
            <w:hideMark/>
          </w:tcPr>
          <w:p w14:paraId="377E7E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£4,315,933</w:t>
            </w:r>
          </w:p>
        </w:tc>
      </w:tr>
      <w:tr w:rsidR="004433D7" w:rsidRPr="004433D7" w14:paraId="35974F1F"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909F4F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Supply UK Limited</w:t>
            </w:r>
          </w:p>
        </w:tc>
        <w:tc>
          <w:tcPr>
            <w:tcW w:w="1560" w:type="dxa"/>
            <w:tcBorders>
              <w:top w:val="nil"/>
              <w:left w:val="nil"/>
              <w:bottom w:val="single" w:sz="4" w:space="0" w:color="auto"/>
              <w:right w:val="single" w:sz="4" w:space="0" w:color="auto"/>
            </w:tcBorders>
            <w:shd w:val="clear" w:color="auto" w:fill="auto"/>
            <w:noWrap/>
            <w:vAlign w:val="center"/>
            <w:hideMark/>
          </w:tcPr>
          <w:p w14:paraId="5E0889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14:paraId="088028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14:paraId="37ACD3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w:t>
            </w:r>
          </w:p>
        </w:tc>
        <w:tc>
          <w:tcPr>
            <w:tcW w:w="1560" w:type="dxa"/>
            <w:tcBorders>
              <w:top w:val="nil"/>
              <w:left w:val="nil"/>
              <w:bottom w:val="single" w:sz="4" w:space="0" w:color="auto"/>
              <w:right w:val="single" w:sz="4" w:space="0" w:color="auto"/>
            </w:tcBorders>
            <w:shd w:val="clear" w:color="auto" w:fill="auto"/>
            <w:noWrap/>
            <w:vAlign w:val="center"/>
            <w:hideMark/>
          </w:tcPr>
          <w:p w14:paraId="7C4CAC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w:t>
            </w:r>
          </w:p>
        </w:tc>
        <w:tc>
          <w:tcPr>
            <w:tcW w:w="1699" w:type="dxa"/>
            <w:tcBorders>
              <w:top w:val="nil"/>
              <w:left w:val="nil"/>
              <w:bottom w:val="single" w:sz="4" w:space="0" w:color="auto"/>
              <w:right w:val="single" w:sz="4" w:space="0" w:color="auto"/>
            </w:tcBorders>
            <w:shd w:val="clear" w:color="auto" w:fill="auto"/>
            <w:noWrap/>
            <w:vAlign w:val="center"/>
            <w:hideMark/>
          </w:tcPr>
          <w:p w14:paraId="2485A1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w:t>
            </w:r>
          </w:p>
        </w:tc>
      </w:tr>
      <w:tr w:rsidR="004433D7" w:rsidRPr="004433D7" w14:paraId="3C7A0593"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8C32EB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560" w:type="dxa"/>
            <w:tcBorders>
              <w:top w:val="nil"/>
              <w:left w:val="nil"/>
              <w:bottom w:val="single" w:sz="4" w:space="0" w:color="auto"/>
              <w:right w:val="single" w:sz="4" w:space="0" w:color="auto"/>
            </w:tcBorders>
            <w:shd w:val="clear" w:color="auto" w:fill="auto"/>
            <w:noWrap/>
            <w:vAlign w:val="center"/>
            <w:hideMark/>
          </w:tcPr>
          <w:p w14:paraId="42E486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£373,711</w:t>
            </w:r>
          </w:p>
        </w:tc>
        <w:tc>
          <w:tcPr>
            <w:tcW w:w="1560" w:type="dxa"/>
            <w:tcBorders>
              <w:top w:val="nil"/>
              <w:left w:val="nil"/>
              <w:bottom w:val="single" w:sz="4" w:space="0" w:color="auto"/>
              <w:right w:val="single" w:sz="4" w:space="0" w:color="auto"/>
            </w:tcBorders>
            <w:shd w:val="clear" w:color="auto" w:fill="auto"/>
            <w:noWrap/>
            <w:vAlign w:val="center"/>
            <w:hideMark/>
          </w:tcPr>
          <w:p w14:paraId="541978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£370,941</w:t>
            </w:r>
          </w:p>
        </w:tc>
        <w:tc>
          <w:tcPr>
            <w:tcW w:w="1560" w:type="dxa"/>
            <w:tcBorders>
              <w:top w:val="nil"/>
              <w:left w:val="nil"/>
              <w:bottom w:val="single" w:sz="4" w:space="0" w:color="auto"/>
              <w:right w:val="single" w:sz="4" w:space="0" w:color="auto"/>
            </w:tcBorders>
            <w:shd w:val="clear" w:color="auto" w:fill="auto"/>
            <w:noWrap/>
            <w:vAlign w:val="center"/>
            <w:hideMark/>
          </w:tcPr>
          <w:p w14:paraId="70256C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£368,897</w:t>
            </w:r>
          </w:p>
        </w:tc>
        <w:tc>
          <w:tcPr>
            <w:tcW w:w="1560" w:type="dxa"/>
            <w:tcBorders>
              <w:top w:val="nil"/>
              <w:left w:val="nil"/>
              <w:bottom w:val="single" w:sz="4" w:space="0" w:color="auto"/>
              <w:right w:val="single" w:sz="4" w:space="0" w:color="auto"/>
            </w:tcBorders>
            <w:shd w:val="clear" w:color="auto" w:fill="auto"/>
            <w:noWrap/>
            <w:vAlign w:val="center"/>
            <w:hideMark/>
          </w:tcPr>
          <w:p w14:paraId="66D2D0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£377,386</w:t>
            </w:r>
          </w:p>
        </w:tc>
        <w:tc>
          <w:tcPr>
            <w:tcW w:w="1699" w:type="dxa"/>
            <w:tcBorders>
              <w:top w:val="nil"/>
              <w:left w:val="nil"/>
              <w:bottom w:val="single" w:sz="4" w:space="0" w:color="auto"/>
              <w:right w:val="single" w:sz="4" w:space="0" w:color="auto"/>
            </w:tcBorders>
            <w:shd w:val="clear" w:color="auto" w:fill="auto"/>
            <w:noWrap/>
            <w:vAlign w:val="center"/>
            <w:hideMark/>
          </w:tcPr>
          <w:p w14:paraId="408EAC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£1,490,935</w:t>
            </w:r>
          </w:p>
        </w:tc>
      </w:tr>
      <w:tr w:rsidR="004433D7" w:rsidRPr="004433D7" w14:paraId="41C8B84A"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034BDC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 Energy Trading Limited</w:t>
            </w:r>
          </w:p>
        </w:tc>
        <w:tc>
          <w:tcPr>
            <w:tcW w:w="1560" w:type="dxa"/>
            <w:tcBorders>
              <w:top w:val="nil"/>
              <w:left w:val="nil"/>
              <w:bottom w:val="single" w:sz="4" w:space="0" w:color="auto"/>
              <w:right w:val="single" w:sz="4" w:space="0" w:color="auto"/>
            </w:tcBorders>
            <w:shd w:val="clear" w:color="auto" w:fill="auto"/>
            <w:noWrap/>
            <w:vAlign w:val="center"/>
            <w:hideMark/>
          </w:tcPr>
          <w:p w14:paraId="726172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£4,428</w:t>
            </w:r>
          </w:p>
        </w:tc>
        <w:tc>
          <w:tcPr>
            <w:tcW w:w="1560" w:type="dxa"/>
            <w:tcBorders>
              <w:top w:val="nil"/>
              <w:left w:val="nil"/>
              <w:bottom w:val="single" w:sz="4" w:space="0" w:color="auto"/>
              <w:right w:val="single" w:sz="4" w:space="0" w:color="auto"/>
            </w:tcBorders>
            <w:shd w:val="clear" w:color="auto" w:fill="auto"/>
            <w:noWrap/>
            <w:vAlign w:val="center"/>
            <w:hideMark/>
          </w:tcPr>
          <w:p w14:paraId="1F69F8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£4,395</w:t>
            </w:r>
          </w:p>
        </w:tc>
        <w:tc>
          <w:tcPr>
            <w:tcW w:w="1560" w:type="dxa"/>
            <w:tcBorders>
              <w:top w:val="nil"/>
              <w:left w:val="nil"/>
              <w:bottom w:val="single" w:sz="4" w:space="0" w:color="auto"/>
              <w:right w:val="single" w:sz="4" w:space="0" w:color="auto"/>
            </w:tcBorders>
            <w:shd w:val="clear" w:color="auto" w:fill="auto"/>
            <w:noWrap/>
            <w:vAlign w:val="center"/>
            <w:hideMark/>
          </w:tcPr>
          <w:p w14:paraId="3F7766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£4,371</w:t>
            </w:r>
          </w:p>
        </w:tc>
        <w:tc>
          <w:tcPr>
            <w:tcW w:w="1560" w:type="dxa"/>
            <w:tcBorders>
              <w:top w:val="nil"/>
              <w:left w:val="nil"/>
              <w:bottom w:val="single" w:sz="4" w:space="0" w:color="auto"/>
              <w:right w:val="single" w:sz="4" w:space="0" w:color="auto"/>
            </w:tcBorders>
            <w:shd w:val="clear" w:color="auto" w:fill="auto"/>
            <w:noWrap/>
            <w:vAlign w:val="center"/>
            <w:hideMark/>
          </w:tcPr>
          <w:p w14:paraId="629534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£4,471</w:t>
            </w:r>
          </w:p>
        </w:tc>
        <w:tc>
          <w:tcPr>
            <w:tcW w:w="1699" w:type="dxa"/>
            <w:tcBorders>
              <w:top w:val="nil"/>
              <w:left w:val="nil"/>
              <w:bottom w:val="single" w:sz="4" w:space="0" w:color="auto"/>
              <w:right w:val="single" w:sz="4" w:space="0" w:color="auto"/>
            </w:tcBorders>
            <w:shd w:val="clear" w:color="auto" w:fill="auto"/>
            <w:noWrap/>
            <w:vAlign w:val="center"/>
            <w:hideMark/>
          </w:tcPr>
          <w:p w14:paraId="10F929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£17,665</w:t>
            </w:r>
          </w:p>
        </w:tc>
      </w:tr>
      <w:tr w:rsidR="004433D7" w:rsidRPr="004433D7" w14:paraId="3EACF91C"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4C52CC0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1F69AD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£1,187</w:t>
            </w:r>
          </w:p>
        </w:tc>
        <w:tc>
          <w:tcPr>
            <w:tcW w:w="1560" w:type="dxa"/>
            <w:tcBorders>
              <w:top w:val="nil"/>
              <w:left w:val="nil"/>
              <w:bottom w:val="single" w:sz="4" w:space="0" w:color="auto"/>
              <w:right w:val="single" w:sz="4" w:space="0" w:color="auto"/>
            </w:tcBorders>
            <w:shd w:val="clear" w:color="auto" w:fill="auto"/>
            <w:noWrap/>
            <w:vAlign w:val="center"/>
            <w:hideMark/>
          </w:tcPr>
          <w:p w14:paraId="3425EE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£1,178</w:t>
            </w:r>
          </w:p>
        </w:tc>
        <w:tc>
          <w:tcPr>
            <w:tcW w:w="1560" w:type="dxa"/>
            <w:tcBorders>
              <w:top w:val="nil"/>
              <w:left w:val="nil"/>
              <w:bottom w:val="single" w:sz="4" w:space="0" w:color="auto"/>
              <w:right w:val="single" w:sz="4" w:space="0" w:color="auto"/>
            </w:tcBorders>
            <w:shd w:val="clear" w:color="auto" w:fill="auto"/>
            <w:noWrap/>
            <w:vAlign w:val="center"/>
            <w:hideMark/>
          </w:tcPr>
          <w:p w14:paraId="2E3478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£1,172</w:t>
            </w:r>
          </w:p>
        </w:tc>
        <w:tc>
          <w:tcPr>
            <w:tcW w:w="1560" w:type="dxa"/>
            <w:tcBorders>
              <w:top w:val="nil"/>
              <w:left w:val="nil"/>
              <w:bottom w:val="single" w:sz="4" w:space="0" w:color="auto"/>
              <w:right w:val="single" w:sz="4" w:space="0" w:color="auto"/>
            </w:tcBorders>
            <w:shd w:val="clear" w:color="auto" w:fill="auto"/>
            <w:noWrap/>
            <w:vAlign w:val="center"/>
            <w:hideMark/>
          </w:tcPr>
          <w:p w14:paraId="2DF1A0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£1,199</w:t>
            </w:r>
          </w:p>
        </w:tc>
        <w:tc>
          <w:tcPr>
            <w:tcW w:w="1699" w:type="dxa"/>
            <w:tcBorders>
              <w:top w:val="nil"/>
              <w:left w:val="nil"/>
              <w:bottom w:val="single" w:sz="4" w:space="0" w:color="auto"/>
              <w:right w:val="single" w:sz="4" w:space="0" w:color="auto"/>
            </w:tcBorders>
            <w:shd w:val="clear" w:color="auto" w:fill="auto"/>
            <w:noWrap/>
            <w:vAlign w:val="center"/>
            <w:hideMark/>
          </w:tcPr>
          <w:p w14:paraId="29B924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£4,736</w:t>
            </w:r>
          </w:p>
        </w:tc>
      </w:tr>
      <w:tr w:rsidR="004433D7" w:rsidRPr="004433D7" w14:paraId="19F9B721"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0CDD743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Airtricity Energy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26BF97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£33,905</w:t>
            </w:r>
          </w:p>
        </w:tc>
        <w:tc>
          <w:tcPr>
            <w:tcW w:w="1560" w:type="dxa"/>
            <w:tcBorders>
              <w:top w:val="nil"/>
              <w:left w:val="nil"/>
              <w:bottom w:val="single" w:sz="4" w:space="0" w:color="auto"/>
              <w:right w:val="single" w:sz="4" w:space="0" w:color="auto"/>
            </w:tcBorders>
            <w:shd w:val="clear" w:color="auto" w:fill="auto"/>
            <w:noWrap/>
            <w:vAlign w:val="center"/>
            <w:hideMark/>
          </w:tcPr>
          <w:p w14:paraId="1F3253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£33,654</w:t>
            </w:r>
          </w:p>
        </w:tc>
        <w:tc>
          <w:tcPr>
            <w:tcW w:w="1560" w:type="dxa"/>
            <w:tcBorders>
              <w:top w:val="nil"/>
              <w:left w:val="nil"/>
              <w:bottom w:val="single" w:sz="4" w:space="0" w:color="auto"/>
              <w:right w:val="single" w:sz="4" w:space="0" w:color="auto"/>
            </w:tcBorders>
            <w:shd w:val="clear" w:color="auto" w:fill="auto"/>
            <w:noWrap/>
            <w:vAlign w:val="center"/>
            <w:hideMark/>
          </w:tcPr>
          <w:p w14:paraId="68CA85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£33,468</w:t>
            </w:r>
          </w:p>
        </w:tc>
        <w:tc>
          <w:tcPr>
            <w:tcW w:w="1560" w:type="dxa"/>
            <w:tcBorders>
              <w:top w:val="nil"/>
              <w:left w:val="nil"/>
              <w:bottom w:val="single" w:sz="4" w:space="0" w:color="auto"/>
              <w:right w:val="single" w:sz="4" w:space="0" w:color="auto"/>
            </w:tcBorders>
            <w:shd w:val="clear" w:color="auto" w:fill="auto"/>
            <w:noWrap/>
            <w:vAlign w:val="center"/>
            <w:hideMark/>
          </w:tcPr>
          <w:p w14:paraId="3C82FB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£34,238</w:t>
            </w:r>
          </w:p>
        </w:tc>
        <w:tc>
          <w:tcPr>
            <w:tcW w:w="1699" w:type="dxa"/>
            <w:tcBorders>
              <w:top w:val="nil"/>
              <w:left w:val="nil"/>
              <w:bottom w:val="single" w:sz="4" w:space="0" w:color="auto"/>
              <w:right w:val="single" w:sz="4" w:space="0" w:color="auto"/>
            </w:tcBorders>
            <w:shd w:val="clear" w:color="auto" w:fill="auto"/>
            <w:noWrap/>
            <w:vAlign w:val="center"/>
            <w:hideMark/>
          </w:tcPr>
          <w:p w14:paraId="07E5E7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£135,265</w:t>
            </w:r>
          </w:p>
        </w:tc>
      </w:tr>
      <w:tr w:rsidR="004433D7" w:rsidRPr="004433D7" w14:paraId="13C23304"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BF32DC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560" w:type="dxa"/>
            <w:tcBorders>
              <w:top w:val="nil"/>
              <w:left w:val="nil"/>
              <w:bottom w:val="single" w:sz="4" w:space="0" w:color="auto"/>
              <w:right w:val="single" w:sz="4" w:space="0" w:color="auto"/>
            </w:tcBorders>
            <w:shd w:val="clear" w:color="auto" w:fill="auto"/>
            <w:noWrap/>
            <w:vAlign w:val="center"/>
            <w:hideMark/>
          </w:tcPr>
          <w:p w14:paraId="5B30EF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£1,855,785</w:t>
            </w:r>
          </w:p>
        </w:tc>
        <w:tc>
          <w:tcPr>
            <w:tcW w:w="1560" w:type="dxa"/>
            <w:tcBorders>
              <w:top w:val="nil"/>
              <w:left w:val="nil"/>
              <w:bottom w:val="single" w:sz="4" w:space="0" w:color="auto"/>
              <w:right w:val="single" w:sz="4" w:space="0" w:color="auto"/>
            </w:tcBorders>
            <w:shd w:val="clear" w:color="auto" w:fill="auto"/>
            <w:noWrap/>
            <w:vAlign w:val="center"/>
            <w:hideMark/>
          </w:tcPr>
          <w:p w14:paraId="7F6F85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£1,842,028</w:t>
            </w:r>
          </w:p>
        </w:tc>
        <w:tc>
          <w:tcPr>
            <w:tcW w:w="1560" w:type="dxa"/>
            <w:tcBorders>
              <w:top w:val="nil"/>
              <w:left w:val="nil"/>
              <w:bottom w:val="single" w:sz="4" w:space="0" w:color="auto"/>
              <w:right w:val="single" w:sz="4" w:space="0" w:color="auto"/>
            </w:tcBorders>
            <w:shd w:val="clear" w:color="auto" w:fill="auto"/>
            <w:noWrap/>
            <w:vAlign w:val="center"/>
            <w:hideMark/>
          </w:tcPr>
          <w:p w14:paraId="746E9A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£1,831,877</w:t>
            </w:r>
          </w:p>
        </w:tc>
        <w:tc>
          <w:tcPr>
            <w:tcW w:w="1560" w:type="dxa"/>
            <w:tcBorders>
              <w:top w:val="nil"/>
              <w:left w:val="nil"/>
              <w:bottom w:val="single" w:sz="4" w:space="0" w:color="auto"/>
              <w:right w:val="single" w:sz="4" w:space="0" w:color="auto"/>
            </w:tcBorders>
            <w:shd w:val="clear" w:color="auto" w:fill="auto"/>
            <w:noWrap/>
            <w:vAlign w:val="center"/>
            <w:hideMark/>
          </w:tcPr>
          <w:p w14:paraId="521770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£1,874,031</w:t>
            </w:r>
          </w:p>
        </w:tc>
        <w:tc>
          <w:tcPr>
            <w:tcW w:w="1699" w:type="dxa"/>
            <w:tcBorders>
              <w:top w:val="nil"/>
              <w:left w:val="nil"/>
              <w:bottom w:val="single" w:sz="4" w:space="0" w:color="auto"/>
              <w:right w:val="single" w:sz="4" w:space="0" w:color="auto"/>
            </w:tcBorders>
            <w:shd w:val="clear" w:color="auto" w:fill="auto"/>
            <w:noWrap/>
            <w:vAlign w:val="center"/>
            <w:hideMark/>
          </w:tcPr>
          <w:p w14:paraId="684AAC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£7,403,721</w:t>
            </w:r>
          </w:p>
        </w:tc>
      </w:tr>
      <w:tr w:rsidR="004433D7" w:rsidRPr="004433D7" w14:paraId="6C965402"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1C2BD6C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560" w:type="dxa"/>
            <w:tcBorders>
              <w:top w:val="nil"/>
              <w:left w:val="nil"/>
              <w:bottom w:val="single" w:sz="4" w:space="0" w:color="auto"/>
              <w:right w:val="single" w:sz="4" w:space="0" w:color="auto"/>
            </w:tcBorders>
            <w:shd w:val="clear" w:color="auto" w:fill="auto"/>
            <w:noWrap/>
            <w:vAlign w:val="center"/>
            <w:hideMark/>
          </w:tcPr>
          <w:p w14:paraId="58DB5E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£39,566</w:t>
            </w:r>
          </w:p>
        </w:tc>
        <w:tc>
          <w:tcPr>
            <w:tcW w:w="1560" w:type="dxa"/>
            <w:tcBorders>
              <w:top w:val="nil"/>
              <w:left w:val="nil"/>
              <w:bottom w:val="single" w:sz="4" w:space="0" w:color="auto"/>
              <w:right w:val="single" w:sz="4" w:space="0" w:color="auto"/>
            </w:tcBorders>
            <w:shd w:val="clear" w:color="auto" w:fill="auto"/>
            <w:noWrap/>
            <w:vAlign w:val="center"/>
            <w:hideMark/>
          </w:tcPr>
          <w:p w14:paraId="72BA60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£39,273</w:t>
            </w:r>
          </w:p>
        </w:tc>
        <w:tc>
          <w:tcPr>
            <w:tcW w:w="1560" w:type="dxa"/>
            <w:tcBorders>
              <w:top w:val="nil"/>
              <w:left w:val="nil"/>
              <w:bottom w:val="single" w:sz="4" w:space="0" w:color="auto"/>
              <w:right w:val="single" w:sz="4" w:space="0" w:color="auto"/>
            </w:tcBorders>
            <w:shd w:val="clear" w:color="auto" w:fill="auto"/>
            <w:noWrap/>
            <w:vAlign w:val="center"/>
            <w:hideMark/>
          </w:tcPr>
          <w:p w14:paraId="731836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£39,057</w:t>
            </w:r>
          </w:p>
        </w:tc>
        <w:tc>
          <w:tcPr>
            <w:tcW w:w="1560" w:type="dxa"/>
            <w:tcBorders>
              <w:top w:val="nil"/>
              <w:left w:val="nil"/>
              <w:bottom w:val="single" w:sz="4" w:space="0" w:color="auto"/>
              <w:right w:val="single" w:sz="4" w:space="0" w:color="auto"/>
            </w:tcBorders>
            <w:shd w:val="clear" w:color="auto" w:fill="auto"/>
            <w:noWrap/>
            <w:vAlign w:val="center"/>
            <w:hideMark/>
          </w:tcPr>
          <w:p w14:paraId="03010E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£39,955</w:t>
            </w:r>
          </w:p>
        </w:tc>
        <w:tc>
          <w:tcPr>
            <w:tcW w:w="1699" w:type="dxa"/>
            <w:tcBorders>
              <w:top w:val="nil"/>
              <w:left w:val="nil"/>
              <w:bottom w:val="single" w:sz="4" w:space="0" w:color="auto"/>
              <w:right w:val="single" w:sz="4" w:space="0" w:color="auto"/>
            </w:tcBorders>
            <w:shd w:val="clear" w:color="auto" w:fill="auto"/>
            <w:noWrap/>
            <w:vAlign w:val="center"/>
            <w:hideMark/>
          </w:tcPr>
          <w:p w14:paraId="5A899E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£157,851</w:t>
            </w:r>
          </w:p>
        </w:tc>
      </w:tr>
      <w:tr w:rsidR="004433D7" w:rsidRPr="004433D7" w14:paraId="36B19596"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E21CE4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51F470A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£4,882</w:t>
            </w:r>
          </w:p>
        </w:tc>
        <w:tc>
          <w:tcPr>
            <w:tcW w:w="1560" w:type="dxa"/>
            <w:tcBorders>
              <w:top w:val="nil"/>
              <w:left w:val="nil"/>
              <w:bottom w:val="single" w:sz="4" w:space="0" w:color="auto"/>
              <w:right w:val="single" w:sz="4" w:space="0" w:color="auto"/>
            </w:tcBorders>
            <w:shd w:val="clear" w:color="auto" w:fill="auto"/>
            <w:noWrap/>
            <w:vAlign w:val="center"/>
            <w:hideMark/>
          </w:tcPr>
          <w:p w14:paraId="2992D3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£4,845</w:t>
            </w:r>
          </w:p>
        </w:tc>
        <w:tc>
          <w:tcPr>
            <w:tcW w:w="1560" w:type="dxa"/>
            <w:tcBorders>
              <w:top w:val="nil"/>
              <w:left w:val="nil"/>
              <w:bottom w:val="single" w:sz="4" w:space="0" w:color="auto"/>
              <w:right w:val="single" w:sz="4" w:space="0" w:color="auto"/>
            </w:tcBorders>
            <w:shd w:val="clear" w:color="auto" w:fill="auto"/>
            <w:noWrap/>
            <w:vAlign w:val="center"/>
            <w:hideMark/>
          </w:tcPr>
          <w:p w14:paraId="00CB49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£4,819</w:t>
            </w:r>
          </w:p>
        </w:tc>
        <w:tc>
          <w:tcPr>
            <w:tcW w:w="1560" w:type="dxa"/>
            <w:tcBorders>
              <w:top w:val="nil"/>
              <w:left w:val="nil"/>
              <w:bottom w:val="single" w:sz="4" w:space="0" w:color="auto"/>
              <w:right w:val="single" w:sz="4" w:space="0" w:color="auto"/>
            </w:tcBorders>
            <w:shd w:val="clear" w:color="auto" w:fill="auto"/>
            <w:noWrap/>
            <w:vAlign w:val="center"/>
            <w:hideMark/>
          </w:tcPr>
          <w:p w14:paraId="11C231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£4,930</w:t>
            </w:r>
          </w:p>
        </w:tc>
        <w:tc>
          <w:tcPr>
            <w:tcW w:w="1699" w:type="dxa"/>
            <w:tcBorders>
              <w:top w:val="nil"/>
              <w:left w:val="nil"/>
              <w:bottom w:val="single" w:sz="4" w:space="0" w:color="auto"/>
              <w:right w:val="single" w:sz="4" w:space="0" w:color="auto"/>
            </w:tcBorders>
            <w:shd w:val="clear" w:color="auto" w:fill="auto"/>
            <w:noWrap/>
            <w:vAlign w:val="center"/>
            <w:hideMark/>
          </w:tcPr>
          <w:p w14:paraId="61E203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£19,476</w:t>
            </w:r>
          </w:p>
        </w:tc>
      </w:tr>
      <w:tr w:rsidR="004433D7" w:rsidRPr="004433D7" w14:paraId="1D00809B"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55C45AB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560" w:type="dxa"/>
            <w:tcBorders>
              <w:top w:val="nil"/>
              <w:left w:val="nil"/>
              <w:bottom w:val="single" w:sz="4" w:space="0" w:color="auto"/>
              <w:right w:val="single" w:sz="4" w:space="0" w:color="auto"/>
            </w:tcBorders>
            <w:shd w:val="clear" w:color="auto" w:fill="auto"/>
            <w:noWrap/>
            <w:vAlign w:val="center"/>
            <w:hideMark/>
          </w:tcPr>
          <w:p w14:paraId="68D99D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£500,598</w:t>
            </w:r>
          </w:p>
        </w:tc>
        <w:tc>
          <w:tcPr>
            <w:tcW w:w="1560" w:type="dxa"/>
            <w:tcBorders>
              <w:top w:val="nil"/>
              <w:left w:val="nil"/>
              <w:bottom w:val="single" w:sz="4" w:space="0" w:color="auto"/>
              <w:right w:val="single" w:sz="4" w:space="0" w:color="auto"/>
            </w:tcBorders>
            <w:shd w:val="clear" w:color="auto" w:fill="auto"/>
            <w:noWrap/>
            <w:vAlign w:val="center"/>
            <w:hideMark/>
          </w:tcPr>
          <w:p w14:paraId="7F7A96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£496,887</w:t>
            </w:r>
          </w:p>
        </w:tc>
        <w:tc>
          <w:tcPr>
            <w:tcW w:w="1560" w:type="dxa"/>
            <w:tcBorders>
              <w:top w:val="nil"/>
              <w:left w:val="nil"/>
              <w:bottom w:val="single" w:sz="4" w:space="0" w:color="auto"/>
              <w:right w:val="single" w:sz="4" w:space="0" w:color="auto"/>
            </w:tcBorders>
            <w:shd w:val="clear" w:color="auto" w:fill="auto"/>
            <w:noWrap/>
            <w:vAlign w:val="center"/>
            <w:hideMark/>
          </w:tcPr>
          <w:p w14:paraId="1CE9B6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£494,148</w:t>
            </w:r>
          </w:p>
        </w:tc>
        <w:tc>
          <w:tcPr>
            <w:tcW w:w="1560" w:type="dxa"/>
            <w:tcBorders>
              <w:top w:val="nil"/>
              <w:left w:val="nil"/>
              <w:bottom w:val="single" w:sz="4" w:space="0" w:color="auto"/>
              <w:right w:val="single" w:sz="4" w:space="0" w:color="auto"/>
            </w:tcBorders>
            <w:shd w:val="clear" w:color="auto" w:fill="auto"/>
            <w:noWrap/>
            <w:vAlign w:val="center"/>
            <w:hideMark/>
          </w:tcPr>
          <w:p w14:paraId="4D02A4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£505,519</w:t>
            </w:r>
          </w:p>
        </w:tc>
        <w:tc>
          <w:tcPr>
            <w:tcW w:w="1699" w:type="dxa"/>
            <w:tcBorders>
              <w:top w:val="nil"/>
              <w:left w:val="nil"/>
              <w:bottom w:val="single" w:sz="4" w:space="0" w:color="auto"/>
              <w:right w:val="single" w:sz="4" w:space="0" w:color="auto"/>
            </w:tcBorders>
            <w:shd w:val="clear" w:color="auto" w:fill="auto"/>
            <w:noWrap/>
            <w:vAlign w:val="center"/>
            <w:hideMark/>
          </w:tcPr>
          <w:p w14:paraId="796118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£1,997,152</w:t>
            </w:r>
          </w:p>
        </w:tc>
      </w:tr>
      <w:tr w:rsidR="004433D7" w:rsidRPr="004433D7" w14:paraId="4684A155" w14:textId="77777777" w:rsidTr="00780608">
        <w:trPr>
          <w:trHeight w:val="42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37528CF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560" w:type="dxa"/>
            <w:tcBorders>
              <w:top w:val="nil"/>
              <w:left w:val="nil"/>
              <w:bottom w:val="single" w:sz="4" w:space="0" w:color="auto"/>
              <w:right w:val="single" w:sz="4" w:space="0" w:color="auto"/>
            </w:tcBorders>
            <w:shd w:val="clear" w:color="auto" w:fill="auto"/>
            <w:noWrap/>
            <w:vAlign w:val="center"/>
            <w:hideMark/>
          </w:tcPr>
          <w:p w14:paraId="74F653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w:t>
            </w:r>
          </w:p>
        </w:tc>
        <w:tc>
          <w:tcPr>
            <w:tcW w:w="1560" w:type="dxa"/>
            <w:tcBorders>
              <w:top w:val="nil"/>
              <w:left w:val="nil"/>
              <w:bottom w:val="single" w:sz="4" w:space="0" w:color="auto"/>
              <w:right w:val="single" w:sz="4" w:space="0" w:color="auto"/>
            </w:tcBorders>
            <w:shd w:val="clear" w:color="auto" w:fill="auto"/>
            <w:noWrap/>
            <w:vAlign w:val="center"/>
            <w:hideMark/>
          </w:tcPr>
          <w:p w14:paraId="28FD37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w:t>
            </w:r>
          </w:p>
        </w:tc>
        <w:tc>
          <w:tcPr>
            <w:tcW w:w="1560" w:type="dxa"/>
            <w:tcBorders>
              <w:top w:val="nil"/>
              <w:left w:val="nil"/>
              <w:bottom w:val="single" w:sz="4" w:space="0" w:color="auto"/>
              <w:right w:val="single" w:sz="4" w:space="0" w:color="auto"/>
            </w:tcBorders>
            <w:shd w:val="clear" w:color="auto" w:fill="auto"/>
            <w:noWrap/>
            <w:vAlign w:val="center"/>
            <w:hideMark/>
          </w:tcPr>
          <w:p w14:paraId="153BBC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w:t>
            </w:r>
          </w:p>
        </w:tc>
        <w:tc>
          <w:tcPr>
            <w:tcW w:w="1560" w:type="dxa"/>
            <w:tcBorders>
              <w:top w:val="nil"/>
              <w:left w:val="nil"/>
              <w:bottom w:val="single" w:sz="4" w:space="0" w:color="auto"/>
              <w:right w:val="single" w:sz="4" w:space="0" w:color="auto"/>
            </w:tcBorders>
            <w:shd w:val="clear" w:color="auto" w:fill="auto"/>
            <w:noWrap/>
            <w:vAlign w:val="center"/>
            <w:hideMark/>
          </w:tcPr>
          <w:p w14:paraId="2FCCA8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w:t>
            </w:r>
          </w:p>
        </w:tc>
        <w:tc>
          <w:tcPr>
            <w:tcW w:w="1699" w:type="dxa"/>
            <w:tcBorders>
              <w:top w:val="nil"/>
              <w:left w:val="nil"/>
              <w:bottom w:val="single" w:sz="4" w:space="0" w:color="auto"/>
              <w:right w:val="single" w:sz="4" w:space="0" w:color="auto"/>
            </w:tcBorders>
            <w:shd w:val="clear" w:color="auto" w:fill="auto"/>
            <w:noWrap/>
            <w:vAlign w:val="center"/>
            <w:hideMark/>
          </w:tcPr>
          <w:p w14:paraId="595C57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£132</w:t>
            </w:r>
          </w:p>
        </w:tc>
      </w:tr>
      <w:tr w:rsidR="004433D7" w:rsidRPr="004433D7" w14:paraId="66F7E7EE"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auto"/>
            <w:vAlign w:val="center"/>
            <w:hideMark/>
          </w:tcPr>
          <w:p w14:paraId="692E0D4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w:t>
            </w:r>
          </w:p>
        </w:tc>
        <w:tc>
          <w:tcPr>
            <w:tcW w:w="1560" w:type="dxa"/>
            <w:tcBorders>
              <w:top w:val="nil"/>
              <w:left w:val="nil"/>
              <w:bottom w:val="single" w:sz="4" w:space="0" w:color="auto"/>
              <w:right w:val="single" w:sz="4" w:space="0" w:color="auto"/>
            </w:tcBorders>
            <w:shd w:val="clear" w:color="auto" w:fill="auto"/>
            <w:noWrap/>
            <w:vAlign w:val="center"/>
            <w:hideMark/>
          </w:tcPr>
          <w:p w14:paraId="26C016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£90,069</w:t>
            </w:r>
          </w:p>
        </w:tc>
        <w:tc>
          <w:tcPr>
            <w:tcW w:w="1560" w:type="dxa"/>
            <w:tcBorders>
              <w:top w:val="nil"/>
              <w:left w:val="nil"/>
              <w:bottom w:val="single" w:sz="4" w:space="0" w:color="auto"/>
              <w:right w:val="single" w:sz="4" w:space="0" w:color="auto"/>
            </w:tcBorders>
            <w:shd w:val="clear" w:color="auto" w:fill="auto"/>
            <w:noWrap/>
            <w:vAlign w:val="center"/>
            <w:hideMark/>
          </w:tcPr>
          <w:p w14:paraId="32314D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£89,401</w:t>
            </w:r>
          </w:p>
        </w:tc>
        <w:tc>
          <w:tcPr>
            <w:tcW w:w="1560" w:type="dxa"/>
            <w:tcBorders>
              <w:top w:val="nil"/>
              <w:left w:val="nil"/>
              <w:bottom w:val="single" w:sz="4" w:space="0" w:color="auto"/>
              <w:right w:val="single" w:sz="4" w:space="0" w:color="auto"/>
            </w:tcBorders>
            <w:shd w:val="clear" w:color="auto" w:fill="auto"/>
            <w:noWrap/>
            <w:vAlign w:val="center"/>
            <w:hideMark/>
          </w:tcPr>
          <w:p w14:paraId="28806C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£88,908</w:t>
            </w:r>
          </w:p>
        </w:tc>
        <w:tc>
          <w:tcPr>
            <w:tcW w:w="1560" w:type="dxa"/>
            <w:tcBorders>
              <w:top w:val="nil"/>
              <w:left w:val="nil"/>
              <w:bottom w:val="single" w:sz="4" w:space="0" w:color="auto"/>
              <w:right w:val="single" w:sz="4" w:space="0" w:color="auto"/>
            </w:tcBorders>
            <w:shd w:val="clear" w:color="auto" w:fill="auto"/>
            <w:noWrap/>
            <w:vAlign w:val="center"/>
            <w:hideMark/>
          </w:tcPr>
          <w:p w14:paraId="61D916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£90,954</w:t>
            </w:r>
          </w:p>
        </w:tc>
        <w:tc>
          <w:tcPr>
            <w:tcW w:w="1699" w:type="dxa"/>
            <w:tcBorders>
              <w:top w:val="nil"/>
              <w:left w:val="nil"/>
              <w:bottom w:val="single" w:sz="4" w:space="0" w:color="auto"/>
              <w:right w:val="single" w:sz="4" w:space="0" w:color="auto"/>
            </w:tcBorders>
            <w:shd w:val="clear" w:color="auto" w:fill="auto"/>
            <w:noWrap/>
            <w:vAlign w:val="center"/>
            <w:hideMark/>
          </w:tcPr>
          <w:p w14:paraId="6034DC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£359,332</w:t>
            </w:r>
          </w:p>
        </w:tc>
      </w:tr>
      <w:tr w:rsidR="004433D7" w:rsidRPr="004433D7" w14:paraId="6ED13B11" w14:textId="77777777" w:rsidTr="00780608">
        <w:trPr>
          <w:trHeight w:val="270"/>
        </w:trPr>
        <w:tc>
          <w:tcPr>
            <w:tcW w:w="2121" w:type="dxa"/>
            <w:tcBorders>
              <w:top w:val="nil"/>
              <w:left w:val="single" w:sz="4" w:space="0" w:color="auto"/>
              <w:bottom w:val="single" w:sz="4" w:space="0" w:color="auto"/>
              <w:right w:val="single" w:sz="4" w:space="0" w:color="auto"/>
            </w:tcBorders>
            <w:shd w:val="clear" w:color="auto" w:fill="2363AF"/>
            <w:vAlign w:val="center"/>
            <w:hideMark/>
          </w:tcPr>
          <w:p w14:paraId="4F897C1D"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560" w:type="dxa"/>
            <w:tcBorders>
              <w:top w:val="nil"/>
              <w:left w:val="nil"/>
              <w:bottom w:val="single" w:sz="4" w:space="0" w:color="auto"/>
              <w:right w:val="single" w:sz="4" w:space="0" w:color="auto"/>
            </w:tcBorders>
            <w:shd w:val="clear" w:color="auto" w:fill="2363AF"/>
            <w:noWrap/>
            <w:vAlign w:val="center"/>
            <w:hideMark/>
          </w:tcPr>
          <w:p w14:paraId="686B388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£13,376,751</w:t>
            </w:r>
          </w:p>
        </w:tc>
        <w:tc>
          <w:tcPr>
            <w:tcW w:w="1560" w:type="dxa"/>
            <w:tcBorders>
              <w:top w:val="nil"/>
              <w:left w:val="nil"/>
              <w:bottom w:val="single" w:sz="4" w:space="0" w:color="auto"/>
              <w:right w:val="single" w:sz="4" w:space="0" w:color="auto"/>
            </w:tcBorders>
            <w:shd w:val="clear" w:color="auto" w:fill="2363AF"/>
            <w:noWrap/>
            <w:vAlign w:val="center"/>
            <w:hideMark/>
          </w:tcPr>
          <w:p w14:paraId="746484A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£13,277,589</w:t>
            </w:r>
          </w:p>
        </w:tc>
        <w:tc>
          <w:tcPr>
            <w:tcW w:w="1560" w:type="dxa"/>
            <w:tcBorders>
              <w:top w:val="nil"/>
              <w:left w:val="nil"/>
              <w:bottom w:val="single" w:sz="4" w:space="0" w:color="auto"/>
              <w:right w:val="single" w:sz="4" w:space="0" w:color="auto"/>
            </w:tcBorders>
            <w:shd w:val="clear" w:color="auto" w:fill="2363AF"/>
            <w:noWrap/>
            <w:vAlign w:val="center"/>
            <w:hideMark/>
          </w:tcPr>
          <w:p w14:paraId="4F4122C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£13,204,418</w:t>
            </w:r>
          </w:p>
        </w:tc>
        <w:tc>
          <w:tcPr>
            <w:tcW w:w="1560" w:type="dxa"/>
            <w:tcBorders>
              <w:top w:val="nil"/>
              <w:left w:val="nil"/>
              <w:bottom w:val="single" w:sz="4" w:space="0" w:color="auto"/>
              <w:right w:val="single" w:sz="4" w:space="0" w:color="auto"/>
            </w:tcBorders>
            <w:shd w:val="clear" w:color="auto" w:fill="2363AF"/>
            <w:noWrap/>
            <w:vAlign w:val="center"/>
            <w:hideMark/>
          </w:tcPr>
          <w:p w14:paraId="10E003BD"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£13,508,269</w:t>
            </w:r>
          </w:p>
        </w:tc>
        <w:tc>
          <w:tcPr>
            <w:tcW w:w="1699" w:type="dxa"/>
            <w:tcBorders>
              <w:top w:val="nil"/>
              <w:left w:val="nil"/>
              <w:bottom w:val="single" w:sz="4" w:space="0" w:color="auto"/>
              <w:right w:val="single" w:sz="4" w:space="0" w:color="auto"/>
            </w:tcBorders>
            <w:shd w:val="clear" w:color="auto" w:fill="2363AF"/>
            <w:noWrap/>
            <w:vAlign w:val="center"/>
            <w:hideMark/>
          </w:tcPr>
          <w:p w14:paraId="7CFC1C29"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£53,367,027</w:t>
            </w:r>
          </w:p>
        </w:tc>
      </w:tr>
    </w:tbl>
    <w:p w14:paraId="17A8619A" w14:textId="77777777" w:rsidR="00017E6B" w:rsidRDefault="00017E6B">
      <w:pPr>
        <w:spacing w:line="276" w:lineRule="auto"/>
        <w:rPr>
          <w:rFonts w:cstheme="minorHAnsi"/>
        </w:rPr>
      </w:pPr>
    </w:p>
    <w:p w14:paraId="076F00CF" w14:textId="77777777" w:rsidR="00017E6B" w:rsidRDefault="00017E6B">
      <w:pPr>
        <w:spacing w:line="276" w:lineRule="auto"/>
        <w:rPr>
          <w:rFonts w:cstheme="minorHAnsi"/>
        </w:rPr>
      </w:pPr>
      <w:r>
        <w:rPr>
          <w:rFonts w:cstheme="minorHAnsi"/>
        </w:rPr>
        <w:br w:type="page"/>
      </w:r>
    </w:p>
    <w:p w14:paraId="487EB3BB" w14:textId="39D85199" w:rsidR="00017E6B" w:rsidRDefault="00017E6B" w:rsidP="00017E6B">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6</w:t>
      </w:r>
      <w:r w:rsidRPr="006B3AC6">
        <w:rPr>
          <w:rFonts w:eastAsiaTheme="minorEastAsia"/>
          <w:b/>
          <w:color w:val="000000" w:themeColor="text1"/>
        </w:rPr>
        <w:t xml:space="preserve">: </w:t>
      </w:r>
      <w:r>
        <w:rPr>
          <w:rFonts w:eastAsiaTheme="minorEastAsia"/>
          <w:b/>
          <w:color w:val="000000" w:themeColor="text1"/>
        </w:rPr>
        <w:t>ROS mutualisation payment redistribution 2017-18</w:t>
      </w:r>
    </w:p>
    <w:tbl>
      <w:tblPr>
        <w:tblW w:w="10112" w:type="dxa"/>
        <w:tblLayout w:type="fixed"/>
        <w:tblLook w:val="04A0" w:firstRow="1" w:lastRow="0" w:firstColumn="1" w:lastColumn="0" w:noHBand="0" w:noVBand="1"/>
      </w:tblPr>
      <w:tblGrid>
        <w:gridCol w:w="2356"/>
        <w:gridCol w:w="1465"/>
        <w:gridCol w:w="1465"/>
        <w:gridCol w:w="1465"/>
        <w:gridCol w:w="1466"/>
        <w:gridCol w:w="1895"/>
      </w:tblGrid>
      <w:tr w:rsidR="004433D7" w:rsidRPr="004433D7" w14:paraId="5ADE5DDA" w14:textId="77777777" w:rsidTr="00780608">
        <w:trPr>
          <w:trHeight w:val="420"/>
          <w:tblHeader/>
        </w:trPr>
        <w:tc>
          <w:tcPr>
            <w:tcW w:w="2356"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03863EE7"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465" w:type="dxa"/>
            <w:tcBorders>
              <w:top w:val="single" w:sz="4" w:space="0" w:color="auto"/>
              <w:left w:val="nil"/>
              <w:bottom w:val="single" w:sz="4" w:space="0" w:color="auto"/>
              <w:right w:val="single" w:sz="4" w:space="0" w:color="auto"/>
            </w:tcBorders>
            <w:shd w:val="clear" w:color="auto" w:fill="2363AF"/>
            <w:vAlign w:val="center"/>
            <w:hideMark/>
          </w:tcPr>
          <w:p w14:paraId="5027D7E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Q1</w:t>
            </w:r>
            <w:r w:rsidRPr="004433D7">
              <w:rPr>
                <w:rFonts w:eastAsia="Times New Roman" w:cs="Times New Roman"/>
                <w:color w:val="FFFFFF"/>
                <w:sz w:val="16"/>
                <w:szCs w:val="16"/>
              </w:rPr>
              <w:br/>
              <w:t>Redistributions</w:t>
            </w:r>
          </w:p>
        </w:tc>
        <w:tc>
          <w:tcPr>
            <w:tcW w:w="1465" w:type="dxa"/>
            <w:tcBorders>
              <w:top w:val="single" w:sz="4" w:space="0" w:color="auto"/>
              <w:left w:val="nil"/>
              <w:bottom w:val="single" w:sz="4" w:space="0" w:color="auto"/>
              <w:right w:val="single" w:sz="4" w:space="0" w:color="auto"/>
            </w:tcBorders>
            <w:shd w:val="clear" w:color="auto" w:fill="2363AF"/>
            <w:vAlign w:val="center"/>
            <w:hideMark/>
          </w:tcPr>
          <w:p w14:paraId="23932E76"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Q2</w:t>
            </w:r>
            <w:r w:rsidRPr="004433D7">
              <w:rPr>
                <w:rFonts w:eastAsia="Times New Roman" w:cs="Times New Roman"/>
                <w:color w:val="FFFFFF"/>
                <w:sz w:val="16"/>
                <w:szCs w:val="16"/>
              </w:rPr>
              <w:br/>
              <w:t>Redistributions</w:t>
            </w:r>
          </w:p>
        </w:tc>
        <w:tc>
          <w:tcPr>
            <w:tcW w:w="1465" w:type="dxa"/>
            <w:tcBorders>
              <w:top w:val="single" w:sz="4" w:space="0" w:color="auto"/>
              <w:left w:val="nil"/>
              <w:bottom w:val="single" w:sz="4" w:space="0" w:color="auto"/>
              <w:right w:val="single" w:sz="4" w:space="0" w:color="auto"/>
            </w:tcBorders>
            <w:shd w:val="clear" w:color="auto" w:fill="2363AF"/>
            <w:vAlign w:val="center"/>
            <w:hideMark/>
          </w:tcPr>
          <w:p w14:paraId="606A216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Q3</w:t>
            </w:r>
            <w:r w:rsidRPr="004433D7">
              <w:rPr>
                <w:rFonts w:eastAsia="Times New Roman" w:cs="Times New Roman"/>
                <w:color w:val="FFFFFF"/>
                <w:sz w:val="16"/>
                <w:szCs w:val="16"/>
              </w:rPr>
              <w:br/>
              <w:t>Redistributions</w:t>
            </w:r>
          </w:p>
        </w:tc>
        <w:tc>
          <w:tcPr>
            <w:tcW w:w="1466" w:type="dxa"/>
            <w:tcBorders>
              <w:top w:val="single" w:sz="4" w:space="0" w:color="auto"/>
              <w:left w:val="nil"/>
              <w:bottom w:val="single" w:sz="4" w:space="0" w:color="auto"/>
              <w:right w:val="single" w:sz="4" w:space="0" w:color="auto"/>
            </w:tcBorders>
            <w:shd w:val="clear" w:color="auto" w:fill="2363AF"/>
            <w:vAlign w:val="center"/>
            <w:hideMark/>
          </w:tcPr>
          <w:p w14:paraId="629089F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 Q4</w:t>
            </w:r>
            <w:r w:rsidRPr="004433D7">
              <w:rPr>
                <w:rFonts w:eastAsia="Times New Roman" w:cs="Times New Roman"/>
                <w:color w:val="FFFFFF"/>
                <w:sz w:val="16"/>
                <w:szCs w:val="16"/>
              </w:rPr>
              <w:br/>
              <w:t>Redistributions</w:t>
            </w:r>
          </w:p>
        </w:tc>
        <w:tc>
          <w:tcPr>
            <w:tcW w:w="1895" w:type="dxa"/>
            <w:tcBorders>
              <w:top w:val="single" w:sz="4" w:space="0" w:color="auto"/>
              <w:left w:val="nil"/>
              <w:bottom w:val="single" w:sz="4" w:space="0" w:color="auto"/>
              <w:right w:val="single" w:sz="4" w:space="0" w:color="auto"/>
            </w:tcBorders>
            <w:shd w:val="clear" w:color="auto" w:fill="2363AF"/>
            <w:vAlign w:val="center"/>
            <w:hideMark/>
          </w:tcPr>
          <w:p w14:paraId="016BEFB5" w14:textId="77777777" w:rsid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2017-18</w:t>
            </w:r>
          </w:p>
          <w:p w14:paraId="5E0AAEBC" w14:textId="24D7942D"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Total redistributed</w:t>
            </w:r>
          </w:p>
        </w:tc>
      </w:tr>
      <w:tr w:rsidR="004433D7" w:rsidRPr="004433D7" w14:paraId="00C7E0AD"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FC362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465" w:type="dxa"/>
            <w:tcBorders>
              <w:top w:val="nil"/>
              <w:left w:val="nil"/>
              <w:bottom w:val="single" w:sz="4" w:space="0" w:color="auto"/>
              <w:right w:val="single" w:sz="4" w:space="0" w:color="auto"/>
            </w:tcBorders>
            <w:shd w:val="clear" w:color="auto" w:fill="auto"/>
            <w:noWrap/>
            <w:vAlign w:val="center"/>
            <w:hideMark/>
          </w:tcPr>
          <w:p w14:paraId="259ABE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£5,050</w:t>
            </w:r>
          </w:p>
        </w:tc>
        <w:tc>
          <w:tcPr>
            <w:tcW w:w="1465" w:type="dxa"/>
            <w:tcBorders>
              <w:top w:val="nil"/>
              <w:left w:val="nil"/>
              <w:bottom w:val="single" w:sz="4" w:space="0" w:color="auto"/>
              <w:right w:val="single" w:sz="4" w:space="0" w:color="auto"/>
            </w:tcBorders>
            <w:shd w:val="clear" w:color="auto" w:fill="auto"/>
            <w:noWrap/>
            <w:vAlign w:val="center"/>
            <w:hideMark/>
          </w:tcPr>
          <w:p w14:paraId="3C7DBB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£5,040</w:t>
            </w:r>
          </w:p>
        </w:tc>
        <w:tc>
          <w:tcPr>
            <w:tcW w:w="1465" w:type="dxa"/>
            <w:tcBorders>
              <w:top w:val="nil"/>
              <w:left w:val="nil"/>
              <w:bottom w:val="single" w:sz="4" w:space="0" w:color="auto"/>
              <w:right w:val="single" w:sz="4" w:space="0" w:color="auto"/>
            </w:tcBorders>
            <w:shd w:val="clear" w:color="auto" w:fill="auto"/>
            <w:noWrap/>
            <w:vAlign w:val="center"/>
            <w:hideMark/>
          </w:tcPr>
          <w:p w14:paraId="3E9010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£5,008</w:t>
            </w:r>
          </w:p>
        </w:tc>
        <w:tc>
          <w:tcPr>
            <w:tcW w:w="1466" w:type="dxa"/>
            <w:tcBorders>
              <w:top w:val="nil"/>
              <w:left w:val="nil"/>
              <w:bottom w:val="single" w:sz="4" w:space="0" w:color="auto"/>
              <w:right w:val="single" w:sz="4" w:space="0" w:color="auto"/>
            </w:tcBorders>
            <w:shd w:val="clear" w:color="auto" w:fill="auto"/>
            <w:noWrap/>
            <w:vAlign w:val="center"/>
            <w:hideMark/>
          </w:tcPr>
          <w:p w14:paraId="37CEF1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£5,094</w:t>
            </w:r>
          </w:p>
        </w:tc>
        <w:tc>
          <w:tcPr>
            <w:tcW w:w="1895" w:type="dxa"/>
            <w:tcBorders>
              <w:top w:val="nil"/>
              <w:left w:val="nil"/>
              <w:bottom w:val="single" w:sz="4" w:space="0" w:color="auto"/>
              <w:right w:val="single" w:sz="4" w:space="0" w:color="auto"/>
            </w:tcBorders>
            <w:shd w:val="clear" w:color="auto" w:fill="auto"/>
            <w:noWrap/>
            <w:vAlign w:val="center"/>
            <w:hideMark/>
          </w:tcPr>
          <w:p w14:paraId="190C1D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£20,192</w:t>
            </w:r>
          </w:p>
        </w:tc>
      </w:tr>
      <w:tr w:rsidR="004433D7" w:rsidRPr="004433D7" w14:paraId="432E0DD2"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F030F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465" w:type="dxa"/>
            <w:tcBorders>
              <w:top w:val="nil"/>
              <w:left w:val="nil"/>
              <w:bottom w:val="single" w:sz="4" w:space="0" w:color="auto"/>
              <w:right w:val="single" w:sz="4" w:space="0" w:color="auto"/>
            </w:tcBorders>
            <w:shd w:val="clear" w:color="auto" w:fill="auto"/>
            <w:noWrap/>
            <w:vAlign w:val="center"/>
            <w:hideMark/>
          </w:tcPr>
          <w:p w14:paraId="0374E7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£2,084</w:t>
            </w:r>
          </w:p>
        </w:tc>
        <w:tc>
          <w:tcPr>
            <w:tcW w:w="1465" w:type="dxa"/>
            <w:tcBorders>
              <w:top w:val="nil"/>
              <w:left w:val="nil"/>
              <w:bottom w:val="single" w:sz="4" w:space="0" w:color="auto"/>
              <w:right w:val="single" w:sz="4" w:space="0" w:color="auto"/>
            </w:tcBorders>
            <w:shd w:val="clear" w:color="auto" w:fill="auto"/>
            <w:noWrap/>
            <w:vAlign w:val="center"/>
            <w:hideMark/>
          </w:tcPr>
          <w:p w14:paraId="36E9AE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£2,080</w:t>
            </w:r>
          </w:p>
        </w:tc>
        <w:tc>
          <w:tcPr>
            <w:tcW w:w="1465" w:type="dxa"/>
            <w:tcBorders>
              <w:top w:val="nil"/>
              <w:left w:val="nil"/>
              <w:bottom w:val="single" w:sz="4" w:space="0" w:color="auto"/>
              <w:right w:val="single" w:sz="4" w:space="0" w:color="auto"/>
            </w:tcBorders>
            <w:shd w:val="clear" w:color="auto" w:fill="auto"/>
            <w:noWrap/>
            <w:vAlign w:val="center"/>
            <w:hideMark/>
          </w:tcPr>
          <w:p w14:paraId="3DD69A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£2,066</w:t>
            </w:r>
          </w:p>
        </w:tc>
        <w:tc>
          <w:tcPr>
            <w:tcW w:w="1466" w:type="dxa"/>
            <w:tcBorders>
              <w:top w:val="nil"/>
              <w:left w:val="nil"/>
              <w:bottom w:val="single" w:sz="4" w:space="0" w:color="auto"/>
              <w:right w:val="single" w:sz="4" w:space="0" w:color="auto"/>
            </w:tcBorders>
            <w:shd w:val="clear" w:color="auto" w:fill="auto"/>
            <w:noWrap/>
            <w:vAlign w:val="center"/>
            <w:hideMark/>
          </w:tcPr>
          <w:p w14:paraId="6CEB66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£2,102</w:t>
            </w:r>
          </w:p>
        </w:tc>
        <w:tc>
          <w:tcPr>
            <w:tcW w:w="1895" w:type="dxa"/>
            <w:tcBorders>
              <w:top w:val="nil"/>
              <w:left w:val="nil"/>
              <w:bottom w:val="single" w:sz="4" w:space="0" w:color="auto"/>
              <w:right w:val="single" w:sz="4" w:space="0" w:color="auto"/>
            </w:tcBorders>
            <w:shd w:val="clear" w:color="auto" w:fill="auto"/>
            <w:noWrap/>
            <w:vAlign w:val="center"/>
            <w:hideMark/>
          </w:tcPr>
          <w:p w14:paraId="1DBBA8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£8,332</w:t>
            </w:r>
          </w:p>
        </w:tc>
      </w:tr>
      <w:tr w:rsidR="004433D7" w:rsidRPr="004433D7" w14:paraId="0EE6C8B7" w14:textId="77777777" w:rsidTr="00780608">
        <w:trPr>
          <w:trHeight w:val="6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8D5199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024389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£208</w:t>
            </w:r>
          </w:p>
        </w:tc>
        <w:tc>
          <w:tcPr>
            <w:tcW w:w="1465" w:type="dxa"/>
            <w:tcBorders>
              <w:top w:val="nil"/>
              <w:left w:val="nil"/>
              <w:bottom w:val="single" w:sz="4" w:space="0" w:color="auto"/>
              <w:right w:val="single" w:sz="4" w:space="0" w:color="auto"/>
            </w:tcBorders>
            <w:shd w:val="clear" w:color="auto" w:fill="auto"/>
            <w:noWrap/>
            <w:vAlign w:val="center"/>
            <w:hideMark/>
          </w:tcPr>
          <w:p w14:paraId="74067B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w:t>
            </w:r>
          </w:p>
        </w:tc>
        <w:tc>
          <w:tcPr>
            <w:tcW w:w="1465" w:type="dxa"/>
            <w:tcBorders>
              <w:top w:val="nil"/>
              <w:left w:val="nil"/>
              <w:bottom w:val="single" w:sz="4" w:space="0" w:color="auto"/>
              <w:right w:val="single" w:sz="4" w:space="0" w:color="auto"/>
            </w:tcBorders>
            <w:shd w:val="clear" w:color="auto" w:fill="auto"/>
            <w:noWrap/>
            <w:vAlign w:val="center"/>
            <w:hideMark/>
          </w:tcPr>
          <w:p w14:paraId="37C3B2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w:t>
            </w:r>
          </w:p>
        </w:tc>
        <w:tc>
          <w:tcPr>
            <w:tcW w:w="1466" w:type="dxa"/>
            <w:tcBorders>
              <w:top w:val="nil"/>
              <w:left w:val="nil"/>
              <w:bottom w:val="single" w:sz="4" w:space="0" w:color="auto"/>
              <w:right w:val="single" w:sz="4" w:space="0" w:color="auto"/>
            </w:tcBorders>
            <w:shd w:val="clear" w:color="auto" w:fill="auto"/>
            <w:noWrap/>
            <w:vAlign w:val="center"/>
            <w:hideMark/>
          </w:tcPr>
          <w:p w14:paraId="699F20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w:t>
            </w:r>
          </w:p>
        </w:tc>
        <w:tc>
          <w:tcPr>
            <w:tcW w:w="1895" w:type="dxa"/>
            <w:tcBorders>
              <w:top w:val="nil"/>
              <w:left w:val="nil"/>
              <w:bottom w:val="single" w:sz="4" w:space="0" w:color="auto"/>
              <w:right w:val="single" w:sz="4" w:space="0" w:color="auto"/>
            </w:tcBorders>
            <w:shd w:val="clear" w:color="auto" w:fill="auto"/>
            <w:noWrap/>
            <w:vAlign w:val="center"/>
            <w:hideMark/>
          </w:tcPr>
          <w:p w14:paraId="18BC67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£831</w:t>
            </w:r>
          </w:p>
        </w:tc>
      </w:tr>
      <w:tr w:rsidR="004433D7" w:rsidRPr="004433D7" w14:paraId="7E1274F2"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6AED28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465" w:type="dxa"/>
            <w:tcBorders>
              <w:top w:val="nil"/>
              <w:left w:val="nil"/>
              <w:bottom w:val="single" w:sz="4" w:space="0" w:color="auto"/>
              <w:right w:val="single" w:sz="4" w:space="0" w:color="auto"/>
            </w:tcBorders>
            <w:shd w:val="clear" w:color="auto" w:fill="auto"/>
            <w:noWrap/>
            <w:vAlign w:val="center"/>
            <w:hideMark/>
          </w:tcPr>
          <w:p w14:paraId="3BCF21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£116,684</w:t>
            </w:r>
          </w:p>
        </w:tc>
        <w:tc>
          <w:tcPr>
            <w:tcW w:w="1465" w:type="dxa"/>
            <w:tcBorders>
              <w:top w:val="nil"/>
              <w:left w:val="nil"/>
              <w:bottom w:val="single" w:sz="4" w:space="0" w:color="auto"/>
              <w:right w:val="single" w:sz="4" w:space="0" w:color="auto"/>
            </w:tcBorders>
            <w:shd w:val="clear" w:color="auto" w:fill="auto"/>
            <w:noWrap/>
            <w:vAlign w:val="center"/>
            <w:hideMark/>
          </w:tcPr>
          <w:p w14:paraId="1442BF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£116,459</w:t>
            </w:r>
          </w:p>
        </w:tc>
        <w:tc>
          <w:tcPr>
            <w:tcW w:w="1465" w:type="dxa"/>
            <w:tcBorders>
              <w:top w:val="nil"/>
              <w:left w:val="nil"/>
              <w:bottom w:val="single" w:sz="4" w:space="0" w:color="auto"/>
              <w:right w:val="single" w:sz="4" w:space="0" w:color="auto"/>
            </w:tcBorders>
            <w:shd w:val="clear" w:color="auto" w:fill="auto"/>
            <w:noWrap/>
            <w:vAlign w:val="center"/>
            <w:hideMark/>
          </w:tcPr>
          <w:p w14:paraId="5FC5B7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£115,718</w:t>
            </w:r>
          </w:p>
        </w:tc>
        <w:tc>
          <w:tcPr>
            <w:tcW w:w="1466" w:type="dxa"/>
            <w:tcBorders>
              <w:top w:val="nil"/>
              <w:left w:val="nil"/>
              <w:bottom w:val="single" w:sz="4" w:space="0" w:color="auto"/>
              <w:right w:val="single" w:sz="4" w:space="0" w:color="auto"/>
            </w:tcBorders>
            <w:shd w:val="clear" w:color="auto" w:fill="auto"/>
            <w:noWrap/>
            <w:vAlign w:val="center"/>
            <w:hideMark/>
          </w:tcPr>
          <w:p w14:paraId="3F2FBF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£117,705</w:t>
            </w:r>
          </w:p>
        </w:tc>
        <w:tc>
          <w:tcPr>
            <w:tcW w:w="1895" w:type="dxa"/>
            <w:tcBorders>
              <w:top w:val="nil"/>
              <w:left w:val="nil"/>
              <w:bottom w:val="single" w:sz="4" w:space="0" w:color="auto"/>
              <w:right w:val="single" w:sz="4" w:space="0" w:color="auto"/>
            </w:tcBorders>
            <w:shd w:val="clear" w:color="auto" w:fill="auto"/>
            <w:noWrap/>
            <w:vAlign w:val="center"/>
            <w:hideMark/>
          </w:tcPr>
          <w:p w14:paraId="25DBD8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£466,566</w:t>
            </w:r>
          </w:p>
        </w:tc>
      </w:tr>
      <w:tr w:rsidR="004433D7" w:rsidRPr="004433D7" w14:paraId="0C466184"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251D6DA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465" w:type="dxa"/>
            <w:tcBorders>
              <w:top w:val="nil"/>
              <w:left w:val="nil"/>
              <w:bottom w:val="single" w:sz="4" w:space="0" w:color="auto"/>
              <w:right w:val="single" w:sz="4" w:space="0" w:color="auto"/>
            </w:tcBorders>
            <w:shd w:val="clear" w:color="auto" w:fill="auto"/>
            <w:noWrap/>
            <w:vAlign w:val="center"/>
            <w:hideMark/>
          </w:tcPr>
          <w:p w14:paraId="7504CF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w:t>
            </w:r>
          </w:p>
        </w:tc>
        <w:tc>
          <w:tcPr>
            <w:tcW w:w="1465" w:type="dxa"/>
            <w:tcBorders>
              <w:top w:val="nil"/>
              <w:left w:val="nil"/>
              <w:bottom w:val="single" w:sz="4" w:space="0" w:color="auto"/>
              <w:right w:val="single" w:sz="4" w:space="0" w:color="auto"/>
            </w:tcBorders>
            <w:shd w:val="clear" w:color="auto" w:fill="auto"/>
            <w:noWrap/>
            <w:vAlign w:val="center"/>
            <w:hideMark/>
          </w:tcPr>
          <w:p w14:paraId="5488EE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w:t>
            </w:r>
          </w:p>
        </w:tc>
        <w:tc>
          <w:tcPr>
            <w:tcW w:w="1465" w:type="dxa"/>
            <w:tcBorders>
              <w:top w:val="nil"/>
              <w:left w:val="nil"/>
              <w:bottom w:val="single" w:sz="4" w:space="0" w:color="auto"/>
              <w:right w:val="single" w:sz="4" w:space="0" w:color="auto"/>
            </w:tcBorders>
            <w:shd w:val="clear" w:color="auto" w:fill="auto"/>
            <w:noWrap/>
            <w:vAlign w:val="center"/>
            <w:hideMark/>
          </w:tcPr>
          <w:p w14:paraId="24274D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w:t>
            </w:r>
          </w:p>
        </w:tc>
        <w:tc>
          <w:tcPr>
            <w:tcW w:w="1466" w:type="dxa"/>
            <w:tcBorders>
              <w:top w:val="nil"/>
              <w:left w:val="nil"/>
              <w:bottom w:val="single" w:sz="4" w:space="0" w:color="auto"/>
              <w:right w:val="single" w:sz="4" w:space="0" w:color="auto"/>
            </w:tcBorders>
            <w:shd w:val="clear" w:color="auto" w:fill="auto"/>
            <w:noWrap/>
            <w:vAlign w:val="center"/>
            <w:hideMark/>
          </w:tcPr>
          <w:p w14:paraId="12C4F2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w:t>
            </w:r>
          </w:p>
        </w:tc>
        <w:tc>
          <w:tcPr>
            <w:tcW w:w="1895" w:type="dxa"/>
            <w:tcBorders>
              <w:top w:val="nil"/>
              <w:left w:val="nil"/>
              <w:bottom w:val="single" w:sz="4" w:space="0" w:color="auto"/>
              <w:right w:val="single" w:sz="4" w:space="0" w:color="auto"/>
            </w:tcBorders>
            <w:shd w:val="clear" w:color="auto" w:fill="auto"/>
            <w:noWrap/>
            <w:vAlign w:val="center"/>
            <w:hideMark/>
          </w:tcPr>
          <w:p w14:paraId="289F8F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£596</w:t>
            </w:r>
          </w:p>
        </w:tc>
      </w:tr>
      <w:tr w:rsidR="004433D7" w:rsidRPr="004433D7" w14:paraId="24A8FECE"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317B65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 (prev. Bullion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3FBAA9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w:t>
            </w:r>
          </w:p>
        </w:tc>
        <w:tc>
          <w:tcPr>
            <w:tcW w:w="1465" w:type="dxa"/>
            <w:tcBorders>
              <w:top w:val="nil"/>
              <w:left w:val="nil"/>
              <w:bottom w:val="single" w:sz="4" w:space="0" w:color="auto"/>
              <w:right w:val="single" w:sz="4" w:space="0" w:color="auto"/>
            </w:tcBorders>
            <w:shd w:val="clear" w:color="auto" w:fill="auto"/>
            <w:noWrap/>
            <w:vAlign w:val="center"/>
            <w:hideMark/>
          </w:tcPr>
          <w:p w14:paraId="76FBFC4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£1,692</w:t>
            </w:r>
          </w:p>
        </w:tc>
        <w:tc>
          <w:tcPr>
            <w:tcW w:w="1465" w:type="dxa"/>
            <w:tcBorders>
              <w:top w:val="nil"/>
              <w:left w:val="nil"/>
              <w:bottom w:val="single" w:sz="4" w:space="0" w:color="auto"/>
              <w:right w:val="single" w:sz="4" w:space="0" w:color="auto"/>
            </w:tcBorders>
            <w:shd w:val="clear" w:color="auto" w:fill="auto"/>
            <w:noWrap/>
            <w:vAlign w:val="center"/>
            <w:hideMark/>
          </w:tcPr>
          <w:p w14:paraId="3C0B17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£1,681</w:t>
            </w:r>
          </w:p>
        </w:tc>
        <w:tc>
          <w:tcPr>
            <w:tcW w:w="1466" w:type="dxa"/>
            <w:tcBorders>
              <w:top w:val="nil"/>
              <w:left w:val="nil"/>
              <w:bottom w:val="single" w:sz="4" w:space="0" w:color="auto"/>
              <w:right w:val="single" w:sz="4" w:space="0" w:color="auto"/>
            </w:tcBorders>
            <w:shd w:val="clear" w:color="auto" w:fill="auto"/>
            <w:noWrap/>
            <w:vAlign w:val="center"/>
            <w:hideMark/>
          </w:tcPr>
          <w:p w14:paraId="10810C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£1,710</w:t>
            </w:r>
          </w:p>
        </w:tc>
        <w:tc>
          <w:tcPr>
            <w:tcW w:w="1895" w:type="dxa"/>
            <w:tcBorders>
              <w:top w:val="nil"/>
              <w:left w:val="nil"/>
              <w:bottom w:val="single" w:sz="4" w:space="0" w:color="auto"/>
              <w:right w:val="single" w:sz="4" w:space="0" w:color="auto"/>
            </w:tcBorders>
            <w:shd w:val="clear" w:color="auto" w:fill="auto"/>
            <w:noWrap/>
            <w:vAlign w:val="center"/>
            <w:hideMark/>
          </w:tcPr>
          <w:p w14:paraId="41CB05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£6,778</w:t>
            </w:r>
          </w:p>
        </w:tc>
      </w:tr>
      <w:tr w:rsidR="004433D7" w:rsidRPr="004433D7" w14:paraId="2769FBE1"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243ED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Budget Energy Ltd</w:t>
            </w:r>
          </w:p>
        </w:tc>
        <w:tc>
          <w:tcPr>
            <w:tcW w:w="1465" w:type="dxa"/>
            <w:tcBorders>
              <w:top w:val="nil"/>
              <w:left w:val="nil"/>
              <w:bottom w:val="single" w:sz="4" w:space="0" w:color="auto"/>
              <w:right w:val="single" w:sz="4" w:space="0" w:color="auto"/>
            </w:tcBorders>
            <w:shd w:val="clear" w:color="auto" w:fill="auto"/>
            <w:noWrap/>
            <w:vAlign w:val="center"/>
            <w:hideMark/>
          </w:tcPr>
          <w:p w14:paraId="02EA82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£230</w:t>
            </w:r>
          </w:p>
        </w:tc>
        <w:tc>
          <w:tcPr>
            <w:tcW w:w="1465" w:type="dxa"/>
            <w:tcBorders>
              <w:top w:val="nil"/>
              <w:left w:val="nil"/>
              <w:bottom w:val="single" w:sz="4" w:space="0" w:color="auto"/>
              <w:right w:val="single" w:sz="4" w:space="0" w:color="auto"/>
            </w:tcBorders>
            <w:shd w:val="clear" w:color="auto" w:fill="auto"/>
            <w:noWrap/>
            <w:vAlign w:val="center"/>
            <w:hideMark/>
          </w:tcPr>
          <w:p w14:paraId="79AD07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£230</w:t>
            </w:r>
          </w:p>
        </w:tc>
        <w:tc>
          <w:tcPr>
            <w:tcW w:w="1465" w:type="dxa"/>
            <w:tcBorders>
              <w:top w:val="nil"/>
              <w:left w:val="nil"/>
              <w:bottom w:val="single" w:sz="4" w:space="0" w:color="auto"/>
              <w:right w:val="single" w:sz="4" w:space="0" w:color="auto"/>
            </w:tcBorders>
            <w:shd w:val="clear" w:color="auto" w:fill="auto"/>
            <w:noWrap/>
            <w:vAlign w:val="center"/>
            <w:hideMark/>
          </w:tcPr>
          <w:p w14:paraId="7E01D4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£228</w:t>
            </w:r>
          </w:p>
        </w:tc>
        <w:tc>
          <w:tcPr>
            <w:tcW w:w="1466" w:type="dxa"/>
            <w:tcBorders>
              <w:top w:val="nil"/>
              <w:left w:val="nil"/>
              <w:bottom w:val="single" w:sz="4" w:space="0" w:color="auto"/>
              <w:right w:val="single" w:sz="4" w:space="0" w:color="auto"/>
            </w:tcBorders>
            <w:shd w:val="clear" w:color="auto" w:fill="auto"/>
            <w:noWrap/>
            <w:vAlign w:val="center"/>
            <w:hideMark/>
          </w:tcPr>
          <w:p w14:paraId="273B6B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£232</w:t>
            </w:r>
          </w:p>
        </w:tc>
        <w:tc>
          <w:tcPr>
            <w:tcW w:w="1895" w:type="dxa"/>
            <w:tcBorders>
              <w:top w:val="nil"/>
              <w:left w:val="nil"/>
              <w:bottom w:val="single" w:sz="4" w:space="0" w:color="auto"/>
              <w:right w:val="single" w:sz="4" w:space="0" w:color="auto"/>
            </w:tcBorders>
            <w:shd w:val="clear" w:color="auto" w:fill="auto"/>
            <w:noWrap/>
            <w:vAlign w:val="center"/>
            <w:hideMark/>
          </w:tcPr>
          <w:p w14:paraId="2D9E27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£920</w:t>
            </w:r>
          </w:p>
        </w:tc>
      </w:tr>
      <w:tr w:rsidR="004433D7" w:rsidRPr="004433D7" w14:paraId="03296BC3"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27F0ABC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465" w:type="dxa"/>
            <w:tcBorders>
              <w:top w:val="nil"/>
              <w:left w:val="nil"/>
              <w:bottom w:val="single" w:sz="4" w:space="0" w:color="auto"/>
              <w:right w:val="single" w:sz="4" w:space="0" w:color="auto"/>
            </w:tcBorders>
            <w:shd w:val="clear" w:color="auto" w:fill="auto"/>
            <w:noWrap/>
            <w:vAlign w:val="center"/>
            <w:hideMark/>
          </w:tcPr>
          <w:p w14:paraId="56F9A3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w:t>
            </w:r>
          </w:p>
        </w:tc>
        <w:tc>
          <w:tcPr>
            <w:tcW w:w="1465" w:type="dxa"/>
            <w:tcBorders>
              <w:top w:val="nil"/>
              <w:left w:val="nil"/>
              <w:bottom w:val="single" w:sz="4" w:space="0" w:color="auto"/>
              <w:right w:val="single" w:sz="4" w:space="0" w:color="auto"/>
            </w:tcBorders>
            <w:shd w:val="clear" w:color="auto" w:fill="auto"/>
            <w:noWrap/>
            <w:vAlign w:val="center"/>
            <w:hideMark/>
          </w:tcPr>
          <w:p w14:paraId="41FE07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w:t>
            </w:r>
          </w:p>
        </w:tc>
        <w:tc>
          <w:tcPr>
            <w:tcW w:w="1465" w:type="dxa"/>
            <w:tcBorders>
              <w:top w:val="nil"/>
              <w:left w:val="nil"/>
              <w:bottom w:val="single" w:sz="4" w:space="0" w:color="auto"/>
              <w:right w:val="single" w:sz="4" w:space="0" w:color="auto"/>
            </w:tcBorders>
            <w:shd w:val="clear" w:color="auto" w:fill="auto"/>
            <w:noWrap/>
            <w:vAlign w:val="center"/>
            <w:hideMark/>
          </w:tcPr>
          <w:p w14:paraId="497186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w:t>
            </w:r>
          </w:p>
        </w:tc>
        <w:tc>
          <w:tcPr>
            <w:tcW w:w="1466" w:type="dxa"/>
            <w:tcBorders>
              <w:top w:val="nil"/>
              <w:left w:val="nil"/>
              <w:bottom w:val="single" w:sz="4" w:space="0" w:color="auto"/>
              <w:right w:val="single" w:sz="4" w:space="0" w:color="auto"/>
            </w:tcBorders>
            <w:shd w:val="clear" w:color="auto" w:fill="auto"/>
            <w:noWrap/>
            <w:vAlign w:val="center"/>
            <w:hideMark/>
          </w:tcPr>
          <w:p w14:paraId="233332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w:t>
            </w:r>
          </w:p>
        </w:tc>
        <w:tc>
          <w:tcPr>
            <w:tcW w:w="1895" w:type="dxa"/>
            <w:tcBorders>
              <w:top w:val="nil"/>
              <w:left w:val="nil"/>
              <w:bottom w:val="single" w:sz="4" w:space="0" w:color="auto"/>
              <w:right w:val="single" w:sz="4" w:space="0" w:color="auto"/>
            </w:tcBorders>
            <w:shd w:val="clear" w:color="auto" w:fill="auto"/>
            <w:noWrap/>
            <w:vAlign w:val="center"/>
            <w:hideMark/>
          </w:tcPr>
          <w:p w14:paraId="7E3646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£245</w:t>
            </w:r>
          </w:p>
        </w:tc>
      </w:tr>
      <w:tr w:rsidR="004433D7" w:rsidRPr="004433D7" w14:paraId="29701DE4"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717DCF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198615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£7,127</w:t>
            </w:r>
          </w:p>
        </w:tc>
        <w:tc>
          <w:tcPr>
            <w:tcW w:w="1465" w:type="dxa"/>
            <w:tcBorders>
              <w:top w:val="nil"/>
              <w:left w:val="nil"/>
              <w:bottom w:val="single" w:sz="4" w:space="0" w:color="auto"/>
              <w:right w:val="single" w:sz="4" w:space="0" w:color="auto"/>
            </w:tcBorders>
            <w:shd w:val="clear" w:color="auto" w:fill="auto"/>
            <w:noWrap/>
            <w:vAlign w:val="center"/>
            <w:hideMark/>
          </w:tcPr>
          <w:p w14:paraId="47F6B1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£7,113</w:t>
            </w:r>
          </w:p>
        </w:tc>
        <w:tc>
          <w:tcPr>
            <w:tcW w:w="1465" w:type="dxa"/>
            <w:tcBorders>
              <w:top w:val="nil"/>
              <w:left w:val="nil"/>
              <w:bottom w:val="single" w:sz="4" w:space="0" w:color="auto"/>
              <w:right w:val="single" w:sz="4" w:space="0" w:color="auto"/>
            </w:tcBorders>
            <w:shd w:val="clear" w:color="auto" w:fill="auto"/>
            <w:noWrap/>
            <w:vAlign w:val="center"/>
            <w:hideMark/>
          </w:tcPr>
          <w:p w14:paraId="5E0AE4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£7,068</w:t>
            </w:r>
          </w:p>
        </w:tc>
        <w:tc>
          <w:tcPr>
            <w:tcW w:w="1466" w:type="dxa"/>
            <w:tcBorders>
              <w:top w:val="nil"/>
              <w:left w:val="nil"/>
              <w:bottom w:val="single" w:sz="4" w:space="0" w:color="auto"/>
              <w:right w:val="single" w:sz="4" w:space="0" w:color="auto"/>
            </w:tcBorders>
            <w:shd w:val="clear" w:color="auto" w:fill="auto"/>
            <w:noWrap/>
            <w:vAlign w:val="center"/>
            <w:hideMark/>
          </w:tcPr>
          <w:p w14:paraId="62E66A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£7,189</w:t>
            </w:r>
          </w:p>
        </w:tc>
        <w:tc>
          <w:tcPr>
            <w:tcW w:w="1895" w:type="dxa"/>
            <w:tcBorders>
              <w:top w:val="nil"/>
              <w:left w:val="nil"/>
              <w:bottom w:val="single" w:sz="4" w:space="0" w:color="auto"/>
              <w:right w:val="single" w:sz="4" w:space="0" w:color="auto"/>
            </w:tcBorders>
            <w:shd w:val="clear" w:color="auto" w:fill="auto"/>
            <w:noWrap/>
            <w:vAlign w:val="center"/>
            <w:hideMark/>
          </w:tcPr>
          <w:p w14:paraId="3C8A87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£28,497</w:t>
            </w:r>
          </w:p>
        </w:tc>
      </w:tr>
      <w:tr w:rsidR="004433D7" w:rsidRPr="004433D7" w14:paraId="2C9AB24B"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D37802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5 Limited</w:t>
            </w:r>
          </w:p>
        </w:tc>
        <w:tc>
          <w:tcPr>
            <w:tcW w:w="1465" w:type="dxa"/>
            <w:tcBorders>
              <w:top w:val="nil"/>
              <w:left w:val="nil"/>
              <w:bottom w:val="single" w:sz="4" w:space="0" w:color="auto"/>
              <w:right w:val="single" w:sz="4" w:space="0" w:color="auto"/>
            </w:tcBorders>
            <w:shd w:val="clear" w:color="auto" w:fill="auto"/>
            <w:noWrap/>
            <w:vAlign w:val="center"/>
            <w:hideMark/>
          </w:tcPr>
          <w:p w14:paraId="653D42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w:t>
            </w:r>
          </w:p>
        </w:tc>
        <w:tc>
          <w:tcPr>
            <w:tcW w:w="1465" w:type="dxa"/>
            <w:tcBorders>
              <w:top w:val="nil"/>
              <w:left w:val="nil"/>
              <w:bottom w:val="single" w:sz="4" w:space="0" w:color="auto"/>
              <w:right w:val="single" w:sz="4" w:space="0" w:color="auto"/>
            </w:tcBorders>
            <w:shd w:val="clear" w:color="auto" w:fill="auto"/>
            <w:noWrap/>
            <w:vAlign w:val="center"/>
            <w:hideMark/>
          </w:tcPr>
          <w:p w14:paraId="7A1C92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w:t>
            </w:r>
          </w:p>
        </w:tc>
        <w:tc>
          <w:tcPr>
            <w:tcW w:w="1465" w:type="dxa"/>
            <w:tcBorders>
              <w:top w:val="nil"/>
              <w:left w:val="nil"/>
              <w:bottom w:val="single" w:sz="4" w:space="0" w:color="auto"/>
              <w:right w:val="single" w:sz="4" w:space="0" w:color="auto"/>
            </w:tcBorders>
            <w:shd w:val="clear" w:color="auto" w:fill="auto"/>
            <w:noWrap/>
            <w:vAlign w:val="center"/>
            <w:hideMark/>
          </w:tcPr>
          <w:p w14:paraId="353933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w:t>
            </w:r>
          </w:p>
        </w:tc>
        <w:tc>
          <w:tcPr>
            <w:tcW w:w="1466" w:type="dxa"/>
            <w:tcBorders>
              <w:top w:val="nil"/>
              <w:left w:val="nil"/>
              <w:bottom w:val="single" w:sz="4" w:space="0" w:color="auto"/>
              <w:right w:val="single" w:sz="4" w:space="0" w:color="auto"/>
            </w:tcBorders>
            <w:shd w:val="clear" w:color="auto" w:fill="auto"/>
            <w:noWrap/>
            <w:vAlign w:val="center"/>
            <w:hideMark/>
          </w:tcPr>
          <w:p w14:paraId="6E7755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w:t>
            </w:r>
          </w:p>
        </w:tc>
        <w:tc>
          <w:tcPr>
            <w:tcW w:w="1895" w:type="dxa"/>
            <w:tcBorders>
              <w:top w:val="nil"/>
              <w:left w:val="nil"/>
              <w:bottom w:val="single" w:sz="4" w:space="0" w:color="auto"/>
              <w:right w:val="single" w:sz="4" w:space="0" w:color="auto"/>
            </w:tcBorders>
            <w:shd w:val="clear" w:color="auto" w:fill="auto"/>
            <w:noWrap/>
            <w:vAlign w:val="center"/>
            <w:hideMark/>
          </w:tcPr>
          <w:p w14:paraId="7326A5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£205</w:t>
            </w:r>
          </w:p>
        </w:tc>
      </w:tr>
      <w:tr w:rsidR="004433D7" w:rsidRPr="004433D7" w14:paraId="597FB709"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5B6BB1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Dong Energy Power Sales UK Limited</w:t>
            </w:r>
          </w:p>
        </w:tc>
        <w:tc>
          <w:tcPr>
            <w:tcW w:w="1465" w:type="dxa"/>
            <w:tcBorders>
              <w:top w:val="nil"/>
              <w:left w:val="nil"/>
              <w:bottom w:val="single" w:sz="4" w:space="0" w:color="auto"/>
              <w:right w:val="single" w:sz="4" w:space="0" w:color="auto"/>
            </w:tcBorders>
            <w:shd w:val="clear" w:color="auto" w:fill="auto"/>
            <w:noWrap/>
            <w:vAlign w:val="center"/>
            <w:hideMark/>
          </w:tcPr>
          <w:p w14:paraId="0E3445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£12,512</w:t>
            </w:r>
          </w:p>
        </w:tc>
        <w:tc>
          <w:tcPr>
            <w:tcW w:w="1465" w:type="dxa"/>
            <w:tcBorders>
              <w:top w:val="nil"/>
              <w:left w:val="nil"/>
              <w:bottom w:val="single" w:sz="4" w:space="0" w:color="auto"/>
              <w:right w:val="single" w:sz="4" w:space="0" w:color="auto"/>
            </w:tcBorders>
            <w:shd w:val="clear" w:color="auto" w:fill="auto"/>
            <w:noWrap/>
            <w:vAlign w:val="center"/>
            <w:hideMark/>
          </w:tcPr>
          <w:p w14:paraId="06484D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£12,488</w:t>
            </w:r>
          </w:p>
        </w:tc>
        <w:tc>
          <w:tcPr>
            <w:tcW w:w="1465" w:type="dxa"/>
            <w:tcBorders>
              <w:top w:val="nil"/>
              <w:left w:val="nil"/>
              <w:bottom w:val="single" w:sz="4" w:space="0" w:color="auto"/>
              <w:right w:val="single" w:sz="4" w:space="0" w:color="auto"/>
            </w:tcBorders>
            <w:shd w:val="clear" w:color="auto" w:fill="auto"/>
            <w:noWrap/>
            <w:vAlign w:val="center"/>
            <w:hideMark/>
          </w:tcPr>
          <w:p w14:paraId="1EE120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£12,408</w:t>
            </w:r>
          </w:p>
        </w:tc>
        <w:tc>
          <w:tcPr>
            <w:tcW w:w="1466" w:type="dxa"/>
            <w:tcBorders>
              <w:top w:val="nil"/>
              <w:left w:val="nil"/>
              <w:bottom w:val="single" w:sz="4" w:space="0" w:color="auto"/>
              <w:right w:val="single" w:sz="4" w:space="0" w:color="auto"/>
            </w:tcBorders>
            <w:shd w:val="clear" w:color="auto" w:fill="auto"/>
            <w:noWrap/>
            <w:vAlign w:val="center"/>
            <w:hideMark/>
          </w:tcPr>
          <w:p w14:paraId="3DB47E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£12,621</w:t>
            </w:r>
          </w:p>
        </w:tc>
        <w:tc>
          <w:tcPr>
            <w:tcW w:w="1895" w:type="dxa"/>
            <w:tcBorders>
              <w:top w:val="nil"/>
              <w:left w:val="nil"/>
              <w:bottom w:val="single" w:sz="4" w:space="0" w:color="auto"/>
              <w:right w:val="single" w:sz="4" w:space="0" w:color="auto"/>
            </w:tcBorders>
            <w:shd w:val="clear" w:color="auto" w:fill="auto"/>
            <w:noWrap/>
            <w:vAlign w:val="center"/>
            <w:hideMark/>
          </w:tcPr>
          <w:p w14:paraId="5057F5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£50,029</w:t>
            </w:r>
          </w:p>
        </w:tc>
      </w:tr>
      <w:tr w:rsidR="004433D7" w:rsidRPr="004433D7" w14:paraId="434EB6DB"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39DC45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465" w:type="dxa"/>
            <w:tcBorders>
              <w:top w:val="nil"/>
              <w:left w:val="nil"/>
              <w:bottom w:val="single" w:sz="4" w:space="0" w:color="auto"/>
              <w:right w:val="single" w:sz="4" w:space="0" w:color="auto"/>
            </w:tcBorders>
            <w:shd w:val="clear" w:color="auto" w:fill="auto"/>
            <w:noWrap/>
            <w:vAlign w:val="center"/>
            <w:hideMark/>
          </w:tcPr>
          <w:p w14:paraId="2682F3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£3,463</w:t>
            </w:r>
          </w:p>
        </w:tc>
        <w:tc>
          <w:tcPr>
            <w:tcW w:w="1465" w:type="dxa"/>
            <w:tcBorders>
              <w:top w:val="nil"/>
              <w:left w:val="nil"/>
              <w:bottom w:val="single" w:sz="4" w:space="0" w:color="auto"/>
              <w:right w:val="single" w:sz="4" w:space="0" w:color="auto"/>
            </w:tcBorders>
            <w:shd w:val="clear" w:color="auto" w:fill="auto"/>
            <w:noWrap/>
            <w:vAlign w:val="center"/>
            <w:hideMark/>
          </w:tcPr>
          <w:p w14:paraId="08C1C6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£3,456</w:t>
            </w:r>
          </w:p>
        </w:tc>
        <w:tc>
          <w:tcPr>
            <w:tcW w:w="1465" w:type="dxa"/>
            <w:tcBorders>
              <w:top w:val="nil"/>
              <w:left w:val="nil"/>
              <w:bottom w:val="single" w:sz="4" w:space="0" w:color="auto"/>
              <w:right w:val="single" w:sz="4" w:space="0" w:color="auto"/>
            </w:tcBorders>
            <w:shd w:val="clear" w:color="auto" w:fill="auto"/>
            <w:noWrap/>
            <w:vAlign w:val="center"/>
            <w:hideMark/>
          </w:tcPr>
          <w:p w14:paraId="0CE48E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£3,434</w:t>
            </w:r>
          </w:p>
        </w:tc>
        <w:tc>
          <w:tcPr>
            <w:tcW w:w="1466" w:type="dxa"/>
            <w:tcBorders>
              <w:top w:val="nil"/>
              <w:left w:val="nil"/>
              <w:bottom w:val="single" w:sz="4" w:space="0" w:color="auto"/>
              <w:right w:val="single" w:sz="4" w:space="0" w:color="auto"/>
            </w:tcBorders>
            <w:shd w:val="clear" w:color="auto" w:fill="auto"/>
            <w:noWrap/>
            <w:vAlign w:val="center"/>
            <w:hideMark/>
          </w:tcPr>
          <w:p w14:paraId="373694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£3,493</w:t>
            </w:r>
          </w:p>
        </w:tc>
        <w:tc>
          <w:tcPr>
            <w:tcW w:w="1895" w:type="dxa"/>
            <w:tcBorders>
              <w:top w:val="nil"/>
              <w:left w:val="nil"/>
              <w:bottom w:val="single" w:sz="4" w:space="0" w:color="auto"/>
              <w:right w:val="single" w:sz="4" w:space="0" w:color="auto"/>
            </w:tcBorders>
            <w:shd w:val="clear" w:color="auto" w:fill="auto"/>
            <w:noWrap/>
            <w:vAlign w:val="center"/>
            <w:hideMark/>
          </w:tcPr>
          <w:p w14:paraId="43DE54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£13,846</w:t>
            </w:r>
          </w:p>
        </w:tc>
      </w:tr>
      <w:tr w:rsidR="004433D7" w:rsidRPr="004433D7" w14:paraId="1482FF03" w14:textId="77777777" w:rsidTr="00780608">
        <w:trPr>
          <w:trHeight w:val="454"/>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DC9B7D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 (Gas and Electricity) Limited</w:t>
            </w:r>
          </w:p>
        </w:tc>
        <w:tc>
          <w:tcPr>
            <w:tcW w:w="1465" w:type="dxa"/>
            <w:tcBorders>
              <w:top w:val="nil"/>
              <w:left w:val="nil"/>
              <w:bottom w:val="single" w:sz="4" w:space="0" w:color="auto"/>
              <w:right w:val="single" w:sz="4" w:space="0" w:color="auto"/>
            </w:tcBorders>
            <w:shd w:val="clear" w:color="auto" w:fill="auto"/>
            <w:noWrap/>
            <w:vAlign w:val="center"/>
            <w:hideMark/>
          </w:tcPr>
          <w:p w14:paraId="7E9F7D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£1,865</w:t>
            </w:r>
          </w:p>
        </w:tc>
        <w:tc>
          <w:tcPr>
            <w:tcW w:w="1465" w:type="dxa"/>
            <w:tcBorders>
              <w:top w:val="nil"/>
              <w:left w:val="nil"/>
              <w:bottom w:val="single" w:sz="4" w:space="0" w:color="auto"/>
              <w:right w:val="single" w:sz="4" w:space="0" w:color="auto"/>
            </w:tcBorders>
            <w:shd w:val="clear" w:color="auto" w:fill="auto"/>
            <w:noWrap/>
            <w:vAlign w:val="center"/>
            <w:hideMark/>
          </w:tcPr>
          <w:p w14:paraId="47B131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£1,861</w:t>
            </w:r>
          </w:p>
        </w:tc>
        <w:tc>
          <w:tcPr>
            <w:tcW w:w="1465" w:type="dxa"/>
            <w:tcBorders>
              <w:top w:val="nil"/>
              <w:left w:val="nil"/>
              <w:bottom w:val="single" w:sz="4" w:space="0" w:color="auto"/>
              <w:right w:val="single" w:sz="4" w:space="0" w:color="auto"/>
            </w:tcBorders>
            <w:shd w:val="clear" w:color="auto" w:fill="auto"/>
            <w:noWrap/>
            <w:vAlign w:val="center"/>
            <w:hideMark/>
          </w:tcPr>
          <w:p w14:paraId="73C68B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£1,849</w:t>
            </w:r>
          </w:p>
        </w:tc>
        <w:tc>
          <w:tcPr>
            <w:tcW w:w="1466" w:type="dxa"/>
            <w:tcBorders>
              <w:top w:val="nil"/>
              <w:left w:val="nil"/>
              <w:bottom w:val="single" w:sz="4" w:space="0" w:color="auto"/>
              <w:right w:val="single" w:sz="4" w:space="0" w:color="auto"/>
            </w:tcBorders>
            <w:shd w:val="clear" w:color="auto" w:fill="auto"/>
            <w:noWrap/>
            <w:vAlign w:val="center"/>
            <w:hideMark/>
          </w:tcPr>
          <w:p w14:paraId="22D7C8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£1,881</w:t>
            </w:r>
          </w:p>
        </w:tc>
        <w:tc>
          <w:tcPr>
            <w:tcW w:w="1895" w:type="dxa"/>
            <w:tcBorders>
              <w:top w:val="nil"/>
              <w:left w:val="nil"/>
              <w:bottom w:val="single" w:sz="4" w:space="0" w:color="auto"/>
              <w:right w:val="single" w:sz="4" w:space="0" w:color="auto"/>
            </w:tcBorders>
            <w:shd w:val="clear" w:color="auto" w:fill="auto"/>
            <w:noWrap/>
            <w:vAlign w:val="center"/>
            <w:hideMark/>
          </w:tcPr>
          <w:p w14:paraId="4B3392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£7,456</w:t>
            </w:r>
          </w:p>
        </w:tc>
      </w:tr>
      <w:tr w:rsidR="004433D7" w:rsidRPr="004433D7" w14:paraId="1BA29370"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07DC7E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465" w:type="dxa"/>
            <w:tcBorders>
              <w:top w:val="nil"/>
              <w:left w:val="nil"/>
              <w:bottom w:val="single" w:sz="4" w:space="0" w:color="auto"/>
              <w:right w:val="single" w:sz="4" w:space="0" w:color="auto"/>
            </w:tcBorders>
            <w:shd w:val="clear" w:color="auto" w:fill="auto"/>
            <w:noWrap/>
            <w:vAlign w:val="center"/>
            <w:hideMark/>
          </w:tcPr>
          <w:p w14:paraId="746B54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£78,588</w:t>
            </w:r>
          </w:p>
        </w:tc>
        <w:tc>
          <w:tcPr>
            <w:tcW w:w="1465" w:type="dxa"/>
            <w:tcBorders>
              <w:top w:val="nil"/>
              <w:left w:val="nil"/>
              <w:bottom w:val="single" w:sz="4" w:space="0" w:color="auto"/>
              <w:right w:val="single" w:sz="4" w:space="0" w:color="auto"/>
            </w:tcBorders>
            <w:shd w:val="clear" w:color="auto" w:fill="auto"/>
            <w:noWrap/>
            <w:vAlign w:val="center"/>
            <w:hideMark/>
          </w:tcPr>
          <w:p w14:paraId="5489C3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£78,437</w:t>
            </w:r>
          </w:p>
        </w:tc>
        <w:tc>
          <w:tcPr>
            <w:tcW w:w="1465" w:type="dxa"/>
            <w:tcBorders>
              <w:top w:val="nil"/>
              <w:left w:val="nil"/>
              <w:bottom w:val="single" w:sz="4" w:space="0" w:color="auto"/>
              <w:right w:val="single" w:sz="4" w:space="0" w:color="auto"/>
            </w:tcBorders>
            <w:shd w:val="clear" w:color="auto" w:fill="auto"/>
            <w:noWrap/>
            <w:vAlign w:val="center"/>
            <w:hideMark/>
          </w:tcPr>
          <w:p w14:paraId="440F9A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£77,938</w:t>
            </w:r>
          </w:p>
        </w:tc>
        <w:tc>
          <w:tcPr>
            <w:tcW w:w="1466" w:type="dxa"/>
            <w:tcBorders>
              <w:top w:val="nil"/>
              <w:left w:val="nil"/>
              <w:bottom w:val="single" w:sz="4" w:space="0" w:color="auto"/>
              <w:right w:val="single" w:sz="4" w:space="0" w:color="auto"/>
            </w:tcBorders>
            <w:shd w:val="clear" w:color="auto" w:fill="auto"/>
            <w:noWrap/>
            <w:vAlign w:val="center"/>
            <w:hideMark/>
          </w:tcPr>
          <w:p w14:paraId="25AA3E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£79,276</w:t>
            </w:r>
          </w:p>
        </w:tc>
        <w:tc>
          <w:tcPr>
            <w:tcW w:w="1895" w:type="dxa"/>
            <w:tcBorders>
              <w:top w:val="nil"/>
              <w:left w:val="nil"/>
              <w:bottom w:val="single" w:sz="4" w:space="0" w:color="auto"/>
              <w:right w:val="single" w:sz="4" w:space="0" w:color="auto"/>
            </w:tcBorders>
            <w:shd w:val="clear" w:color="auto" w:fill="auto"/>
            <w:noWrap/>
            <w:vAlign w:val="center"/>
            <w:hideMark/>
          </w:tcPr>
          <w:p w14:paraId="0F3C69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£314,239</w:t>
            </w:r>
          </w:p>
        </w:tc>
      </w:tr>
      <w:tr w:rsidR="004433D7" w:rsidRPr="004433D7" w14:paraId="006C111E"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6FEFF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465" w:type="dxa"/>
            <w:tcBorders>
              <w:top w:val="nil"/>
              <w:left w:val="nil"/>
              <w:bottom w:val="single" w:sz="4" w:space="0" w:color="auto"/>
              <w:right w:val="single" w:sz="4" w:space="0" w:color="auto"/>
            </w:tcBorders>
            <w:shd w:val="clear" w:color="auto" w:fill="auto"/>
            <w:noWrap/>
            <w:vAlign w:val="center"/>
            <w:hideMark/>
          </w:tcPr>
          <w:p w14:paraId="3F90A3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£61,362</w:t>
            </w:r>
          </w:p>
        </w:tc>
        <w:tc>
          <w:tcPr>
            <w:tcW w:w="1465" w:type="dxa"/>
            <w:tcBorders>
              <w:top w:val="nil"/>
              <w:left w:val="nil"/>
              <w:bottom w:val="single" w:sz="4" w:space="0" w:color="auto"/>
              <w:right w:val="single" w:sz="4" w:space="0" w:color="auto"/>
            </w:tcBorders>
            <w:shd w:val="clear" w:color="auto" w:fill="auto"/>
            <w:noWrap/>
            <w:vAlign w:val="center"/>
            <w:hideMark/>
          </w:tcPr>
          <w:p w14:paraId="2ADF9D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£61,244</w:t>
            </w:r>
          </w:p>
        </w:tc>
        <w:tc>
          <w:tcPr>
            <w:tcW w:w="1465" w:type="dxa"/>
            <w:tcBorders>
              <w:top w:val="nil"/>
              <w:left w:val="nil"/>
              <w:bottom w:val="single" w:sz="4" w:space="0" w:color="auto"/>
              <w:right w:val="single" w:sz="4" w:space="0" w:color="auto"/>
            </w:tcBorders>
            <w:shd w:val="clear" w:color="auto" w:fill="auto"/>
            <w:noWrap/>
            <w:vAlign w:val="center"/>
            <w:hideMark/>
          </w:tcPr>
          <w:p w14:paraId="5FBBA7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£60,855</w:t>
            </w:r>
          </w:p>
        </w:tc>
        <w:tc>
          <w:tcPr>
            <w:tcW w:w="1466" w:type="dxa"/>
            <w:tcBorders>
              <w:top w:val="nil"/>
              <w:left w:val="nil"/>
              <w:bottom w:val="single" w:sz="4" w:space="0" w:color="auto"/>
              <w:right w:val="single" w:sz="4" w:space="0" w:color="auto"/>
            </w:tcBorders>
            <w:shd w:val="clear" w:color="auto" w:fill="auto"/>
            <w:noWrap/>
            <w:vAlign w:val="center"/>
            <w:hideMark/>
          </w:tcPr>
          <w:p w14:paraId="3D0C4D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£61,899</w:t>
            </w:r>
          </w:p>
        </w:tc>
        <w:tc>
          <w:tcPr>
            <w:tcW w:w="1895" w:type="dxa"/>
            <w:tcBorders>
              <w:top w:val="nil"/>
              <w:left w:val="nil"/>
              <w:bottom w:val="single" w:sz="4" w:space="0" w:color="auto"/>
              <w:right w:val="single" w:sz="4" w:space="0" w:color="auto"/>
            </w:tcBorders>
            <w:shd w:val="clear" w:color="auto" w:fill="auto"/>
            <w:noWrap/>
            <w:vAlign w:val="center"/>
            <w:hideMark/>
          </w:tcPr>
          <w:p w14:paraId="1C18D9E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£245,360</w:t>
            </w:r>
          </w:p>
        </w:tc>
      </w:tr>
      <w:tr w:rsidR="004433D7" w:rsidRPr="004433D7" w14:paraId="52E55FFD"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CD9671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465" w:type="dxa"/>
            <w:tcBorders>
              <w:top w:val="nil"/>
              <w:left w:val="nil"/>
              <w:bottom w:val="single" w:sz="4" w:space="0" w:color="auto"/>
              <w:right w:val="single" w:sz="4" w:space="0" w:color="auto"/>
            </w:tcBorders>
            <w:shd w:val="clear" w:color="auto" w:fill="auto"/>
            <w:noWrap/>
            <w:vAlign w:val="center"/>
            <w:hideMark/>
          </w:tcPr>
          <w:p w14:paraId="4B54CA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w:t>
            </w:r>
          </w:p>
        </w:tc>
        <w:tc>
          <w:tcPr>
            <w:tcW w:w="1465" w:type="dxa"/>
            <w:tcBorders>
              <w:top w:val="nil"/>
              <w:left w:val="nil"/>
              <w:bottom w:val="single" w:sz="4" w:space="0" w:color="auto"/>
              <w:right w:val="single" w:sz="4" w:space="0" w:color="auto"/>
            </w:tcBorders>
            <w:shd w:val="clear" w:color="auto" w:fill="auto"/>
            <w:noWrap/>
            <w:vAlign w:val="center"/>
            <w:hideMark/>
          </w:tcPr>
          <w:p w14:paraId="0EDEF5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w:t>
            </w:r>
          </w:p>
        </w:tc>
        <w:tc>
          <w:tcPr>
            <w:tcW w:w="1465" w:type="dxa"/>
            <w:tcBorders>
              <w:top w:val="nil"/>
              <w:left w:val="nil"/>
              <w:bottom w:val="single" w:sz="4" w:space="0" w:color="auto"/>
              <w:right w:val="single" w:sz="4" w:space="0" w:color="auto"/>
            </w:tcBorders>
            <w:shd w:val="clear" w:color="auto" w:fill="auto"/>
            <w:noWrap/>
            <w:vAlign w:val="center"/>
            <w:hideMark/>
          </w:tcPr>
          <w:p w14:paraId="1A7B29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w:t>
            </w:r>
          </w:p>
        </w:tc>
        <w:tc>
          <w:tcPr>
            <w:tcW w:w="1466" w:type="dxa"/>
            <w:tcBorders>
              <w:top w:val="nil"/>
              <w:left w:val="nil"/>
              <w:bottom w:val="single" w:sz="4" w:space="0" w:color="auto"/>
              <w:right w:val="single" w:sz="4" w:space="0" w:color="auto"/>
            </w:tcBorders>
            <w:shd w:val="clear" w:color="auto" w:fill="auto"/>
            <w:noWrap/>
            <w:vAlign w:val="center"/>
            <w:hideMark/>
          </w:tcPr>
          <w:p w14:paraId="01F6BC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w:t>
            </w:r>
          </w:p>
        </w:tc>
        <w:tc>
          <w:tcPr>
            <w:tcW w:w="1895" w:type="dxa"/>
            <w:tcBorders>
              <w:top w:val="nil"/>
              <w:left w:val="nil"/>
              <w:bottom w:val="single" w:sz="4" w:space="0" w:color="auto"/>
              <w:right w:val="single" w:sz="4" w:space="0" w:color="auto"/>
            </w:tcBorders>
            <w:shd w:val="clear" w:color="auto" w:fill="auto"/>
            <w:noWrap/>
            <w:vAlign w:val="center"/>
            <w:hideMark/>
          </w:tcPr>
          <w:p w14:paraId="71A49B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£148</w:t>
            </w:r>
          </w:p>
        </w:tc>
      </w:tr>
      <w:tr w:rsidR="004433D7" w:rsidRPr="004433D7" w14:paraId="4708F1C3"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4A0470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465" w:type="dxa"/>
            <w:tcBorders>
              <w:top w:val="nil"/>
              <w:left w:val="nil"/>
              <w:bottom w:val="single" w:sz="4" w:space="0" w:color="auto"/>
              <w:right w:val="single" w:sz="4" w:space="0" w:color="auto"/>
            </w:tcBorders>
            <w:shd w:val="clear" w:color="auto" w:fill="auto"/>
            <w:noWrap/>
            <w:vAlign w:val="center"/>
            <w:hideMark/>
          </w:tcPr>
          <w:p w14:paraId="53D284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£157,660</w:t>
            </w:r>
          </w:p>
        </w:tc>
        <w:tc>
          <w:tcPr>
            <w:tcW w:w="1465" w:type="dxa"/>
            <w:tcBorders>
              <w:top w:val="nil"/>
              <w:left w:val="nil"/>
              <w:bottom w:val="single" w:sz="4" w:space="0" w:color="auto"/>
              <w:right w:val="single" w:sz="4" w:space="0" w:color="auto"/>
            </w:tcBorders>
            <w:shd w:val="clear" w:color="auto" w:fill="auto"/>
            <w:noWrap/>
            <w:vAlign w:val="center"/>
            <w:hideMark/>
          </w:tcPr>
          <w:p w14:paraId="4E4181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£157,356</w:t>
            </w:r>
          </w:p>
        </w:tc>
        <w:tc>
          <w:tcPr>
            <w:tcW w:w="1465" w:type="dxa"/>
            <w:tcBorders>
              <w:top w:val="nil"/>
              <w:left w:val="nil"/>
              <w:bottom w:val="single" w:sz="4" w:space="0" w:color="auto"/>
              <w:right w:val="single" w:sz="4" w:space="0" w:color="auto"/>
            </w:tcBorders>
            <w:shd w:val="clear" w:color="auto" w:fill="auto"/>
            <w:noWrap/>
            <w:vAlign w:val="center"/>
            <w:hideMark/>
          </w:tcPr>
          <w:p w14:paraId="4205DE2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£156,356</w:t>
            </w:r>
          </w:p>
        </w:tc>
        <w:tc>
          <w:tcPr>
            <w:tcW w:w="1466" w:type="dxa"/>
            <w:tcBorders>
              <w:top w:val="nil"/>
              <w:left w:val="nil"/>
              <w:bottom w:val="single" w:sz="4" w:space="0" w:color="auto"/>
              <w:right w:val="single" w:sz="4" w:space="0" w:color="auto"/>
            </w:tcBorders>
            <w:shd w:val="clear" w:color="auto" w:fill="auto"/>
            <w:noWrap/>
            <w:vAlign w:val="center"/>
            <w:hideMark/>
          </w:tcPr>
          <w:p w14:paraId="7628AE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£159,040</w:t>
            </w:r>
          </w:p>
        </w:tc>
        <w:tc>
          <w:tcPr>
            <w:tcW w:w="1895" w:type="dxa"/>
            <w:tcBorders>
              <w:top w:val="nil"/>
              <w:left w:val="nil"/>
              <w:bottom w:val="single" w:sz="4" w:space="0" w:color="auto"/>
              <w:right w:val="single" w:sz="4" w:space="0" w:color="auto"/>
            </w:tcBorders>
            <w:shd w:val="clear" w:color="auto" w:fill="auto"/>
            <w:noWrap/>
            <w:vAlign w:val="center"/>
            <w:hideMark/>
          </w:tcPr>
          <w:p w14:paraId="11CB80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£630,412</w:t>
            </w:r>
          </w:p>
        </w:tc>
      </w:tr>
      <w:tr w:rsidR="004433D7" w:rsidRPr="004433D7" w14:paraId="21BE5EFA"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D2FAE9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Electric Ireland </w:t>
            </w:r>
          </w:p>
        </w:tc>
        <w:tc>
          <w:tcPr>
            <w:tcW w:w="1465" w:type="dxa"/>
            <w:tcBorders>
              <w:top w:val="nil"/>
              <w:left w:val="nil"/>
              <w:bottom w:val="single" w:sz="4" w:space="0" w:color="auto"/>
              <w:right w:val="single" w:sz="4" w:space="0" w:color="auto"/>
            </w:tcBorders>
            <w:shd w:val="clear" w:color="auto" w:fill="auto"/>
            <w:noWrap/>
            <w:vAlign w:val="center"/>
            <w:hideMark/>
          </w:tcPr>
          <w:p w14:paraId="6949AE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£1,684</w:t>
            </w:r>
          </w:p>
        </w:tc>
        <w:tc>
          <w:tcPr>
            <w:tcW w:w="1465" w:type="dxa"/>
            <w:tcBorders>
              <w:top w:val="nil"/>
              <w:left w:val="nil"/>
              <w:bottom w:val="single" w:sz="4" w:space="0" w:color="auto"/>
              <w:right w:val="single" w:sz="4" w:space="0" w:color="auto"/>
            </w:tcBorders>
            <w:shd w:val="clear" w:color="auto" w:fill="auto"/>
            <w:noWrap/>
            <w:vAlign w:val="center"/>
            <w:hideMark/>
          </w:tcPr>
          <w:p w14:paraId="4AAAB2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£1,680</w:t>
            </w:r>
          </w:p>
        </w:tc>
        <w:tc>
          <w:tcPr>
            <w:tcW w:w="1465" w:type="dxa"/>
            <w:tcBorders>
              <w:top w:val="nil"/>
              <w:left w:val="nil"/>
              <w:bottom w:val="single" w:sz="4" w:space="0" w:color="auto"/>
              <w:right w:val="single" w:sz="4" w:space="0" w:color="auto"/>
            </w:tcBorders>
            <w:shd w:val="clear" w:color="auto" w:fill="auto"/>
            <w:noWrap/>
            <w:vAlign w:val="center"/>
            <w:hideMark/>
          </w:tcPr>
          <w:p w14:paraId="1197A2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£1,670</w:t>
            </w:r>
          </w:p>
        </w:tc>
        <w:tc>
          <w:tcPr>
            <w:tcW w:w="1466" w:type="dxa"/>
            <w:tcBorders>
              <w:top w:val="nil"/>
              <w:left w:val="nil"/>
              <w:bottom w:val="single" w:sz="4" w:space="0" w:color="auto"/>
              <w:right w:val="single" w:sz="4" w:space="0" w:color="auto"/>
            </w:tcBorders>
            <w:shd w:val="clear" w:color="auto" w:fill="auto"/>
            <w:noWrap/>
            <w:vAlign w:val="center"/>
            <w:hideMark/>
          </w:tcPr>
          <w:p w14:paraId="013C18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£1,698</w:t>
            </w:r>
          </w:p>
        </w:tc>
        <w:tc>
          <w:tcPr>
            <w:tcW w:w="1895" w:type="dxa"/>
            <w:tcBorders>
              <w:top w:val="nil"/>
              <w:left w:val="nil"/>
              <w:bottom w:val="single" w:sz="4" w:space="0" w:color="auto"/>
              <w:right w:val="single" w:sz="4" w:space="0" w:color="auto"/>
            </w:tcBorders>
            <w:shd w:val="clear" w:color="auto" w:fill="auto"/>
            <w:noWrap/>
            <w:vAlign w:val="center"/>
            <w:hideMark/>
          </w:tcPr>
          <w:p w14:paraId="797893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£6,732</w:t>
            </w:r>
          </w:p>
        </w:tc>
      </w:tr>
      <w:tr w:rsidR="004433D7" w:rsidRPr="004433D7" w14:paraId="076760DA"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F4E6FE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1F284E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£7,878</w:t>
            </w:r>
          </w:p>
        </w:tc>
        <w:tc>
          <w:tcPr>
            <w:tcW w:w="1465" w:type="dxa"/>
            <w:tcBorders>
              <w:top w:val="nil"/>
              <w:left w:val="nil"/>
              <w:bottom w:val="single" w:sz="4" w:space="0" w:color="auto"/>
              <w:right w:val="single" w:sz="4" w:space="0" w:color="auto"/>
            </w:tcBorders>
            <w:shd w:val="clear" w:color="auto" w:fill="auto"/>
            <w:noWrap/>
            <w:vAlign w:val="center"/>
            <w:hideMark/>
          </w:tcPr>
          <w:p w14:paraId="686042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£7,862</w:t>
            </w:r>
          </w:p>
        </w:tc>
        <w:tc>
          <w:tcPr>
            <w:tcW w:w="1465" w:type="dxa"/>
            <w:tcBorders>
              <w:top w:val="nil"/>
              <w:left w:val="nil"/>
              <w:bottom w:val="single" w:sz="4" w:space="0" w:color="auto"/>
              <w:right w:val="single" w:sz="4" w:space="0" w:color="auto"/>
            </w:tcBorders>
            <w:shd w:val="clear" w:color="auto" w:fill="auto"/>
            <w:noWrap/>
            <w:vAlign w:val="center"/>
            <w:hideMark/>
          </w:tcPr>
          <w:p w14:paraId="4FE062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£7,812</w:t>
            </w:r>
          </w:p>
        </w:tc>
        <w:tc>
          <w:tcPr>
            <w:tcW w:w="1466" w:type="dxa"/>
            <w:tcBorders>
              <w:top w:val="nil"/>
              <w:left w:val="nil"/>
              <w:bottom w:val="single" w:sz="4" w:space="0" w:color="auto"/>
              <w:right w:val="single" w:sz="4" w:space="0" w:color="auto"/>
            </w:tcBorders>
            <w:shd w:val="clear" w:color="auto" w:fill="auto"/>
            <w:noWrap/>
            <w:vAlign w:val="center"/>
            <w:hideMark/>
          </w:tcPr>
          <w:p w14:paraId="6E3576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£7,946</w:t>
            </w:r>
          </w:p>
        </w:tc>
        <w:tc>
          <w:tcPr>
            <w:tcW w:w="1895" w:type="dxa"/>
            <w:tcBorders>
              <w:top w:val="nil"/>
              <w:left w:val="nil"/>
              <w:bottom w:val="single" w:sz="4" w:space="0" w:color="auto"/>
              <w:right w:val="single" w:sz="4" w:space="0" w:color="auto"/>
            </w:tcBorders>
            <w:shd w:val="clear" w:color="auto" w:fill="auto"/>
            <w:noWrap/>
            <w:vAlign w:val="center"/>
            <w:hideMark/>
          </w:tcPr>
          <w:p w14:paraId="140E65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£31,498</w:t>
            </w:r>
          </w:p>
        </w:tc>
      </w:tr>
      <w:tr w:rsidR="004433D7" w:rsidRPr="004433D7" w14:paraId="45B1347B"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23FB453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465" w:type="dxa"/>
            <w:tcBorders>
              <w:top w:val="nil"/>
              <w:left w:val="nil"/>
              <w:bottom w:val="single" w:sz="4" w:space="0" w:color="auto"/>
              <w:right w:val="single" w:sz="4" w:space="0" w:color="auto"/>
            </w:tcBorders>
            <w:shd w:val="clear" w:color="auto" w:fill="auto"/>
            <w:noWrap/>
            <w:vAlign w:val="center"/>
            <w:hideMark/>
          </w:tcPr>
          <w:p w14:paraId="799A32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£1,624</w:t>
            </w:r>
          </w:p>
        </w:tc>
        <w:tc>
          <w:tcPr>
            <w:tcW w:w="1465" w:type="dxa"/>
            <w:tcBorders>
              <w:top w:val="nil"/>
              <w:left w:val="nil"/>
              <w:bottom w:val="single" w:sz="4" w:space="0" w:color="auto"/>
              <w:right w:val="single" w:sz="4" w:space="0" w:color="auto"/>
            </w:tcBorders>
            <w:shd w:val="clear" w:color="auto" w:fill="auto"/>
            <w:noWrap/>
            <w:vAlign w:val="center"/>
            <w:hideMark/>
          </w:tcPr>
          <w:p w14:paraId="2B9FBA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£1,621</w:t>
            </w:r>
          </w:p>
        </w:tc>
        <w:tc>
          <w:tcPr>
            <w:tcW w:w="1465" w:type="dxa"/>
            <w:tcBorders>
              <w:top w:val="nil"/>
              <w:left w:val="nil"/>
              <w:bottom w:val="single" w:sz="4" w:space="0" w:color="auto"/>
              <w:right w:val="single" w:sz="4" w:space="0" w:color="auto"/>
            </w:tcBorders>
            <w:shd w:val="clear" w:color="auto" w:fill="auto"/>
            <w:noWrap/>
            <w:vAlign w:val="center"/>
            <w:hideMark/>
          </w:tcPr>
          <w:p w14:paraId="29BF16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£1,610</w:t>
            </w:r>
          </w:p>
        </w:tc>
        <w:tc>
          <w:tcPr>
            <w:tcW w:w="1466" w:type="dxa"/>
            <w:tcBorders>
              <w:top w:val="nil"/>
              <w:left w:val="nil"/>
              <w:bottom w:val="single" w:sz="4" w:space="0" w:color="auto"/>
              <w:right w:val="single" w:sz="4" w:space="0" w:color="auto"/>
            </w:tcBorders>
            <w:shd w:val="clear" w:color="auto" w:fill="auto"/>
            <w:noWrap/>
            <w:vAlign w:val="center"/>
            <w:hideMark/>
          </w:tcPr>
          <w:p w14:paraId="22D2DE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£1,638</w:t>
            </w:r>
          </w:p>
        </w:tc>
        <w:tc>
          <w:tcPr>
            <w:tcW w:w="1895" w:type="dxa"/>
            <w:tcBorders>
              <w:top w:val="nil"/>
              <w:left w:val="nil"/>
              <w:bottom w:val="single" w:sz="4" w:space="0" w:color="auto"/>
              <w:right w:val="single" w:sz="4" w:space="0" w:color="auto"/>
            </w:tcBorders>
            <w:shd w:val="clear" w:color="auto" w:fill="auto"/>
            <w:noWrap/>
            <w:vAlign w:val="center"/>
            <w:hideMark/>
          </w:tcPr>
          <w:p w14:paraId="0EA407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£6,493</w:t>
            </w:r>
          </w:p>
        </w:tc>
      </w:tr>
      <w:tr w:rsidR="004433D7" w:rsidRPr="004433D7" w14:paraId="4D628BF9"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A3729D3"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Energia</w:t>
            </w:r>
            <w:proofErr w:type="spellEnd"/>
          </w:p>
        </w:tc>
        <w:tc>
          <w:tcPr>
            <w:tcW w:w="1465" w:type="dxa"/>
            <w:tcBorders>
              <w:top w:val="nil"/>
              <w:left w:val="nil"/>
              <w:bottom w:val="single" w:sz="4" w:space="0" w:color="auto"/>
              <w:right w:val="single" w:sz="4" w:space="0" w:color="auto"/>
            </w:tcBorders>
            <w:shd w:val="clear" w:color="auto" w:fill="auto"/>
            <w:noWrap/>
            <w:vAlign w:val="center"/>
            <w:hideMark/>
          </w:tcPr>
          <w:p w14:paraId="714C67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£1,640</w:t>
            </w:r>
          </w:p>
        </w:tc>
        <w:tc>
          <w:tcPr>
            <w:tcW w:w="1465" w:type="dxa"/>
            <w:tcBorders>
              <w:top w:val="nil"/>
              <w:left w:val="nil"/>
              <w:bottom w:val="single" w:sz="4" w:space="0" w:color="auto"/>
              <w:right w:val="single" w:sz="4" w:space="0" w:color="auto"/>
            </w:tcBorders>
            <w:shd w:val="clear" w:color="auto" w:fill="auto"/>
            <w:noWrap/>
            <w:vAlign w:val="center"/>
            <w:hideMark/>
          </w:tcPr>
          <w:p w14:paraId="1B188C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£1,637</w:t>
            </w:r>
          </w:p>
        </w:tc>
        <w:tc>
          <w:tcPr>
            <w:tcW w:w="1465" w:type="dxa"/>
            <w:tcBorders>
              <w:top w:val="nil"/>
              <w:left w:val="nil"/>
              <w:bottom w:val="single" w:sz="4" w:space="0" w:color="auto"/>
              <w:right w:val="single" w:sz="4" w:space="0" w:color="auto"/>
            </w:tcBorders>
            <w:shd w:val="clear" w:color="auto" w:fill="auto"/>
            <w:noWrap/>
            <w:vAlign w:val="center"/>
            <w:hideMark/>
          </w:tcPr>
          <w:p w14:paraId="17C082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£1,627</w:t>
            </w:r>
          </w:p>
        </w:tc>
        <w:tc>
          <w:tcPr>
            <w:tcW w:w="1466" w:type="dxa"/>
            <w:tcBorders>
              <w:top w:val="nil"/>
              <w:left w:val="nil"/>
              <w:bottom w:val="single" w:sz="4" w:space="0" w:color="auto"/>
              <w:right w:val="single" w:sz="4" w:space="0" w:color="auto"/>
            </w:tcBorders>
            <w:shd w:val="clear" w:color="auto" w:fill="auto"/>
            <w:noWrap/>
            <w:vAlign w:val="center"/>
            <w:hideMark/>
          </w:tcPr>
          <w:p w14:paraId="4F6E28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£1,655</w:t>
            </w:r>
          </w:p>
        </w:tc>
        <w:tc>
          <w:tcPr>
            <w:tcW w:w="1895" w:type="dxa"/>
            <w:tcBorders>
              <w:top w:val="nil"/>
              <w:left w:val="nil"/>
              <w:bottom w:val="single" w:sz="4" w:space="0" w:color="auto"/>
              <w:right w:val="single" w:sz="4" w:space="0" w:color="auto"/>
            </w:tcBorders>
            <w:shd w:val="clear" w:color="auto" w:fill="auto"/>
            <w:noWrap/>
            <w:vAlign w:val="center"/>
            <w:hideMark/>
          </w:tcPr>
          <w:p w14:paraId="501B96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£6,559</w:t>
            </w:r>
          </w:p>
        </w:tc>
      </w:tr>
      <w:tr w:rsidR="004433D7" w:rsidRPr="004433D7" w14:paraId="5C42BBC4"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8A0B48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465" w:type="dxa"/>
            <w:tcBorders>
              <w:top w:val="nil"/>
              <w:left w:val="nil"/>
              <w:bottom w:val="single" w:sz="4" w:space="0" w:color="auto"/>
              <w:right w:val="single" w:sz="4" w:space="0" w:color="auto"/>
            </w:tcBorders>
            <w:shd w:val="clear" w:color="auto" w:fill="auto"/>
            <w:noWrap/>
            <w:vAlign w:val="center"/>
            <w:hideMark/>
          </w:tcPr>
          <w:p w14:paraId="283AC6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£41,815</w:t>
            </w:r>
          </w:p>
        </w:tc>
        <w:tc>
          <w:tcPr>
            <w:tcW w:w="1465" w:type="dxa"/>
            <w:tcBorders>
              <w:top w:val="nil"/>
              <w:left w:val="nil"/>
              <w:bottom w:val="single" w:sz="4" w:space="0" w:color="auto"/>
              <w:right w:val="single" w:sz="4" w:space="0" w:color="auto"/>
            </w:tcBorders>
            <w:shd w:val="clear" w:color="auto" w:fill="auto"/>
            <w:noWrap/>
            <w:vAlign w:val="center"/>
            <w:hideMark/>
          </w:tcPr>
          <w:p w14:paraId="71ECA1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£41,735</w:t>
            </w:r>
          </w:p>
        </w:tc>
        <w:tc>
          <w:tcPr>
            <w:tcW w:w="1465" w:type="dxa"/>
            <w:tcBorders>
              <w:top w:val="nil"/>
              <w:left w:val="nil"/>
              <w:bottom w:val="single" w:sz="4" w:space="0" w:color="auto"/>
              <w:right w:val="single" w:sz="4" w:space="0" w:color="auto"/>
            </w:tcBorders>
            <w:shd w:val="clear" w:color="auto" w:fill="auto"/>
            <w:noWrap/>
            <w:vAlign w:val="center"/>
            <w:hideMark/>
          </w:tcPr>
          <w:p w14:paraId="1DEEE8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£41,469</w:t>
            </w:r>
          </w:p>
        </w:tc>
        <w:tc>
          <w:tcPr>
            <w:tcW w:w="1466" w:type="dxa"/>
            <w:tcBorders>
              <w:top w:val="nil"/>
              <w:left w:val="nil"/>
              <w:bottom w:val="single" w:sz="4" w:space="0" w:color="auto"/>
              <w:right w:val="single" w:sz="4" w:space="0" w:color="auto"/>
            </w:tcBorders>
            <w:shd w:val="clear" w:color="auto" w:fill="auto"/>
            <w:noWrap/>
            <w:vAlign w:val="center"/>
            <w:hideMark/>
          </w:tcPr>
          <w:p w14:paraId="715A4B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£42,181</w:t>
            </w:r>
          </w:p>
        </w:tc>
        <w:tc>
          <w:tcPr>
            <w:tcW w:w="1895" w:type="dxa"/>
            <w:tcBorders>
              <w:top w:val="nil"/>
              <w:left w:val="nil"/>
              <w:bottom w:val="single" w:sz="4" w:space="0" w:color="auto"/>
              <w:right w:val="single" w:sz="4" w:space="0" w:color="auto"/>
            </w:tcBorders>
            <w:shd w:val="clear" w:color="auto" w:fill="auto"/>
            <w:noWrap/>
            <w:vAlign w:val="center"/>
            <w:hideMark/>
          </w:tcPr>
          <w:p w14:paraId="300574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£167,200</w:t>
            </w:r>
          </w:p>
        </w:tc>
      </w:tr>
      <w:tr w:rsidR="004433D7" w:rsidRPr="004433D7" w14:paraId="4AA540AD"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72A374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799685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w:t>
            </w:r>
          </w:p>
        </w:tc>
        <w:tc>
          <w:tcPr>
            <w:tcW w:w="1465" w:type="dxa"/>
            <w:tcBorders>
              <w:top w:val="nil"/>
              <w:left w:val="nil"/>
              <w:bottom w:val="single" w:sz="4" w:space="0" w:color="auto"/>
              <w:right w:val="single" w:sz="4" w:space="0" w:color="auto"/>
            </w:tcBorders>
            <w:shd w:val="clear" w:color="auto" w:fill="auto"/>
            <w:noWrap/>
            <w:vAlign w:val="center"/>
            <w:hideMark/>
          </w:tcPr>
          <w:p w14:paraId="1E8914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£150</w:t>
            </w:r>
          </w:p>
        </w:tc>
        <w:tc>
          <w:tcPr>
            <w:tcW w:w="1465" w:type="dxa"/>
            <w:tcBorders>
              <w:top w:val="nil"/>
              <w:left w:val="nil"/>
              <w:bottom w:val="single" w:sz="4" w:space="0" w:color="auto"/>
              <w:right w:val="single" w:sz="4" w:space="0" w:color="auto"/>
            </w:tcBorders>
            <w:shd w:val="clear" w:color="auto" w:fill="auto"/>
            <w:noWrap/>
            <w:vAlign w:val="center"/>
            <w:hideMark/>
          </w:tcPr>
          <w:p w14:paraId="0BDD34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£149</w:t>
            </w:r>
          </w:p>
        </w:tc>
        <w:tc>
          <w:tcPr>
            <w:tcW w:w="1466" w:type="dxa"/>
            <w:tcBorders>
              <w:top w:val="nil"/>
              <w:left w:val="nil"/>
              <w:bottom w:val="single" w:sz="4" w:space="0" w:color="auto"/>
              <w:right w:val="single" w:sz="4" w:space="0" w:color="auto"/>
            </w:tcBorders>
            <w:shd w:val="clear" w:color="auto" w:fill="auto"/>
            <w:noWrap/>
            <w:vAlign w:val="center"/>
            <w:hideMark/>
          </w:tcPr>
          <w:p w14:paraId="404634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w:t>
            </w:r>
          </w:p>
        </w:tc>
        <w:tc>
          <w:tcPr>
            <w:tcW w:w="1895" w:type="dxa"/>
            <w:tcBorders>
              <w:top w:val="nil"/>
              <w:left w:val="nil"/>
              <w:bottom w:val="single" w:sz="4" w:space="0" w:color="auto"/>
              <w:right w:val="single" w:sz="4" w:space="0" w:color="auto"/>
            </w:tcBorders>
            <w:shd w:val="clear" w:color="auto" w:fill="auto"/>
            <w:noWrap/>
            <w:vAlign w:val="center"/>
            <w:hideMark/>
          </w:tcPr>
          <w:p w14:paraId="605C29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w:t>
            </w:r>
          </w:p>
        </w:tc>
      </w:tr>
      <w:tr w:rsidR="004433D7" w:rsidRPr="004433D7" w14:paraId="7ED196B7"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0AEFAB3"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Farmoor</w:t>
            </w:r>
            <w:proofErr w:type="spellEnd"/>
            <w:r w:rsidRPr="004433D7">
              <w:rPr>
                <w:rFonts w:eastAsia="Times New Roman" w:cs="Times New Roman"/>
                <w:color w:val="000000"/>
                <w:sz w:val="16"/>
                <w:szCs w:val="16"/>
              </w:rPr>
              <w:t xml:space="preserve">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13D474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£808</w:t>
            </w:r>
          </w:p>
        </w:tc>
        <w:tc>
          <w:tcPr>
            <w:tcW w:w="1465" w:type="dxa"/>
            <w:tcBorders>
              <w:top w:val="nil"/>
              <w:left w:val="nil"/>
              <w:bottom w:val="single" w:sz="4" w:space="0" w:color="auto"/>
              <w:right w:val="single" w:sz="4" w:space="0" w:color="auto"/>
            </w:tcBorders>
            <w:shd w:val="clear" w:color="auto" w:fill="auto"/>
            <w:noWrap/>
            <w:vAlign w:val="center"/>
            <w:hideMark/>
          </w:tcPr>
          <w:p w14:paraId="587E8E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£807</w:t>
            </w:r>
          </w:p>
        </w:tc>
        <w:tc>
          <w:tcPr>
            <w:tcW w:w="1465" w:type="dxa"/>
            <w:tcBorders>
              <w:top w:val="nil"/>
              <w:left w:val="nil"/>
              <w:bottom w:val="single" w:sz="4" w:space="0" w:color="auto"/>
              <w:right w:val="single" w:sz="4" w:space="0" w:color="auto"/>
            </w:tcBorders>
            <w:shd w:val="clear" w:color="auto" w:fill="auto"/>
            <w:noWrap/>
            <w:vAlign w:val="center"/>
            <w:hideMark/>
          </w:tcPr>
          <w:p w14:paraId="0A2FBC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£802</w:t>
            </w:r>
          </w:p>
        </w:tc>
        <w:tc>
          <w:tcPr>
            <w:tcW w:w="1466" w:type="dxa"/>
            <w:tcBorders>
              <w:top w:val="nil"/>
              <w:left w:val="nil"/>
              <w:bottom w:val="single" w:sz="4" w:space="0" w:color="auto"/>
              <w:right w:val="single" w:sz="4" w:space="0" w:color="auto"/>
            </w:tcBorders>
            <w:shd w:val="clear" w:color="auto" w:fill="auto"/>
            <w:noWrap/>
            <w:vAlign w:val="center"/>
            <w:hideMark/>
          </w:tcPr>
          <w:p w14:paraId="6462F9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£815</w:t>
            </w:r>
          </w:p>
        </w:tc>
        <w:tc>
          <w:tcPr>
            <w:tcW w:w="1895" w:type="dxa"/>
            <w:tcBorders>
              <w:top w:val="nil"/>
              <w:left w:val="nil"/>
              <w:bottom w:val="single" w:sz="4" w:space="0" w:color="auto"/>
              <w:right w:val="single" w:sz="4" w:space="0" w:color="auto"/>
            </w:tcBorders>
            <w:shd w:val="clear" w:color="auto" w:fill="auto"/>
            <w:noWrap/>
            <w:vAlign w:val="center"/>
            <w:hideMark/>
          </w:tcPr>
          <w:p w14:paraId="440494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£3,232</w:t>
            </w:r>
          </w:p>
        </w:tc>
      </w:tr>
      <w:tr w:rsidR="004433D7" w:rsidRPr="004433D7" w14:paraId="39E0FAF8"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98FF62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First Utility Limited</w:t>
            </w:r>
          </w:p>
        </w:tc>
        <w:tc>
          <w:tcPr>
            <w:tcW w:w="1465" w:type="dxa"/>
            <w:tcBorders>
              <w:top w:val="nil"/>
              <w:left w:val="nil"/>
              <w:bottom w:val="single" w:sz="4" w:space="0" w:color="auto"/>
              <w:right w:val="single" w:sz="4" w:space="0" w:color="auto"/>
            </w:tcBorders>
            <w:shd w:val="clear" w:color="auto" w:fill="auto"/>
            <w:noWrap/>
            <w:vAlign w:val="center"/>
            <w:hideMark/>
          </w:tcPr>
          <w:p w14:paraId="32E2D9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£12,889</w:t>
            </w:r>
          </w:p>
        </w:tc>
        <w:tc>
          <w:tcPr>
            <w:tcW w:w="1465" w:type="dxa"/>
            <w:tcBorders>
              <w:top w:val="nil"/>
              <w:left w:val="nil"/>
              <w:bottom w:val="single" w:sz="4" w:space="0" w:color="auto"/>
              <w:right w:val="single" w:sz="4" w:space="0" w:color="auto"/>
            </w:tcBorders>
            <w:shd w:val="clear" w:color="auto" w:fill="auto"/>
            <w:noWrap/>
            <w:vAlign w:val="center"/>
            <w:hideMark/>
          </w:tcPr>
          <w:p w14:paraId="43BD4C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£12,864</w:t>
            </w:r>
          </w:p>
        </w:tc>
        <w:tc>
          <w:tcPr>
            <w:tcW w:w="1465" w:type="dxa"/>
            <w:tcBorders>
              <w:top w:val="nil"/>
              <w:left w:val="nil"/>
              <w:bottom w:val="single" w:sz="4" w:space="0" w:color="auto"/>
              <w:right w:val="single" w:sz="4" w:space="0" w:color="auto"/>
            </w:tcBorders>
            <w:shd w:val="clear" w:color="auto" w:fill="auto"/>
            <w:noWrap/>
            <w:vAlign w:val="center"/>
            <w:hideMark/>
          </w:tcPr>
          <w:p w14:paraId="502E78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£12,783</w:t>
            </w:r>
          </w:p>
        </w:tc>
        <w:tc>
          <w:tcPr>
            <w:tcW w:w="1466" w:type="dxa"/>
            <w:tcBorders>
              <w:top w:val="nil"/>
              <w:left w:val="nil"/>
              <w:bottom w:val="single" w:sz="4" w:space="0" w:color="auto"/>
              <w:right w:val="single" w:sz="4" w:space="0" w:color="auto"/>
            </w:tcBorders>
            <w:shd w:val="clear" w:color="auto" w:fill="auto"/>
            <w:noWrap/>
            <w:vAlign w:val="center"/>
            <w:hideMark/>
          </w:tcPr>
          <w:p w14:paraId="21C008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£13,002</w:t>
            </w:r>
          </w:p>
        </w:tc>
        <w:tc>
          <w:tcPr>
            <w:tcW w:w="1895" w:type="dxa"/>
            <w:tcBorders>
              <w:top w:val="nil"/>
              <w:left w:val="nil"/>
              <w:bottom w:val="single" w:sz="4" w:space="0" w:color="auto"/>
              <w:right w:val="single" w:sz="4" w:space="0" w:color="auto"/>
            </w:tcBorders>
            <w:shd w:val="clear" w:color="auto" w:fill="auto"/>
            <w:noWrap/>
            <w:vAlign w:val="center"/>
            <w:hideMark/>
          </w:tcPr>
          <w:p w14:paraId="5F00B9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£51,538</w:t>
            </w:r>
          </w:p>
        </w:tc>
      </w:tr>
      <w:tr w:rsidR="004433D7" w:rsidRPr="004433D7" w14:paraId="38E5E710"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708C80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76ED5B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£797</w:t>
            </w:r>
          </w:p>
        </w:tc>
        <w:tc>
          <w:tcPr>
            <w:tcW w:w="1465" w:type="dxa"/>
            <w:tcBorders>
              <w:top w:val="nil"/>
              <w:left w:val="nil"/>
              <w:bottom w:val="single" w:sz="4" w:space="0" w:color="auto"/>
              <w:right w:val="single" w:sz="4" w:space="0" w:color="auto"/>
            </w:tcBorders>
            <w:shd w:val="clear" w:color="auto" w:fill="auto"/>
            <w:noWrap/>
            <w:vAlign w:val="center"/>
            <w:hideMark/>
          </w:tcPr>
          <w:p w14:paraId="0ADE08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£796</w:t>
            </w:r>
          </w:p>
        </w:tc>
        <w:tc>
          <w:tcPr>
            <w:tcW w:w="1465" w:type="dxa"/>
            <w:tcBorders>
              <w:top w:val="nil"/>
              <w:left w:val="nil"/>
              <w:bottom w:val="single" w:sz="4" w:space="0" w:color="auto"/>
              <w:right w:val="single" w:sz="4" w:space="0" w:color="auto"/>
            </w:tcBorders>
            <w:shd w:val="clear" w:color="auto" w:fill="auto"/>
            <w:noWrap/>
            <w:vAlign w:val="center"/>
            <w:hideMark/>
          </w:tcPr>
          <w:p w14:paraId="0306DB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£791</w:t>
            </w:r>
          </w:p>
        </w:tc>
        <w:tc>
          <w:tcPr>
            <w:tcW w:w="1466" w:type="dxa"/>
            <w:tcBorders>
              <w:top w:val="nil"/>
              <w:left w:val="nil"/>
              <w:bottom w:val="single" w:sz="4" w:space="0" w:color="auto"/>
              <w:right w:val="single" w:sz="4" w:space="0" w:color="auto"/>
            </w:tcBorders>
            <w:shd w:val="clear" w:color="auto" w:fill="auto"/>
            <w:noWrap/>
            <w:vAlign w:val="center"/>
            <w:hideMark/>
          </w:tcPr>
          <w:p w14:paraId="392485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£804</w:t>
            </w:r>
          </w:p>
        </w:tc>
        <w:tc>
          <w:tcPr>
            <w:tcW w:w="1895" w:type="dxa"/>
            <w:tcBorders>
              <w:top w:val="nil"/>
              <w:left w:val="nil"/>
              <w:bottom w:val="single" w:sz="4" w:space="0" w:color="auto"/>
              <w:right w:val="single" w:sz="4" w:space="0" w:color="auto"/>
            </w:tcBorders>
            <w:shd w:val="clear" w:color="auto" w:fill="auto"/>
            <w:noWrap/>
            <w:vAlign w:val="center"/>
            <w:hideMark/>
          </w:tcPr>
          <w:p w14:paraId="491154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£3,188</w:t>
            </w:r>
          </w:p>
        </w:tc>
      </w:tr>
      <w:tr w:rsidR="004433D7" w:rsidRPr="004433D7" w14:paraId="67F71AFC"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6DE26F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465" w:type="dxa"/>
            <w:tcBorders>
              <w:top w:val="nil"/>
              <w:left w:val="nil"/>
              <w:bottom w:val="single" w:sz="4" w:space="0" w:color="auto"/>
              <w:right w:val="single" w:sz="4" w:space="0" w:color="auto"/>
            </w:tcBorders>
            <w:shd w:val="clear" w:color="auto" w:fill="auto"/>
            <w:noWrap/>
            <w:vAlign w:val="center"/>
            <w:hideMark/>
          </w:tcPr>
          <w:p w14:paraId="738A40A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£5,491</w:t>
            </w:r>
          </w:p>
        </w:tc>
        <w:tc>
          <w:tcPr>
            <w:tcW w:w="1465" w:type="dxa"/>
            <w:tcBorders>
              <w:top w:val="nil"/>
              <w:left w:val="nil"/>
              <w:bottom w:val="single" w:sz="4" w:space="0" w:color="auto"/>
              <w:right w:val="single" w:sz="4" w:space="0" w:color="auto"/>
            </w:tcBorders>
            <w:shd w:val="clear" w:color="auto" w:fill="auto"/>
            <w:noWrap/>
            <w:vAlign w:val="center"/>
            <w:hideMark/>
          </w:tcPr>
          <w:p w14:paraId="19E010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£5,480</w:t>
            </w:r>
          </w:p>
        </w:tc>
        <w:tc>
          <w:tcPr>
            <w:tcW w:w="1465" w:type="dxa"/>
            <w:tcBorders>
              <w:top w:val="nil"/>
              <w:left w:val="nil"/>
              <w:bottom w:val="single" w:sz="4" w:space="0" w:color="auto"/>
              <w:right w:val="single" w:sz="4" w:space="0" w:color="auto"/>
            </w:tcBorders>
            <w:shd w:val="clear" w:color="auto" w:fill="auto"/>
            <w:noWrap/>
            <w:vAlign w:val="center"/>
            <w:hideMark/>
          </w:tcPr>
          <w:p w14:paraId="43E02E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£5,445</w:t>
            </w:r>
          </w:p>
        </w:tc>
        <w:tc>
          <w:tcPr>
            <w:tcW w:w="1466" w:type="dxa"/>
            <w:tcBorders>
              <w:top w:val="nil"/>
              <w:left w:val="nil"/>
              <w:bottom w:val="single" w:sz="4" w:space="0" w:color="auto"/>
              <w:right w:val="single" w:sz="4" w:space="0" w:color="auto"/>
            </w:tcBorders>
            <w:shd w:val="clear" w:color="auto" w:fill="auto"/>
            <w:noWrap/>
            <w:vAlign w:val="center"/>
            <w:hideMark/>
          </w:tcPr>
          <w:p w14:paraId="0A7518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£5,539</w:t>
            </w:r>
          </w:p>
        </w:tc>
        <w:tc>
          <w:tcPr>
            <w:tcW w:w="1895" w:type="dxa"/>
            <w:tcBorders>
              <w:top w:val="nil"/>
              <w:left w:val="nil"/>
              <w:bottom w:val="single" w:sz="4" w:space="0" w:color="auto"/>
              <w:right w:val="single" w:sz="4" w:space="0" w:color="auto"/>
            </w:tcBorders>
            <w:shd w:val="clear" w:color="auto" w:fill="auto"/>
            <w:noWrap/>
            <w:vAlign w:val="center"/>
            <w:hideMark/>
          </w:tcPr>
          <w:p w14:paraId="494B47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£21,955</w:t>
            </w:r>
          </w:p>
        </w:tc>
      </w:tr>
      <w:tr w:rsidR="004433D7" w:rsidRPr="004433D7" w14:paraId="6088CECF"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DD31CE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Go Power </w:t>
            </w:r>
          </w:p>
        </w:tc>
        <w:tc>
          <w:tcPr>
            <w:tcW w:w="1465" w:type="dxa"/>
            <w:tcBorders>
              <w:top w:val="nil"/>
              <w:left w:val="nil"/>
              <w:bottom w:val="single" w:sz="4" w:space="0" w:color="auto"/>
              <w:right w:val="single" w:sz="4" w:space="0" w:color="auto"/>
            </w:tcBorders>
            <w:shd w:val="clear" w:color="auto" w:fill="auto"/>
            <w:noWrap/>
            <w:vAlign w:val="center"/>
            <w:hideMark/>
          </w:tcPr>
          <w:p w14:paraId="770783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£586</w:t>
            </w:r>
          </w:p>
        </w:tc>
        <w:tc>
          <w:tcPr>
            <w:tcW w:w="1465" w:type="dxa"/>
            <w:tcBorders>
              <w:top w:val="nil"/>
              <w:left w:val="nil"/>
              <w:bottom w:val="single" w:sz="4" w:space="0" w:color="auto"/>
              <w:right w:val="single" w:sz="4" w:space="0" w:color="auto"/>
            </w:tcBorders>
            <w:shd w:val="clear" w:color="auto" w:fill="auto"/>
            <w:noWrap/>
            <w:vAlign w:val="center"/>
            <w:hideMark/>
          </w:tcPr>
          <w:p w14:paraId="76472C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£585</w:t>
            </w:r>
          </w:p>
        </w:tc>
        <w:tc>
          <w:tcPr>
            <w:tcW w:w="1465" w:type="dxa"/>
            <w:tcBorders>
              <w:top w:val="nil"/>
              <w:left w:val="nil"/>
              <w:bottom w:val="single" w:sz="4" w:space="0" w:color="auto"/>
              <w:right w:val="single" w:sz="4" w:space="0" w:color="auto"/>
            </w:tcBorders>
            <w:shd w:val="clear" w:color="auto" w:fill="auto"/>
            <w:noWrap/>
            <w:vAlign w:val="center"/>
            <w:hideMark/>
          </w:tcPr>
          <w:p w14:paraId="2393451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£581</w:t>
            </w:r>
          </w:p>
        </w:tc>
        <w:tc>
          <w:tcPr>
            <w:tcW w:w="1466" w:type="dxa"/>
            <w:tcBorders>
              <w:top w:val="nil"/>
              <w:left w:val="nil"/>
              <w:bottom w:val="single" w:sz="4" w:space="0" w:color="auto"/>
              <w:right w:val="single" w:sz="4" w:space="0" w:color="auto"/>
            </w:tcBorders>
            <w:shd w:val="clear" w:color="auto" w:fill="auto"/>
            <w:noWrap/>
            <w:vAlign w:val="center"/>
            <w:hideMark/>
          </w:tcPr>
          <w:p w14:paraId="63CF01E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£591</w:t>
            </w:r>
          </w:p>
        </w:tc>
        <w:tc>
          <w:tcPr>
            <w:tcW w:w="1895" w:type="dxa"/>
            <w:tcBorders>
              <w:top w:val="nil"/>
              <w:left w:val="nil"/>
              <w:bottom w:val="single" w:sz="4" w:space="0" w:color="auto"/>
              <w:right w:val="single" w:sz="4" w:space="0" w:color="auto"/>
            </w:tcBorders>
            <w:shd w:val="clear" w:color="auto" w:fill="auto"/>
            <w:noWrap/>
            <w:vAlign w:val="center"/>
            <w:hideMark/>
          </w:tcPr>
          <w:p w14:paraId="17883C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£2,343</w:t>
            </w:r>
          </w:p>
        </w:tc>
      </w:tr>
      <w:tr w:rsidR="004433D7" w:rsidRPr="004433D7" w14:paraId="533EB481"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7B72BB4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7B86A7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£2,116</w:t>
            </w:r>
          </w:p>
        </w:tc>
        <w:tc>
          <w:tcPr>
            <w:tcW w:w="1465" w:type="dxa"/>
            <w:tcBorders>
              <w:top w:val="nil"/>
              <w:left w:val="nil"/>
              <w:bottom w:val="single" w:sz="4" w:space="0" w:color="auto"/>
              <w:right w:val="single" w:sz="4" w:space="0" w:color="auto"/>
            </w:tcBorders>
            <w:shd w:val="clear" w:color="auto" w:fill="auto"/>
            <w:noWrap/>
            <w:vAlign w:val="center"/>
            <w:hideMark/>
          </w:tcPr>
          <w:p w14:paraId="77D768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£2,112</w:t>
            </w:r>
          </w:p>
        </w:tc>
        <w:tc>
          <w:tcPr>
            <w:tcW w:w="1465" w:type="dxa"/>
            <w:tcBorders>
              <w:top w:val="nil"/>
              <w:left w:val="nil"/>
              <w:bottom w:val="single" w:sz="4" w:space="0" w:color="auto"/>
              <w:right w:val="single" w:sz="4" w:space="0" w:color="auto"/>
            </w:tcBorders>
            <w:shd w:val="clear" w:color="auto" w:fill="auto"/>
            <w:noWrap/>
            <w:vAlign w:val="center"/>
            <w:hideMark/>
          </w:tcPr>
          <w:p w14:paraId="1DD975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£2,099</w:t>
            </w:r>
          </w:p>
        </w:tc>
        <w:tc>
          <w:tcPr>
            <w:tcW w:w="1466" w:type="dxa"/>
            <w:tcBorders>
              <w:top w:val="nil"/>
              <w:left w:val="nil"/>
              <w:bottom w:val="single" w:sz="4" w:space="0" w:color="auto"/>
              <w:right w:val="single" w:sz="4" w:space="0" w:color="auto"/>
            </w:tcBorders>
            <w:shd w:val="clear" w:color="auto" w:fill="auto"/>
            <w:noWrap/>
            <w:vAlign w:val="center"/>
            <w:hideMark/>
          </w:tcPr>
          <w:p w14:paraId="3A803F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£2,135</w:t>
            </w:r>
          </w:p>
        </w:tc>
        <w:tc>
          <w:tcPr>
            <w:tcW w:w="1895" w:type="dxa"/>
            <w:tcBorders>
              <w:top w:val="nil"/>
              <w:left w:val="nil"/>
              <w:bottom w:val="single" w:sz="4" w:space="0" w:color="auto"/>
              <w:right w:val="single" w:sz="4" w:space="0" w:color="auto"/>
            </w:tcBorders>
            <w:shd w:val="clear" w:color="auto" w:fill="auto"/>
            <w:noWrap/>
            <w:vAlign w:val="center"/>
            <w:hideMark/>
          </w:tcPr>
          <w:p w14:paraId="650A32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£8,462</w:t>
            </w:r>
          </w:p>
        </w:tc>
      </w:tr>
      <w:tr w:rsidR="004433D7" w:rsidRPr="004433D7" w14:paraId="6832E768"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279F985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465" w:type="dxa"/>
            <w:tcBorders>
              <w:top w:val="nil"/>
              <w:left w:val="nil"/>
              <w:bottom w:val="single" w:sz="4" w:space="0" w:color="auto"/>
              <w:right w:val="single" w:sz="4" w:space="0" w:color="auto"/>
            </w:tcBorders>
            <w:shd w:val="clear" w:color="auto" w:fill="auto"/>
            <w:noWrap/>
            <w:vAlign w:val="center"/>
            <w:hideMark/>
          </w:tcPr>
          <w:p w14:paraId="30A36B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£448</w:t>
            </w:r>
          </w:p>
        </w:tc>
        <w:tc>
          <w:tcPr>
            <w:tcW w:w="1465" w:type="dxa"/>
            <w:tcBorders>
              <w:top w:val="nil"/>
              <w:left w:val="nil"/>
              <w:bottom w:val="single" w:sz="4" w:space="0" w:color="auto"/>
              <w:right w:val="single" w:sz="4" w:space="0" w:color="auto"/>
            </w:tcBorders>
            <w:shd w:val="clear" w:color="auto" w:fill="auto"/>
            <w:noWrap/>
            <w:vAlign w:val="center"/>
            <w:hideMark/>
          </w:tcPr>
          <w:p w14:paraId="085AA60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£447</w:t>
            </w:r>
          </w:p>
        </w:tc>
        <w:tc>
          <w:tcPr>
            <w:tcW w:w="1465" w:type="dxa"/>
            <w:tcBorders>
              <w:top w:val="nil"/>
              <w:left w:val="nil"/>
              <w:bottom w:val="single" w:sz="4" w:space="0" w:color="auto"/>
              <w:right w:val="single" w:sz="4" w:space="0" w:color="auto"/>
            </w:tcBorders>
            <w:shd w:val="clear" w:color="auto" w:fill="auto"/>
            <w:noWrap/>
            <w:vAlign w:val="center"/>
            <w:hideMark/>
          </w:tcPr>
          <w:p w14:paraId="189F38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£444</w:t>
            </w:r>
          </w:p>
        </w:tc>
        <w:tc>
          <w:tcPr>
            <w:tcW w:w="1466" w:type="dxa"/>
            <w:tcBorders>
              <w:top w:val="nil"/>
              <w:left w:val="nil"/>
              <w:bottom w:val="single" w:sz="4" w:space="0" w:color="auto"/>
              <w:right w:val="single" w:sz="4" w:space="0" w:color="auto"/>
            </w:tcBorders>
            <w:shd w:val="clear" w:color="auto" w:fill="auto"/>
            <w:noWrap/>
            <w:vAlign w:val="center"/>
            <w:hideMark/>
          </w:tcPr>
          <w:p w14:paraId="2F40985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£452</w:t>
            </w:r>
          </w:p>
        </w:tc>
        <w:tc>
          <w:tcPr>
            <w:tcW w:w="1895" w:type="dxa"/>
            <w:tcBorders>
              <w:top w:val="nil"/>
              <w:left w:val="nil"/>
              <w:bottom w:val="single" w:sz="4" w:space="0" w:color="auto"/>
              <w:right w:val="single" w:sz="4" w:space="0" w:color="auto"/>
            </w:tcBorders>
            <w:shd w:val="clear" w:color="auto" w:fill="auto"/>
            <w:noWrap/>
            <w:vAlign w:val="center"/>
            <w:hideMark/>
          </w:tcPr>
          <w:p w14:paraId="5C208F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£1,791</w:t>
            </w:r>
          </w:p>
        </w:tc>
      </w:tr>
      <w:tr w:rsidR="004433D7" w:rsidRPr="004433D7" w14:paraId="14D08494"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03E46B6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6CF93A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£855</w:t>
            </w:r>
          </w:p>
        </w:tc>
        <w:tc>
          <w:tcPr>
            <w:tcW w:w="1465" w:type="dxa"/>
            <w:tcBorders>
              <w:top w:val="nil"/>
              <w:left w:val="nil"/>
              <w:bottom w:val="single" w:sz="4" w:space="0" w:color="auto"/>
              <w:right w:val="single" w:sz="4" w:space="0" w:color="auto"/>
            </w:tcBorders>
            <w:shd w:val="clear" w:color="auto" w:fill="auto"/>
            <w:noWrap/>
            <w:vAlign w:val="center"/>
            <w:hideMark/>
          </w:tcPr>
          <w:p w14:paraId="3044BE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£853</w:t>
            </w:r>
          </w:p>
        </w:tc>
        <w:tc>
          <w:tcPr>
            <w:tcW w:w="1465" w:type="dxa"/>
            <w:tcBorders>
              <w:top w:val="nil"/>
              <w:left w:val="nil"/>
              <w:bottom w:val="single" w:sz="4" w:space="0" w:color="auto"/>
              <w:right w:val="single" w:sz="4" w:space="0" w:color="auto"/>
            </w:tcBorders>
            <w:shd w:val="clear" w:color="auto" w:fill="auto"/>
            <w:noWrap/>
            <w:vAlign w:val="center"/>
            <w:hideMark/>
          </w:tcPr>
          <w:p w14:paraId="584266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£848</w:t>
            </w:r>
          </w:p>
        </w:tc>
        <w:tc>
          <w:tcPr>
            <w:tcW w:w="1466" w:type="dxa"/>
            <w:tcBorders>
              <w:top w:val="nil"/>
              <w:left w:val="nil"/>
              <w:bottom w:val="single" w:sz="4" w:space="0" w:color="auto"/>
              <w:right w:val="single" w:sz="4" w:space="0" w:color="auto"/>
            </w:tcBorders>
            <w:shd w:val="clear" w:color="auto" w:fill="auto"/>
            <w:noWrap/>
            <w:vAlign w:val="center"/>
            <w:hideMark/>
          </w:tcPr>
          <w:p w14:paraId="065796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£862</w:t>
            </w:r>
          </w:p>
        </w:tc>
        <w:tc>
          <w:tcPr>
            <w:tcW w:w="1895" w:type="dxa"/>
            <w:tcBorders>
              <w:top w:val="nil"/>
              <w:left w:val="nil"/>
              <w:bottom w:val="single" w:sz="4" w:space="0" w:color="auto"/>
              <w:right w:val="single" w:sz="4" w:space="0" w:color="auto"/>
            </w:tcBorders>
            <w:shd w:val="clear" w:color="auto" w:fill="auto"/>
            <w:noWrap/>
            <w:vAlign w:val="center"/>
            <w:hideMark/>
          </w:tcPr>
          <w:p w14:paraId="692393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£3,418</w:t>
            </w:r>
          </w:p>
        </w:tc>
      </w:tr>
      <w:tr w:rsidR="004433D7" w:rsidRPr="004433D7" w14:paraId="1081B7E8"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E7AD39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465" w:type="dxa"/>
            <w:tcBorders>
              <w:top w:val="nil"/>
              <w:left w:val="nil"/>
              <w:bottom w:val="single" w:sz="4" w:space="0" w:color="auto"/>
              <w:right w:val="single" w:sz="4" w:space="0" w:color="auto"/>
            </w:tcBorders>
            <w:shd w:val="clear" w:color="auto" w:fill="auto"/>
            <w:noWrap/>
            <w:vAlign w:val="center"/>
            <w:hideMark/>
          </w:tcPr>
          <w:p w14:paraId="691440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£62,820</w:t>
            </w:r>
          </w:p>
        </w:tc>
        <w:tc>
          <w:tcPr>
            <w:tcW w:w="1465" w:type="dxa"/>
            <w:tcBorders>
              <w:top w:val="nil"/>
              <w:left w:val="nil"/>
              <w:bottom w:val="single" w:sz="4" w:space="0" w:color="auto"/>
              <w:right w:val="single" w:sz="4" w:space="0" w:color="auto"/>
            </w:tcBorders>
            <w:shd w:val="clear" w:color="auto" w:fill="auto"/>
            <w:noWrap/>
            <w:vAlign w:val="center"/>
            <w:hideMark/>
          </w:tcPr>
          <w:p w14:paraId="48E9A6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£62,698</w:t>
            </w:r>
          </w:p>
        </w:tc>
        <w:tc>
          <w:tcPr>
            <w:tcW w:w="1465" w:type="dxa"/>
            <w:tcBorders>
              <w:top w:val="nil"/>
              <w:left w:val="nil"/>
              <w:bottom w:val="single" w:sz="4" w:space="0" w:color="auto"/>
              <w:right w:val="single" w:sz="4" w:space="0" w:color="auto"/>
            </w:tcBorders>
            <w:shd w:val="clear" w:color="auto" w:fill="auto"/>
            <w:noWrap/>
            <w:vAlign w:val="center"/>
            <w:hideMark/>
          </w:tcPr>
          <w:p w14:paraId="46B6F1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£62,300</w:t>
            </w:r>
          </w:p>
        </w:tc>
        <w:tc>
          <w:tcPr>
            <w:tcW w:w="1466" w:type="dxa"/>
            <w:tcBorders>
              <w:top w:val="nil"/>
              <w:left w:val="nil"/>
              <w:bottom w:val="single" w:sz="4" w:space="0" w:color="auto"/>
              <w:right w:val="single" w:sz="4" w:space="0" w:color="auto"/>
            </w:tcBorders>
            <w:shd w:val="clear" w:color="auto" w:fill="auto"/>
            <w:noWrap/>
            <w:vAlign w:val="center"/>
            <w:hideMark/>
          </w:tcPr>
          <w:p w14:paraId="7355D6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£63,370</w:t>
            </w:r>
          </w:p>
        </w:tc>
        <w:tc>
          <w:tcPr>
            <w:tcW w:w="1895" w:type="dxa"/>
            <w:tcBorders>
              <w:top w:val="nil"/>
              <w:left w:val="nil"/>
              <w:bottom w:val="single" w:sz="4" w:space="0" w:color="auto"/>
              <w:right w:val="single" w:sz="4" w:space="0" w:color="auto"/>
            </w:tcBorders>
            <w:shd w:val="clear" w:color="auto" w:fill="auto"/>
            <w:noWrap/>
            <w:vAlign w:val="center"/>
            <w:hideMark/>
          </w:tcPr>
          <w:p w14:paraId="3F0727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£251,188</w:t>
            </w:r>
          </w:p>
        </w:tc>
      </w:tr>
      <w:tr w:rsidR="004433D7" w:rsidRPr="004433D7" w14:paraId="7DF699F2"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B78F12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Huddle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49C970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465" w:type="dxa"/>
            <w:tcBorders>
              <w:top w:val="nil"/>
              <w:left w:val="nil"/>
              <w:bottom w:val="single" w:sz="4" w:space="0" w:color="auto"/>
              <w:right w:val="single" w:sz="4" w:space="0" w:color="auto"/>
            </w:tcBorders>
            <w:shd w:val="clear" w:color="auto" w:fill="auto"/>
            <w:noWrap/>
            <w:vAlign w:val="center"/>
            <w:hideMark/>
          </w:tcPr>
          <w:p w14:paraId="4FFBB1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465" w:type="dxa"/>
            <w:tcBorders>
              <w:top w:val="nil"/>
              <w:left w:val="nil"/>
              <w:bottom w:val="single" w:sz="4" w:space="0" w:color="auto"/>
              <w:right w:val="single" w:sz="4" w:space="0" w:color="auto"/>
            </w:tcBorders>
            <w:shd w:val="clear" w:color="auto" w:fill="auto"/>
            <w:noWrap/>
            <w:vAlign w:val="center"/>
            <w:hideMark/>
          </w:tcPr>
          <w:p w14:paraId="05D4F5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466" w:type="dxa"/>
            <w:tcBorders>
              <w:top w:val="nil"/>
              <w:left w:val="nil"/>
              <w:bottom w:val="single" w:sz="4" w:space="0" w:color="auto"/>
              <w:right w:val="single" w:sz="4" w:space="0" w:color="auto"/>
            </w:tcBorders>
            <w:shd w:val="clear" w:color="auto" w:fill="auto"/>
            <w:noWrap/>
            <w:vAlign w:val="center"/>
            <w:hideMark/>
          </w:tcPr>
          <w:p w14:paraId="55CCE2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w:t>
            </w:r>
          </w:p>
        </w:tc>
        <w:tc>
          <w:tcPr>
            <w:tcW w:w="1895" w:type="dxa"/>
            <w:tcBorders>
              <w:top w:val="nil"/>
              <w:left w:val="nil"/>
              <w:bottom w:val="single" w:sz="4" w:space="0" w:color="auto"/>
              <w:right w:val="single" w:sz="4" w:space="0" w:color="auto"/>
            </w:tcBorders>
            <w:shd w:val="clear" w:color="auto" w:fill="auto"/>
            <w:noWrap/>
            <w:vAlign w:val="center"/>
            <w:hideMark/>
          </w:tcPr>
          <w:p w14:paraId="3013AD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w:t>
            </w:r>
          </w:p>
        </w:tc>
      </w:tr>
      <w:tr w:rsidR="004433D7" w:rsidRPr="004433D7" w14:paraId="4F498EE9"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787CC5E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Hudson Energy Supply UK Limited</w:t>
            </w:r>
          </w:p>
        </w:tc>
        <w:tc>
          <w:tcPr>
            <w:tcW w:w="1465" w:type="dxa"/>
            <w:tcBorders>
              <w:top w:val="nil"/>
              <w:left w:val="nil"/>
              <w:bottom w:val="single" w:sz="4" w:space="0" w:color="auto"/>
              <w:right w:val="single" w:sz="4" w:space="0" w:color="auto"/>
            </w:tcBorders>
            <w:shd w:val="clear" w:color="auto" w:fill="auto"/>
            <w:noWrap/>
            <w:vAlign w:val="center"/>
            <w:hideMark/>
          </w:tcPr>
          <w:p w14:paraId="65C246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£8,158</w:t>
            </w:r>
          </w:p>
        </w:tc>
        <w:tc>
          <w:tcPr>
            <w:tcW w:w="1465" w:type="dxa"/>
            <w:tcBorders>
              <w:top w:val="nil"/>
              <w:left w:val="nil"/>
              <w:bottom w:val="single" w:sz="4" w:space="0" w:color="auto"/>
              <w:right w:val="single" w:sz="4" w:space="0" w:color="auto"/>
            </w:tcBorders>
            <w:shd w:val="clear" w:color="auto" w:fill="auto"/>
            <w:noWrap/>
            <w:vAlign w:val="center"/>
            <w:hideMark/>
          </w:tcPr>
          <w:p w14:paraId="6921275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£8,142</w:t>
            </w:r>
          </w:p>
        </w:tc>
        <w:tc>
          <w:tcPr>
            <w:tcW w:w="1465" w:type="dxa"/>
            <w:tcBorders>
              <w:top w:val="nil"/>
              <w:left w:val="nil"/>
              <w:bottom w:val="single" w:sz="4" w:space="0" w:color="auto"/>
              <w:right w:val="single" w:sz="4" w:space="0" w:color="auto"/>
            </w:tcBorders>
            <w:shd w:val="clear" w:color="auto" w:fill="auto"/>
            <w:noWrap/>
            <w:vAlign w:val="center"/>
            <w:hideMark/>
          </w:tcPr>
          <w:p w14:paraId="37EFFF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£8,090</w:t>
            </w:r>
          </w:p>
        </w:tc>
        <w:tc>
          <w:tcPr>
            <w:tcW w:w="1466" w:type="dxa"/>
            <w:tcBorders>
              <w:top w:val="nil"/>
              <w:left w:val="nil"/>
              <w:bottom w:val="single" w:sz="4" w:space="0" w:color="auto"/>
              <w:right w:val="single" w:sz="4" w:space="0" w:color="auto"/>
            </w:tcBorders>
            <w:shd w:val="clear" w:color="auto" w:fill="auto"/>
            <w:noWrap/>
            <w:vAlign w:val="center"/>
            <w:hideMark/>
          </w:tcPr>
          <w:p w14:paraId="0D17FD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£8,229</w:t>
            </w:r>
          </w:p>
        </w:tc>
        <w:tc>
          <w:tcPr>
            <w:tcW w:w="1895" w:type="dxa"/>
            <w:tcBorders>
              <w:top w:val="nil"/>
              <w:left w:val="nil"/>
              <w:bottom w:val="single" w:sz="4" w:space="0" w:color="auto"/>
              <w:right w:val="single" w:sz="4" w:space="0" w:color="auto"/>
            </w:tcBorders>
            <w:shd w:val="clear" w:color="auto" w:fill="auto"/>
            <w:noWrap/>
            <w:vAlign w:val="center"/>
            <w:hideMark/>
          </w:tcPr>
          <w:p w14:paraId="6C713D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£32,619</w:t>
            </w:r>
          </w:p>
        </w:tc>
      </w:tr>
      <w:tr w:rsidR="004433D7" w:rsidRPr="004433D7" w14:paraId="76389477"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3FC55B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465" w:type="dxa"/>
            <w:tcBorders>
              <w:top w:val="nil"/>
              <w:left w:val="nil"/>
              <w:bottom w:val="single" w:sz="4" w:space="0" w:color="auto"/>
              <w:right w:val="single" w:sz="4" w:space="0" w:color="auto"/>
            </w:tcBorders>
            <w:shd w:val="clear" w:color="auto" w:fill="auto"/>
            <w:noWrap/>
            <w:vAlign w:val="center"/>
            <w:hideMark/>
          </w:tcPr>
          <w:p w14:paraId="127021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£1,128</w:t>
            </w:r>
          </w:p>
        </w:tc>
        <w:tc>
          <w:tcPr>
            <w:tcW w:w="1465" w:type="dxa"/>
            <w:tcBorders>
              <w:top w:val="nil"/>
              <w:left w:val="nil"/>
              <w:bottom w:val="single" w:sz="4" w:space="0" w:color="auto"/>
              <w:right w:val="single" w:sz="4" w:space="0" w:color="auto"/>
            </w:tcBorders>
            <w:shd w:val="clear" w:color="auto" w:fill="auto"/>
            <w:noWrap/>
            <w:vAlign w:val="center"/>
            <w:hideMark/>
          </w:tcPr>
          <w:p w14:paraId="72AEAB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£1,126</w:t>
            </w:r>
          </w:p>
        </w:tc>
        <w:tc>
          <w:tcPr>
            <w:tcW w:w="1465" w:type="dxa"/>
            <w:tcBorders>
              <w:top w:val="nil"/>
              <w:left w:val="nil"/>
              <w:bottom w:val="single" w:sz="4" w:space="0" w:color="auto"/>
              <w:right w:val="single" w:sz="4" w:space="0" w:color="auto"/>
            </w:tcBorders>
            <w:shd w:val="clear" w:color="auto" w:fill="auto"/>
            <w:noWrap/>
            <w:vAlign w:val="center"/>
            <w:hideMark/>
          </w:tcPr>
          <w:p w14:paraId="31EBD3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£1,119</w:t>
            </w:r>
          </w:p>
        </w:tc>
        <w:tc>
          <w:tcPr>
            <w:tcW w:w="1466" w:type="dxa"/>
            <w:tcBorders>
              <w:top w:val="nil"/>
              <w:left w:val="nil"/>
              <w:bottom w:val="single" w:sz="4" w:space="0" w:color="auto"/>
              <w:right w:val="single" w:sz="4" w:space="0" w:color="auto"/>
            </w:tcBorders>
            <w:shd w:val="clear" w:color="auto" w:fill="auto"/>
            <w:noWrap/>
            <w:vAlign w:val="center"/>
            <w:hideMark/>
          </w:tcPr>
          <w:p w14:paraId="3F0C3A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£1,138</w:t>
            </w:r>
          </w:p>
        </w:tc>
        <w:tc>
          <w:tcPr>
            <w:tcW w:w="1895" w:type="dxa"/>
            <w:tcBorders>
              <w:top w:val="nil"/>
              <w:left w:val="nil"/>
              <w:bottom w:val="single" w:sz="4" w:space="0" w:color="auto"/>
              <w:right w:val="single" w:sz="4" w:space="0" w:color="auto"/>
            </w:tcBorders>
            <w:shd w:val="clear" w:color="auto" w:fill="auto"/>
            <w:noWrap/>
            <w:vAlign w:val="center"/>
            <w:hideMark/>
          </w:tcPr>
          <w:p w14:paraId="53260F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£4,511</w:t>
            </w:r>
          </w:p>
        </w:tc>
      </w:tr>
      <w:tr w:rsidR="004433D7" w:rsidRPr="004433D7" w14:paraId="6E37B1EC"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73A4A27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Ltd</w:t>
            </w:r>
          </w:p>
        </w:tc>
        <w:tc>
          <w:tcPr>
            <w:tcW w:w="1465" w:type="dxa"/>
            <w:tcBorders>
              <w:top w:val="nil"/>
              <w:left w:val="nil"/>
              <w:bottom w:val="single" w:sz="4" w:space="0" w:color="auto"/>
              <w:right w:val="single" w:sz="4" w:space="0" w:color="auto"/>
            </w:tcBorders>
            <w:shd w:val="clear" w:color="auto" w:fill="auto"/>
            <w:noWrap/>
            <w:vAlign w:val="center"/>
            <w:hideMark/>
          </w:tcPr>
          <w:p w14:paraId="0DFAD9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5" w:type="dxa"/>
            <w:tcBorders>
              <w:top w:val="nil"/>
              <w:left w:val="nil"/>
              <w:bottom w:val="single" w:sz="4" w:space="0" w:color="auto"/>
              <w:right w:val="single" w:sz="4" w:space="0" w:color="auto"/>
            </w:tcBorders>
            <w:shd w:val="clear" w:color="auto" w:fill="auto"/>
            <w:noWrap/>
            <w:vAlign w:val="center"/>
            <w:hideMark/>
          </w:tcPr>
          <w:p w14:paraId="6B7104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5" w:type="dxa"/>
            <w:tcBorders>
              <w:top w:val="nil"/>
              <w:left w:val="nil"/>
              <w:bottom w:val="single" w:sz="4" w:space="0" w:color="auto"/>
              <w:right w:val="single" w:sz="4" w:space="0" w:color="auto"/>
            </w:tcBorders>
            <w:shd w:val="clear" w:color="auto" w:fill="auto"/>
            <w:noWrap/>
            <w:vAlign w:val="center"/>
            <w:hideMark/>
          </w:tcPr>
          <w:p w14:paraId="69D4BB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6" w:type="dxa"/>
            <w:tcBorders>
              <w:top w:val="nil"/>
              <w:left w:val="nil"/>
              <w:bottom w:val="single" w:sz="4" w:space="0" w:color="auto"/>
              <w:right w:val="single" w:sz="4" w:space="0" w:color="auto"/>
            </w:tcBorders>
            <w:shd w:val="clear" w:color="auto" w:fill="auto"/>
            <w:noWrap/>
            <w:vAlign w:val="center"/>
            <w:hideMark/>
          </w:tcPr>
          <w:p w14:paraId="211D71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895" w:type="dxa"/>
            <w:tcBorders>
              <w:top w:val="nil"/>
              <w:left w:val="nil"/>
              <w:bottom w:val="single" w:sz="4" w:space="0" w:color="auto"/>
              <w:right w:val="single" w:sz="4" w:space="0" w:color="auto"/>
            </w:tcBorders>
            <w:shd w:val="clear" w:color="auto" w:fill="auto"/>
            <w:noWrap/>
            <w:vAlign w:val="center"/>
            <w:hideMark/>
          </w:tcPr>
          <w:p w14:paraId="018534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w:t>
            </w:r>
          </w:p>
        </w:tc>
      </w:tr>
      <w:tr w:rsidR="004433D7" w:rsidRPr="004433D7" w14:paraId="5C3DA9FB" w14:textId="77777777" w:rsidTr="00780608">
        <w:trPr>
          <w:trHeight w:val="454"/>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9B1A38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MVV Environment Services  Limited</w:t>
            </w:r>
          </w:p>
        </w:tc>
        <w:tc>
          <w:tcPr>
            <w:tcW w:w="1465" w:type="dxa"/>
            <w:tcBorders>
              <w:top w:val="nil"/>
              <w:left w:val="nil"/>
              <w:bottom w:val="single" w:sz="4" w:space="0" w:color="auto"/>
              <w:right w:val="single" w:sz="4" w:space="0" w:color="auto"/>
            </w:tcBorders>
            <w:shd w:val="clear" w:color="auto" w:fill="auto"/>
            <w:noWrap/>
            <w:vAlign w:val="center"/>
            <w:hideMark/>
          </w:tcPr>
          <w:p w14:paraId="5EDB03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w:t>
            </w:r>
          </w:p>
        </w:tc>
        <w:tc>
          <w:tcPr>
            <w:tcW w:w="1465" w:type="dxa"/>
            <w:tcBorders>
              <w:top w:val="nil"/>
              <w:left w:val="nil"/>
              <w:bottom w:val="single" w:sz="4" w:space="0" w:color="auto"/>
              <w:right w:val="single" w:sz="4" w:space="0" w:color="auto"/>
            </w:tcBorders>
            <w:shd w:val="clear" w:color="auto" w:fill="auto"/>
            <w:noWrap/>
            <w:vAlign w:val="center"/>
            <w:hideMark/>
          </w:tcPr>
          <w:p w14:paraId="1316AC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w:t>
            </w:r>
          </w:p>
        </w:tc>
        <w:tc>
          <w:tcPr>
            <w:tcW w:w="1465" w:type="dxa"/>
            <w:tcBorders>
              <w:top w:val="nil"/>
              <w:left w:val="nil"/>
              <w:bottom w:val="single" w:sz="4" w:space="0" w:color="auto"/>
              <w:right w:val="single" w:sz="4" w:space="0" w:color="auto"/>
            </w:tcBorders>
            <w:shd w:val="clear" w:color="auto" w:fill="auto"/>
            <w:noWrap/>
            <w:vAlign w:val="center"/>
            <w:hideMark/>
          </w:tcPr>
          <w:p w14:paraId="67D9C1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w:t>
            </w:r>
          </w:p>
        </w:tc>
        <w:tc>
          <w:tcPr>
            <w:tcW w:w="1466" w:type="dxa"/>
            <w:tcBorders>
              <w:top w:val="nil"/>
              <w:left w:val="nil"/>
              <w:bottom w:val="single" w:sz="4" w:space="0" w:color="auto"/>
              <w:right w:val="single" w:sz="4" w:space="0" w:color="auto"/>
            </w:tcBorders>
            <w:shd w:val="clear" w:color="auto" w:fill="auto"/>
            <w:noWrap/>
            <w:vAlign w:val="center"/>
            <w:hideMark/>
          </w:tcPr>
          <w:p w14:paraId="27DC62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w:t>
            </w:r>
          </w:p>
        </w:tc>
        <w:tc>
          <w:tcPr>
            <w:tcW w:w="1895" w:type="dxa"/>
            <w:tcBorders>
              <w:top w:val="nil"/>
              <w:left w:val="nil"/>
              <w:bottom w:val="single" w:sz="4" w:space="0" w:color="auto"/>
              <w:right w:val="single" w:sz="4" w:space="0" w:color="auto"/>
            </w:tcBorders>
            <w:shd w:val="clear" w:color="auto" w:fill="auto"/>
            <w:noWrap/>
            <w:vAlign w:val="center"/>
            <w:hideMark/>
          </w:tcPr>
          <w:p w14:paraId="4CB524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w:t>
            </w:r>
          </w:p>
        </w:tc>
      </w:tr>
      <w:tr w:rsidR="004433D7" w:rsidRPr="004433D7" w14:paraId="78D4A5B4"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4AEFB7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465" w:type="dxa"/>
            <w:tcBorders>
              <w:top w:val="nil"/>
              <w:left w:val="nil"/>
              <w:bottom w:val="single" w:sz="4" w:space="0" w:color="auto"/>
              <w:right w:val="single" w:sz="4" w:space="0" w:color="auto"/>
            </w:tcBorders>
            <w:shd w:val="clear" w:color="auto" w:fill="auto"/>
            <w:noWrap/>
            <w:vAlign w:val="center"/>
            <w:hideMark/>
          </w:tcPr>
          <w:p w14:paraId="07F2ED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£5,276</w:t>
            </w:r>
          </w:p>
        </w:tc>
        <w:tc>
          <w:tcPr>
            <w:tcW w:w="1465" w:type="dxa"/>
            <w:tcBorders>
              <w:top w:val="nil"/>
              <w:left w:val="nil"/>
              <w:bottom w:val="single" w:sz="4" w:space="0" w:color="auto"/>
              <w:right w:val="single" w:sz="4" w:space="0" w:color="auto"/>
            </w:tcBorders>
            <w:shd w:val="clear" w:color="auto" w:fill="auto"/>
            <w:noWrap/>
            <w:vAlign w:val="center"/>
            <w:hideMark/>
          </w:tcPr>
          <w:p w14:paraId="0D8F75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£5,266</w:t>
            </w:r>
          </w:p>
        </w:tc>
        <w:tc>
          <w:tcPr>
            <w:tcW w:w="1465" w:type="dxa"/>
            <w:tcBorders>
              <w:top w:val="nil"/>
              <w:left w:val="nil"/>
              <w:bottom w:val="single" w:sz="4" w:space="0" w:color="auto"/>
              <w:right w:val="single" w:sz="4" w:space="0" w:color="auto"/>
            </w:tcBorders>
            <w:shd w:val="clear" w:color="auto" w:fill="auto"/>
            <w:noWrap/>
            <w:vAlign w:val="center"/>
            <w:hideMark/>
          </w:tcPr>
          <w:p w14:paraId="53A1CC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£5,232</w:t>
            </w:r>
          </w:p>
        </w:tc>
        <w:tc>
          <w:tcPr>
            <w:tcW w:w="1466" w:type="dxa"/>
            <w:tcBorders>
              <w:top w:val="nil"/>
              <w:left w:val="nil"/>
              <w:bottom w:val="single" w:sz="4" w:space="0" w:color="auto"/>
              <w:right w:val="single" w:sz="4" w:space="0" w:color="auto"/>
            </w:tcBorders>
            <w:shd w:val="clear" w:color="auto" w:fill="auto"/>
            <w:noWrap/>
            <w:vAlign w:val="center"/>
            <w:hideMark/>
          </w:tcPr>
          <w:p w14:paraId="013DB0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£5,322</w:t>
            </w:r>
          </w:p>
        </w:tc>
        <w:tc>
          <w:tcPr>
            <w:tcW w:w="1895" w:type="dxa"/>
            <w:tcBorders>
              <w:top w:val="nil"/>
              <w:left w:val="nil"/>
              <w:bottom w:val="single" w:sz="4" w:space="0" w:color="auto"/>
              <w:right w:val="single" w:sz="4" w:space="0" w:color="auto"/>
            </w:tcBorders>
            <w:shd w:val="clear" w:color="auto" w:fill="auto"/>
            <w:noWrap/>
            <w:vAlign w:val="center"/>
            <w:hideMark/>
          </w:tcPr>
          <w:p w14:paraId="36ABD3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£21,096</w:t>
            </w:r>
          </w:p>
        </w:tc>
      </w:tr>
      <w:tr w:rsidR="004433D7" w:rsidRPr="004433D7" w14:paraId="72CD037E"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0E5D3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465" w:type="dxa"/>
            <w:tcBorders>
              <w:top w:val="nil"/>
              <w:left w:val="nil"/>
              <w:bottom w:val="single" w:sz="4" w:space="0" w:color="auto"/>
              <w:right w:val="single" w:sz="4" w:space="0" w:color="auto"/>
            </w:tcBorders>
            <w:shd w:val="clear" w:color="auto" w:fill="auto"/>
            <w:noWrap/>
            <w:vAlign w:val="center"/>
            <w:hideMark/>
          </w:tcPr>
          <w:p w14:paraId="5BDF039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£110,355</w:t>
            </w:r>
          </w:p>
        </w:tc>
        <w:tc>
          <w:tcPr>
            <w:tcW w:w="1465" w:type="dxa"/>
            <w:tcBorders>
              <w:top w:val="nil"/>
              <w:left w:val="nil"/>
              <w:bottom w:val="single" w:sz="4" w:space="0" w:color="auto"/>
              <w:right w:val="single" w:sz="4" w:space="0" w:color="auto"/>
            </w:tcBorders>
            <w:shd w:val="clear" w:color="auto" w:fill="auto"/>
            <w:noWrap/>
            <w:vAlign w:val="center"/>
            <w:hideMark/>
          </w:tcPr>
          <w:p w14:paraId="1598F4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£110,142</w:t>
            </w:r>
          </w:p>
        </w:tc>
        <w:tc>
          <w:tcPr>
            <w:tcW w:w="1465" w:type="dxa"/>
            <w:tcBorders>
              <w:top w:val="nil"/>
              <w:left w:val="nil"/>
              <w:bottom w:val="single" w:sz="4" w:space="0" w:color="auto"/>
              <w:right w:val="single" w:sz="4" w:space="0" w:color="auto"/>
            </w:tcBorders>
            <w:shd w:val="clear" w:color="auto" w:fill="auto"/>
            <w:noWrap/>
            <w:vAlign w:val="center"/>
            <w:hideMark/>
          </w:tcPr>
          <w:p w14:paraId="27E59A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£109,442</w:t>
            </w:r>
          </w:p>
        </w:tc>
        <w:tc>
          <w:tcPr>
            <w:tcW w:w="1466" w:type="dxa"/>
            <w:tcBorders>
              <w:top w:val="nil"/>
              <w:left w:val="nil"/>
              <w:bottom w:val="single" w:sz="4" w:space="0" w:color="auto"/>
              <w:right w:val="single" w:sz="4" w:space="0" w:color="auto"/>
            </w:tcBorders>
            <w:shd w:val="clear" w:color="auto" w:fill="auto"/>
            <w:noWrap/>
            <w:vAlign w:val="center"/>
            <w:hideMark/>
          </w:tcPr>
          <w:p w14:paraId="2E7023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£111,321</w:t>
            </w:r>
          </w:p>
        </w:tc>
        <w:tc>
          <w:tcPr>
            <w:tcW w:w="1895" w:type="dxa"/>
            <w:tcBorders>
              <w:top w:val="nil"/>
              <w:left w:val="nil"/>
              <w:bottom w:val="single" w:sz="4" w:space="0" w:color="auto"/>
              <w:right w:val="single" w:sz="4" w:space="0" w:color="auto"/>
            </w:tcBorders>
            <w:shd w:val="clear" w:color="auto" w:fill="auto"/>
            <w:noWrap/>
            <w:vAlign w:val="center"/>
            <w:hideMark/>
          </w:tcPr>
          <w:p w14:paraId="1F008A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£441,260</w:t>
            </w:r>
          </w:p>
        </w:tc>
      </w:tr>
      <w:tr w:rsidR="004433D7" w:rsidRPr="004433D7" w14:paraId="75BFA834"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E0BFA2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6C895E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£25,338</w:t>
            </w:r>
          </w:p>
        </w:tc>
        <w:tc>
          <w:tcPr>
            <w:tcW w:w="1465" w:type="dxa"/>
            <w:tcBorders>
              <w:top w:val="nil"/>
              <w:left w:val="nil"/>
              <w:bottom w:val="single" w:sz="4" w:space="0" w:color="auto"/>
              <w:right w:val="single" w:sz="4" w:space="0" w:color="auto"/>
            </w:tcBorders>
            <w:shd w:val="clear" w:color="auto" w:fill="auto"/>
            <w:noWrap/>
            <w:vAlign w:val="center"/>
            <w:hideMark/>
          </w:tcPr>
          <w:p w14:paraId="6CFB19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£25,289</w:t>
            </w:r>
          </w:p>
        </w:tc>
        <w:tc>
          <w:tcPr>
            <w:tcW w:w="1465" w:type="dxa"/>
            <w:tcBorders>
              <w:top w:val="nil"/>
              <w:left w:val="nil"/>
              <w:bottom w:val="single" w:sz="4" w:space="0" w:color="auto"/>
              <w:right w:val="single" w:sz="4" w:space="0" w:color="auto"/>
            </w:tcBorders>
            <w:shd w:val="clear" w:color="auto" w:fill="auto"/>
            <w:noWrap/>
            <w:vAlign w:val="center"/>
            <w:hideMark/>
          </w:tcPr>
          <w:p w14:paraId="7805D5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£25,129</w:t>
            </w:r>
          </w:p>
        </w:tc>
        <w:tc>
          <w:tcPr>
            <w:tcW w:w="1466" w:type="dxa"/>
            <w:tcBorders>
              <w:top w:val="nil"/>
              <w:left w:val="nil"/>
              <w:bottom w:val="single" w:sz="4" w:space="0" w:color="auto"/>
              <w:right w:val="single" w:sz="4" w:space="0" w:color="auto"/>
            </w:tcBorders>
            <w:shd w:val="clear" w:color="auto" w:fill="auto"/>
            <w:noWrap/>
            <w:vAlign w:val="center"/>
            <w:hideMark/>
          </w:tcPr>
          <w:p w14:paraId="12E6AE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£25,560</w:t>
            </w:r>
          </w:p>
        </w:tc>
        <w:tc>
          <w:tcPr>
            <w:tcW w:w="1895" w:type="dxa"/>
            <w:tcBorders>
              <w:top w:val="nil"/>
              <w:left w:val="nil"/>
              <w:bottom w:val="single" w:sz="4" w:space="0" w:color="auto"/>
              <w:right w:val="single" w:sz="4" w:space="0" w:color="auto"/>
            </w:tcBorders>
            <w:shd w:val="clear" w:color="auto" w:fill="auto"/>
            <w:noWrap/>
            <w:vAlign w:val="center"/>
            <w:hideMark/>
          </w:tcPr>
          <w:p w14:paraId="36C9C60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£101,316</w:t>
            </w:r>
          </w:p>
        </w:tc>
      </w:tr>
      <w:tr w:rsidR="004433D7" w:rsidRPr="004433D7" w14:paraId="77A2AFF6"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4A4B7A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4E2700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£2,844</w:t>
            </w:r>
          </w:p>
        </w:tc>
        <w:tc>
          <w:tcPr>
            <w:tcW w:w="1465" w:type="dxa"/>
            <w:tcBorders>
              <w:top w:val="nil"/>
              <w:left w:val="nil"/>
              <w:bottom w:val="single" w:sz="4" w:space="0" w:color="auto"/>
              <w:right w:val="single" w:sz="4" w:space="0" w:color="auto"/>
            </w:tcBorders>
            <w:shd w:val="clear" w:color="auto" w:fill="auto"/>
            <w:noWrap/>
            <w:vAlign w:val="center"/>
            <w:hideMark/>
          </w:tcPr>
          <w:p w14:paraId="49567E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£2,839</w:t>
            </w:r>
          </w:p>
        </w:tc>
        <w:tc>
          <w:tcPr>
            <w:tcW w:w="1465" w:type="dxa"/>
            <w:tcBorders>
              <w:top w:val="nil"/>
              <w:left w:val="nil"/>
              <w:bottom w:val="single" w:sz="4" w:space="0" w:color="auto"/>
              <w:right w:val="single" w:sz="4" w:space="0" w:color="auto"/>
            </w:tcBorders>
            <w:shd w:val="clear" w:color="auto" w:fill="auto"/>
            <w:noWrap/>
            <w:vAlign w:val="center"/>
            <w:hideMark/>
          </w:tcPr>
          <w:p w14:paraId="1643DAC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£2,821</w:t>
            </w:r>
          </w:p>
        </w:tc>
        <w:tc>
          <w:tcPr>
            <w:tcW w:w="1466" w:type="dxa"/>
            <w:tcBorders>
              <w:top w:val="nil"/>
              <w:left w:val="nil"/>
              <w:bottom w:val="single" w:sz="4" w:space="0" w:color="auto"/>
              <w:right w:val="single" w:sz="4" w:space="0" w:color="auto"/>
            </w:tcBorders>
            <w:shd w:val="clear" w:color="auto" w:fill="auto"/>
            <w:noWrap/>
            <w:vAlign w:val="center"/>
            <w:hideMark/>
          </w:tcPr>
          <w:p w14:paraId="442BB4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£2,869</w:t>
            </w:r>
          </w:p>
        </w:tc>
        <w:tc>
          <w:tcPr>
            <w:tcW w:w="1895" w:type="dxa"/>
            <w:tcBorders>
              <w:top w:val="nil"/>
              <w:left w:val="nil"/>
              <w:bottom w:val="single" w:sz="4" w:space="0" w:color="auto"/>
              <w:right w:val="single" w:sz="4" w:space="0" w:color="auto"/>
            </w:tcBorders>
            <w:shd w:val="clear" w:color="auto" w:fill="auto"/>
            <w:noWrap/>
            <w:vAlign w:val="center"/>
            <w:hideMark/>
          </w:tcPr>
          <w:p w14:paraId="5BB631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£11,373</w:t>
            </w:r>
          </w:p>
        </w:tc>
      </w:tr>
      <w:tr w:rsidR="004433D7" w:rsidRPr="004433D7" w14:paraId="0DF9EBAD"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7456CA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7D66E98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£106</w:t>
            </w:r>
          </w:p>
        </w:tc>
        <w:tc>
          <w:tcPr>
            <w:tcW w:w="1465" w:type="dxa"/>
            <w:tcBorders>
              <w:top w:val="nil"/>
              <w:left w:val="nil"/>
              <w:bottom w:val="single" w:sz="4" w:space="0" w:color="auto"/>
              <w:right w:val="single" w:sz="4" w:space="0" w:color="auto"/>
            </w:tcBorders>
            <w:shd w:val="clear" w:color="auto" w:fill="auto"/>
            <w:noWrap/>
            <w:vAlign w:val="center"/>
            <w:hideMark/>
          </w:tcPr>
          <w:p w14:paraId="701917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w:t>
            </w:r>
          </w:p>
        </w:tc>
        <w:tc>
          <w:tcPr>
            <w:tcW w:w="1465" w:type="dxa"/>
            <w:tcBorders>
              <w:top w:val="nil"/>
              <w:left w:val="nil"/>
              <w:bottom w:val="single" w:sz="4" w:space="0" w:color="auto"/>
              <w:right w:val="single" w:sz="4" w:space="0" w:color="auto"/>
            </w:tcBorders>
            <w:shd w:val="clear" w:color="auto" w:fill="auto"/>
            <w:noWrap/>
            <w:vAlign w:val="center"/>
            <w:hideMark/>
          </w:tcPr>
          <w:p w14:paraId="0D969D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w:t>
            </w:r>
          </w:p>
        </w:tc>
        <w:tc>
          <w:tcPr>
            <w:tcW w:w="1466" w:type="dxa"/>
            <w:tcBorders>
              <w:top w:val="nil"/>
              <w:left w:val="nil"/>
              <w:bottom w:val="single" w:sz="4" w:space="0" w:color="auto"/>
              <w:right w:val="single" w:sz="4" w:space="0" w:color="auto"/>
            </w:tcBorders>
            <w:shd w:val="clear" w:color="auto" w:fill="auto"/>
            <w:noWrap/>
            <w:vAlign w:val="center"/>
            <w:hideMark/>
          </w:tcPr>
          <w:p w14:paraId="663644B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w:t>
            </w:r>
          </w:p>
        </w:tc>
        <w:tc>
          <w:tcPr>
            <w:tcW w:w="1895" w:type="dxa"/>
            <w:tcBorders>
              <w:top w:val="nil"/>
              <w:left w:val="nil"/>
              <w:bottom w:val="single" w:sz="4" w:space="0" w:color="auto"/>
              <w:right w:val="single" w:sz="4" w:space="0" w:color="auto"/>
            </w:tcBorders>
            <w:shd w:val="clear" w:color="auto" w:fill="auto"/>
            <w:noWrap/>
            <w:vAlign w:val="center"/>
            <w:hideMark/>
          </w:tcPr>
          <w:p w14:paraId="4AF758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£423</w:t>
            </w:r>
          </w:p>
        </w:tc>
      </w:tr>
      <w:tr w:rsidR="004433D7" w:rsidRPr="004433D7" w14:paraId="790C5713"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7D3167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465" w:type="dxa"/>
            <w:tcBorders>
              <w:top w:val="nil"/>
              <w:left w:val="nil"/>
              <w:bottom w:val="single" w:sz="4" w:space="0" w:color="auto"/>
              <w:right w:val="single" w:sz="4" w:space="0" w:color="auto"/>
            </w:tcBorders>
            <w:shd w:val="clear" w:color="auto" w:fill="auto"/>
            <w:noWrap/>
            <w:vAlign w:val="center"/>
            <w:hideMark/>
          </w:tcPr>
          <w:p w14:paraId="08121C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£9,510</w:t>
            </w:r>
          </w:p>
        </w:tc>
        <w:tc>
          <w:tcPr>
            <w:tcW w:w="1465" w:type="dxa"/>
            <w:tcBorders>
              <w:top w:val="nil"/>
              <w:left w:val="nil"/>
              <w:bottom w:val="single" w:sz="4" w:space="0" w:color="auto"/>
              <w:right w:val="single" w:sz="4" w:space="0" w:color="auto"/>
            </w:tcBorders>
            <w:shd w:val="clear" w:color="auto" w:fill="auto"/>
            <w:noWrap/>
            <w:vAlign w:val="center"/>
            <w:hideMark/>
          </w:tcPr>
          <w:p w14:paraId="39EA1C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£9,492</w:t>
            </w:r>
          </w:p>
        </w:tc>
        <w:tc>
          <w:tcPr>
            <w:tcW w:w="1465" w:type="dxa"/>
            <w:tcBorders>
              <w:top w:val="nil"/>
              <w:left w:val="nil"/>
              <w:bottom w:val="single" w:sz="4" w:space="0" w:color="auto"/>
              <w:right w:val="single" w:sz="4" w:space="0" w:color="auto"/>
            </w:tcBorders>
            <w:shd w:val="clear" w:color="auto" w:fill="auto"/>
            <w:noWrap/>
            <w:vAlign w:val="center"/>
            <w:hideMark/>
          </w:tcPr>
          <w:p w14:paraId="654ADEE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£9,431</w:t>
            </w:r>
          </w:p>
        </w:tc>
        <w:tc>
          <w:tcPr>
            <w:tcW w:w="1466" w:type="dxa"/>
            <w:tcBorders>
              <w:top w:val="nil"/>
              <w:left w:val="nil"/>
              <w:bottom w:val="single" w:sz="4" w:space="0" w:color="auto"/>
              <w:right w:val="single" w:sz="4" w:space="0" w:color="auto"/>
            </w:tcBorders>
            <w:shd w:val="clear" w:color="auto" w:fill="auto"/>
            <w:noWrap/>
            <w:vAlign w:val="center"/>
            <w:hideMark/>
          </w:tcPr>
          <w:p w14:paraId="04551B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£9,593</w:t>
            </w:r>
          </w:p>
        </w:tc>
        <w:tc>
          <w:tcPr>
            <w:tcW w:w="1895" w:type="dxa"/>
            <w:tcBorders>
              <w:top w:val="nil"/>
              <w:left w:val="nil"/>
              <w:bottom w:val="single" w:sz="4" w:space="0" w:color="auto"/>
              <w:right w:val="single" w:sz="4" w:space="0" w:color="auto"/>
            </w:tcBorders>
            <w:shd w:val="clear" w:color="auto" w:fill="auto"/>
            <w:noWrap/>
            <w:vAlign w:val="center"/>
            <w:hideMark/>
          </w:tcPr>
          <w:p w14:paraId="500C0A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£38,026</w:t>
            </w:r>
          </w:p>
        </w:tc>
      </w:tr>
      <w:tr w:rsidR="004433D7" w:rsidRPr="004433D7" w14:paraId="2C841492"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975757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5A27BF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£9,732</w:t>
            </w:r>
          </w:p>
        </w:tc>
        <w:tc>
          <w:tcPr>
            <w:tcW w:w="1465" w:type="dxa"/>
            <w:tcBorders>
              <w:top w:val="nil"/>
              <w:left w:val="nil"/>
              <w:bottom w:val="single" w:sz="4" w:space="0" w:color="auto"/>
              <w:right w:val="single" w:sz="4" w:space="0" w:color="auto"/>
            </w:tcBorders>
            <w:shd w:val="clear" w:color="auto" w:fill="auto"/>
            <w:noWrap/>
            <w:vAlign w:val="center"/>
            <w:hideMark/>
          </w:tcPr>
          <w:p w14:paraId="41DFF6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£9,713</w:t>
            </w:r>
          </w:p>
        </w:tc>
        <w:tc>
          <w:tcPr>
            <w:tcW w:w="1465" w:type="dxa"/>
            <w:tcBorders>
              <w:top w:val="nil"/>
              <w:left w:val="nil"/>
              <w:bottom w:val="single" w:sz="4" w:space="0" w:color="auto"/>
              <w:right w:val="single" w:sz="4" w:space="0" w:color="auto"/>
            </w:tcBorders>
            <w:shd w:val="clear" w:color="auto" w:fill="auto"/>
            <w:noWrap/>
            <w:vAlign w:val="center"/>
            <w:hideMark/>
          </w:tcPr>
          <w:p w14:paraId="4812A5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£9,651</w:t>
            </w:r>
          </w:p>
        </w:tc>
        <w:tc>
          <w:tcPr>
            <w:tcW w:w="1466" w:type="dxa"/>
            <w:tcBorders>
              <w:top w:val="nil"/>
              <w:left w:val="nil"/>
              <w:bottom w:val="single" w:sz="4" w:space="0" w:color="auto"/>
              <w:right w:val="single" w:sz="4" w:space="0" w:color="auto"/>
            </w:tcBorders>
            <w:shd w:val="clear" w:color="auto" w:fill="auto"/>
            <w:noWrap/>
            <w:vAlign w:val="center"/>
            <w:hideMark/>
          </w:tcPr>
          <w:p w14:paraId="0E6A6A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£9,817</w:t>
            </w:r>
          </w:p>
        </w:tc>
        <w:tc>
          <w:tcPr>
            <w:tcW w:w="1895" w:type="dxa"/>
            <w:tcBorders>
              <w:top w:val="nil"/>
              <w:left w:val="nil"/>
              <w:bottom w:val="single" w:sz="4" w:space="0" w:color="auto"/>
              <w:right w:val="single" w:sz="4" w:space="0" w:color="auto"/>
            </w:tcBorders>
            <w:shd w:val="clear" w:color="auto" w:fill="auto"/>
            <w:noWrap/>
            <w:vAlign w:val="center"/>
            <w:hideMark/>
          </w:tcPr>
          <w:p w14:paraId="2387D1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£38,913</w:t>
            </w:r>
          </w:p>
        </w:tc>
      </w:tr>
      <w:tr w:rsidR="004433D7" w:rsidRPr="004433D7" w14:paraId="4EA9F09E"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215F16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465" w:type="dxa"/>
            <w:tcBorders>
              <w:top w:val="nil"/>
              <w:left w:val="nil"/>
              <w:bottom w:val="single" w:sz="4" w:space="0" w:color="auto"/>
              <w:right w:val="single" w:sz="4" w:space="0" w:color="auto"/>
            </w:tcBorders>
            <w:shd w:val="clear" w:color="auto" w:fill="auto"/>
            <w:noWrap/>
            <w:vAlign w:val="center"/>
            <w:hideMark/>
          </w:tcPr>
          <w:p w14:paraId="7EDA66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£7,362</w:t>
            </w:r>
          </w:p>
        </w:tc>
        <w:tc>
          <w:tcPr>
            <w:tcW w:w="1465" w:type="dxa"/>
            <w:tcBorders>
              <w:top w:val="nil"/>
              <w:left w:val="nil"/>
              <w:bottom w:val="single" w:sz="4" w:space="0" w:color="auto"/>
              <w:right w:val="single" w:sz="4" w:space="0" w:color="auto"/>
            </w:tcBorders>
            <w:shd w:val="clear" w:color="auto" w:fill="auto"/>
            <w:noWrap/>
            <w:vAlign w:val="center"/>
            <w:hideMark/>
          </w:tcPr>
          <w:p w14:paraId="1BA254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£7,347</w:t>
            </w:r>
          </w:p>
        </w:tc>
        <w:tc>
          <w:tcPr>
            <w:tcW w:w="1465" w:type="dxa"/>
            <w:tcBorders>
              <w:top w:val="nil"/>
              <w:left w:val="nil"/>
              <w:bottom w:val="single" w:sz="4" w:space="0" w:color="auto"/>
              <w:right w:val="single" w:sz="4" w:space="0" w:color="auto"/>
            </w:tcBorders>
            <w:shd w:val="clear" w:color="auto" w:fill="auto"/>
            <w:noWrap/>
            <w:vAlign w:val="center"/>
            <w:hideMark/>
          </w:tcPr>
          <w:p w14:paraId="3D8599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£7,301</w:t>
            </w:r>
          </w:p>
        </w:tc>
        <w:tc>
          <w:tcPr>
            <w:tcW w:w="1466" w:type="dxa"/>
            <w:tcBorders>
              <w:top w:val="nil"/>
              <w:left w:val="nil"/>
              <w:bottom w:val="single" w:sz="4" w:space="0" w:color="auto"/>
              <w:right w:val="single" w:sz="4" w:space="0" w:color="auto"/>
            </w:tcBorders>
            <w:shd w:val="clear" w:color="auto" w:fill="auto"/>
            <w:noWrap/>
            <w:vAlign w:val="center"/>
            <w:hideMark/>
          </w:tcPr>
          <w:p w14:paraId="49615C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£7,426</w:t>
            </w:r>
          </w:p>
        </w:tc>
        <w:tc>
          <w:tcPr>
            <w:tcW w:w="1895" w:type="dxa"/>
            <w:tcBorders>
              <w:top w:val="nil"/>
              <w:left w:val="nil"/>
              <w:bottom w:val="single" w:sz="4" w:space="0" w:color="auto"/>
              <w:right w:val="single" w:sz="4" w:space="0" w:color="auto"/>
            </w:tcBorders>
            <w:shd w:val="clear" w:color="auto" w:fill="auto"/>
            <w:noWrap/>
            <w:vAlign w:val="center"/>
            <w:hideMark/>
          </w:tcPr>
          <w:p w14:paraId="373386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£29,436</w:t>
            </w:r>
          </w:p>
        </w:tc>
      </w:tr>
      <w:tr w:rsidR="004433D7" w:rsidRPr="004433D7" w14:paraId="76041BC8"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880C6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 NI</w:t>
            </w:r>
          </w:p>
        </w:tc>
        <w:tc>
          <w:tcPr>
            <w:tcW w:w="1465" w:type="dxa"/>
            <w:tcBorders>
              <w:top w:val="nil"/>
              <w:left w:val="nil"/>
              <w:bottom w:val="single" w:sz="4" w:space="0" w:color="auto"/>
              <w:right w:val="single" w:sz="4" w:space="0" w:color="auto"/>
            </w:tcBorders>
            <w:shd w:val="clear" w:color="auto" w:fill="auto"/>
            <w:noWrap/>
            <w:vAlign w:val="center"/>
            <w:hideMark/>
          </w:tcPr>
          <w:p w14:paraId="2F3B97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£4,456</w:t>
            </w:r>
          </w:p>
        </w:tc>
        <w:tc>
          <w:tcPr>
            <w:tcW w:w="1465" w:type="dxa"/>
            <w:tcBorders>
              <w:top w:val="nil"/>
              <w:left w:val="nil"/>
              <w:bottom w:val="single" w:sz="4" w:space="0" w:color="auto"/>
              <w:right w:val="single" w:sz="4" w:space="0" w:color="auto"/>
            </w:tcBorders>
            <w:shd w:val="clear" w:color="auto" w:fill="auto"/>
            <w:noWrap/>
            <w:vAlign w:val="center"/>
            <w:hideMark/>
          </w:tcPr>
          <w:p w14:paraId="1C255B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£4,447</w:t>
            </w:r>
          </w:p>
        </w:tc>
        <w:tc>
          <w:tcPr>
            <w:tcW w:w="1465" w:type="dxa"/>
            <w:tcBorders>
              <w:top w:val="nil"/>
              <w:left w:val="nil"/>
              <w:bottom w:val="single" w:sz="4" w:space="0" w:color="auto"/>
              <w:right w:val="single" w:sz="4" w:space="0" w:color="auto"/>
            </w:tcBorders>
            <w:shd w:val="clear" w:color="auto" w:fill="auto"/>
            <w:noWrap/>
            <w:vAlign w:val="center"/>
            <w:hideMark/>
          </w:tcPr>
          <w:p w14:paraId="60257F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£4,419</w:t>
            </w:r>
          </w:p>
        </w:tc>
        <w:tc>
          <w:tcPr>
            <w:tcW w:w="1466" w:type="dxa"/>
            <w:tcBorders>
              <w:top w:val="nil"/>
              <w:left w:val="nil"/>
              <w:bottom w:val="single" w:sz="4" w:space="0" w:color="auto"/>
              <w:right w:val="single" w:sz="4" w:space="0" w:color="auto"/>
            </w:tcBorders>
            <w:shd w:val="clear" w:color="auto" w:fill="auto"/>
            <w:noWrap/>
            <w:vAlign w:val="center"/>
            <w:hideMark/>
          </w:tcPr>
          <w:p w14:paraId="19AA05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£4,495</w:t>
            </w:r>
          </w:p>
        </w:tc>
        <w:tc>
          <w:tcPr>
            <w:tcW w:w="1895" w:type="dxa"/>
            <w:tcBorders>
              <w:top w:val="nil"/>
              <w:left w:val="nil"/>
              <w:bottom w:val="single" w:sz="4" w:space="0" w:color="auto"/>
              <w:right w:val="single" w:sz="4" w:space="0" w:color="auto"/>
            </w:tcBorders>
            <w:shd w:val="clear" w:color="auto" w:fill="auto"/>
            <w:noWrap/>
            <w:vAlign w:val="center"/>
            <w:hideMark/>
          </w:tcPr>
          <w:p w14:paraId="2AA423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£17,817</w:t>
            </w:r>
          </w:p>
        </w:tc>
      </w:tr>
      <w:tr w:rsidR="004433D7" w:rsidRPr="004433D7" w14:paraId="07411128"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6AAC7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465" w:type="dxa"/>
            <w:tcBorders>
              <w:top w:val="nil"/>
              <w:left w:val="nil"/>
              <w:bottom w:val="single" w:sz="4" w:space="0" w:color="auto"/>
              <w:right w:val="single" w:sz="4" w:space="0" w:color="auto"/>
            </w:tcBorders>
            <w:shd w:val="clear" w:color="auto" w:fill="auto"/>
            <w:noWrap/>
            <w:vAlign w:val="center"/>
            <w:hideMark/>
          </w:tcPr>
          <w:p w14:paraId="30A835E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£89,251</w:t>
            </w:r>
          </w:p>
        </w:tc>
        <w:tc>
          <w:tcPr>
            <w:tcW w:w="1465" w:type="dxa"/>
            <w:tcBorders>
              <w:top w:val="nil"/>
              <w:left w:val="nil"/>
              <w:bottom w:val="single" w:sz="4" w:space="0" w:color="auto"/>
              <w:right w:val="single" w:sz="4" w:space="0" w:color="auto"/>
            </w:tcBorders>
            <w:shd w:val="clear" w:color="auto" w:fill="auto"/>
            <w:noWrap/>
            <w:vAlign w:val="center"/>
            <w:hideMark/>
          </w:tcPr>
          <w:p w14:paraId="4028EB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£89,079</w:t>
            </w:r>
          </w:p>
        </w:tc>
        <w:tc>
          <w:tcPr>
            <w:tcW w:w="1465" w:type="dxa"/>
            <w:tcBorders>
              <w:top w:val="nil"/>
              <w:left w:val="nil"/>
              <w:bottom w:val="single" w:sz="4" w:space="0" w:color="auto"/>
              <w:right w:val="single" w:sz="4" w:space="0" w:color="auto"/>
            </w:tcBorders>
            <w:shd w:val="clear" w:color="auto" w:fill="auto"/>
            <w:noWrap/>
            <w:vAlign w:val="center"/>
            <w:hideMark/>
          </w:tcPr>
          <w:p w14:paraId="7CD904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£88,513</w:t>
            </w:r>
          </w:p>
        </w:tc>
        <w:tc>
          <w:tcPr>
            <w:tcW w:w="1466" w:type="dxa"/>
            <w:tcBorders>
              <w:top w:val="nil"/>
              <w:left w:val="nil"/>
              <w:bottom w:val="single" w:sz="4" w:space="0" w:color="auto"/>
              <w:right w:val="single" w:sz="4" w:space="0" w:color="auto"/>
            </w:tcBorders>
            <w:shd w:val="clear" w:color="auto" w:fill="auto"/>
            <w:noWrap/>
            <w:vAlign w:val="center"/>
            <w:hideMark/>
          </w:tcPr>
          <w:p w14:paraId="2C9C0B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£90,033</w:t>
            </w:r>
          </w:p>
        </w:tc>
        <w:tc>
          <w:tcPr>
            <w:tcW w:w="1895" w:type="dxa"/>
            <w:tcBorders>
              <w:top w:val="nil"/>
              <w:left w:val="nil"/>
              <w:bottom w:val="single" w:sz="4" w:space="0" w:color="auto"/>
              <w:right w:val="single" w:sz="4" w:space="0" w:color="auto"/>
            </w:tcBorders>
            <w:shd w:val="clear" w:color="auto" w:fill="auto"/>
            <w:noWrap/>
            <w:vAlign w:val="center"/>
            <w:hideMark/>
          </w:tcPr>
          <w:p w14:paraId="796DE0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£356,876</w:t>
            </w:r>
          </w:p>
        </w:tc>
      </w:tr>
      <w:tr w:rsidR="004433D7" w:rsidRPr="004433D7" w14:paraId="54CB7701"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63BE29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465" w:type="dxa"/>
            <w:tcBorders>
              <w:top w:val="nil"/>
              <w:left w:val="nil"/>
              <w:bottom w:val="single" w:sz="4" w:space="0" w:color="auto"/>
              <w:right w:val="single" w:sz="4" w:space="0" w:color="auto"/>
            </w:tcBorders>
            <w:shd w:val="clear" w:color="auto" w:fill="auto"/>
            <w:noWrap/>
            <w:vAlign w:val="center"/>
            <w:hideMark/>
          </w:tcPr>
          <w:p w14:paraId="22711B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£30,831</w:t>
            </w:r>
          </w:p>
        </w:tc>
        <w:tc>
          <w:tcPr>
            <w:tcW w:w="1465" w:type="dxa"/>
            <w:tcBorders>
              <w:top w:val="nil"/>
              <w:left w:val="nil"/>
              <w:bottom w:val="single" w:sz="4" w:space="0" w:color="auto"/>
              <w:right w:val="single" w:sz="4" w:space="0" w:color="auto"/>
            </w:tcBorders>
            <w:shd w:val="clear" w:color="auto" w:fill="auto"/>
            <w:noWrap/>
            <w:vAlign w:val="center"/>
            <w:hideMark/>
          </w:tcPr>
          <w:p w14:paraId="682CFA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£30,772</w:t>
            </w:r>
          </w:p>
        </w:tc>
        <w:tc>
          <w:tcPr>
            <w:tcW w:w="1465" w:type="dxa"/>
            <w:tcBorders>
              <w:top w:val="nil"/>
              <w:left w:val="nil"/>
              <w:bottom w:val="single" w:sz="4" w:space="0" w:color="auto"/>
              <w:right w:val="single" w:sz="4" w:space="0" w:color="auto"/>
            </w:tcBorders>
            <w:shd w:val="clear" w:color="auto" w:fill="auto"/>
            <w:noWrap/>
            <w:vAlign w:val="center"/>
            <w:hideMark/>
          </w:tcPr>
          <w:p w14:paraId="208730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£30,576</w:t>
            </w:r>
          </w:p>
        </w:tc>
        <w:tc>
          <w:tcPr>
            <w:tcW w:w="1466" w:type="dxa"/>
            <w:tcBorders>
              <w:top w:val="nil"/>
              <w:left w:val="nil"/>
              <w:bottom w:val="single" w:sz="4" w:space="0" w:color="auto"/>
              <w:right w:val="single" w:sz="4" w:space="0" w:color="auto"/>
            </w:tcBorders>
            <w:shd w:val="clear" w:color="auto" w:fill="auto"/>
            <w:noWrap/>
            <w:vAlign w:val="center"/>
            <w:hideMark/>
          </w:tcPr>
          <w:p w14:paraId="7D578F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£31,101</w:t>
            </w:r>
          </w:p>
        </w:tc>
        <w:tc>
          <w:tcPr>
            <w:tcW w:w="1895" w:type="dxa"/>
            <w:tcBorders>
              <w:top w:val="nil"/>
              <w:left w:val="nil"/>
              <w:bottom w:val="single" w:sz="4" w:space="0" w:color="auto"/>
              <w:right w:val="single" w:sz="4" w:space="0" w:color="auto"/>
            </w:tcBorders>
            <w:shd w:val="clear" w:color="auto" w:fill="auto"/>
            <w:noWrap/>
            <w:vAlign w:val="center"/>
            <w:hideMark/>
          </w:tcPr>
          <w:p w14:paraId="23176D5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£123,280</w:t>
            </w:r>
          </w:p>
        </w:tc>
      </w:tr>
      <w:tr w:rsidR="004433D7" w:rsidRPr="004433D7" w14:paraId="42B65F9D"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1CA1429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SO Energy Trading Limited</w:t>
            </w:r>
          </w:p>
        </w:tc>
        <w:tc>
          <w:tcPr>
            <w:tcW w:w="1465" w:type="dxa"/>
            <w:tcBorders>
              <w:top w:val="nil"/>
              <w:left w:val="nil"/>
              <w:bottom w:val="single" w:sz="4" w:space="0" w:color="auto"/>
              <w:right w:val="single" w:sz="4" w:space="0" w:color="auto"/>
            </w:tcBorders>
            <w:shd w:val="clear" w:color="auto" w:fill="auto"/>
            <w:noWrap/>
            <w:vAlign w:val="center"/>
            <w:hideMark/>
          </w:tcPr>
          <w:p w14:paraId="71859E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w:t>
            </w:r>
          </w:p>
        </w:tc>
        <w:tc>
          <w:tcPr>
            <w:tcW w:w="1465" w:type="dxa"/>
            <w:tcBorders>
              <w:top w:val="nil"/>
              <w:left w:val="nil"/>
              <w:bottom w:val="single" w:sz="4" w:space="0" w:color="auto"/>
              <w:right w:val="single" w:sz="4" w:space="0" w:color="auto"/>
            </w:tcBorders>
            <w:shd w:val="clear" w:color="auto" w:fill="auto"/>
            <w:noWrap/>
            <w:vAlign w:val="center"/>
            <w:hideMark/>
          </w:tcPr>
          <w:p w14:paraId="2E285F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£364</w:t>
            </w:r>
          </w:p>
        </w:tc>
        <w:tc>
          <w:tcPr>
            <w:tcW w:w="1465" w:type="dxa"/>
            <w:tcBorders>
              <w:top w:val="nil"/>
              <w:left w:val="nil"/>
              <w:bottom w:val="single" w:sz="4" w:space="0" w:color="auto"/>
              <w:right w:val="single" w:sz="4" w:space="0" w:color="auto"/>
            </w:tcBorders>
            <w:shd w:val="clear" w:color="auto" w:fill="auto"/>
            <w:noWrap/>
            <w:vAlign w:val="center"/>
            <w:hideMark/>
          </w:tcPr>
          <w:p w14:paraId="5DF307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£362</w:t>
            </w:r>
          </w:p>
        </w:tc>
        <w:tc>
          <w:tcPr>
            <w:tcW w:w="1466" w:type="dxa"/>
            <w:tcBorders>
              <w:top w:val="nil"/>
              <w:left w:val="nil"/>
              <w:bottom w:val="single" w:sz="4" w:space="0" w:color="auto"/>
              <w:right w:val="single" w:sz="4" w:space="0" w:color="auto"/>
            </w:tcBorders>
            <w:shd w:val="clear" w:color="auto" w:fill="auto"/>
            <w:noWrap/>
            <w:vAlign w:val="center"/>
            <w:hideMark/>
          </w:tcPr>
          <w:p w14:paraId="4F7AD9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£368</w:t>
            </w:r>
          </w:p>
        </w:tc>
        <w:tc>
          <w:tcPr>
            <w:tcW w:w="1895" w:type="dxa"/>
            <w:tcBorders>
              <w:top w:val="nil"/>
              <w:left w:val="nil"/>
              <w:bottom w:val="single" w:sz="4" w:space="0" w:color="auto"/>
              <w:right w:val="single" w:sz="4" w:space="0" w:color="auto"/>
            </w:tcBorders>
            <w:shd w:val="clear" w:color="auto" w:fill="auto"/>
            <w:noWrap/>
            <w:vAlign w:val="center"/>
            <w:hideMark/>
          </w:tcPr>
          <w:p w14:paraId="36FDD3E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£1,459</w:t>
            </w:r>
          </w:p>
        </w:tc>
      </w:tr>
      <w:tr w:rsidR="004433D7" w:rsidRPr="004433D7" w14:paraId="4F3F6A7C"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97EF40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4665BE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w:t>
            </w:r>
          </w:p>
        </w:tc>
        <w:tc>
          <w:tcPr>
            <w:tcW w:w="1465" w:type="dxa"/>
            <w:tcBorders>
              <w:top w:val="nil"/>
              <w:left w:val="nil"/>
              <w:bottom w:val="single" w:sz="4" w:space="0" w:color="auto"/>
              <w:right w:val="single" w:sz="4" w:space="0" w:color="auto"/>
            </w:tcBorders>
            <w:shd w:val="clear" w:color="auto" w:fill="auto"/>
            <w:noWrap/>
            <w:vAlign w:val="center"/>
            <w:hideMark/>
          </w:tcPr>
          <w:p w14:paraId="483B30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w:t>
            </w:r>
          </w:p>
        </w:tc>
        <w:tc>
          <w:tcPr>
            <w:tcW w:w="1465" w:type="dxa"/>
            <w:tcBorders>
              <w:top w:val="nil"/>
              <w:left w:val="nil"/>
              <w:bottom w:val="single" w:sz="4" w:space="0" w:color="auto"/>
              <w:right w:val="single" w:sz="4" w:space="0" w:color="auto"/>
            </w:tcBorders>
            <w:shd w:val="clear" w:color="auto" w:fill="auto"/>
            <w:noWrap/>
            <w:vAlign w:val="center"/>
            <w:hideMark/>
          </w:tcPr>
          <w:p w14:paraId="21B25A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w:t>
            </w:r>
          </w:p>
        </w:tc>
        <w:tc>
          <w:tcPr>
            <w:tcW w:w="1466" w:type="dxa"/>
            <w:tcBorders>
              <w:top w:val="nil"/>
              <w:left w:val="nil"/>
              <w:bottom w:val="single" w:sz="4" w:space="0" w:color="auto"/>
              <w:right w:val="single" w:sz="4" w:space="0" w:color="auto"/>
            </w:tcBorders>
            <w:shd w:val="clear" w:color="auto" w:fill="auto"/>
            <w:noWrap/>
            <w:vAlign w:val="center"/>
            <w:hideMark/>
          </w:tcPr>
          <w:p w14:paraId="525130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w:t>
            </w:r>
          </w:p>
        </w:tc>
        <w:tc>
          <w:tcPr>
            <w:tcW w:w="1895" w:type="dxa"/>
            <w:tcBorders>
              <w:top w:val="nil"/>
              <w:left w:val="nil"/>
              <w:bottom w:val="single" w:sz="4" w:space="0" w:color="auto"/>
              <w:right w:val="single" w:sz="4" w:space="0" w:color="auto"/>
            </w:tcBorders>
            <w:shd w:val="clear" w:color="auto" w:fill="auto"/>
            <w:noWrap/>
            <w:vAlign w:val="center"/>
            <w:hideMark/>
          </w:tcPr>
          <w:p w14:paraId="0FB5DF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£389</w:t>
            </w:r>
          </w:p>
        </w:tc>
      </w:tr>
      <w:tr w:rsidR="004433D7" w:rsidRPr="004433D7" w14:paraId="2D3EA854"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EE4E62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Airtricity Energy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3E5EF8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£2,797</w:t>
            </w:r>
          </w:p>
        </w:tc>
        <w:tc>
          <w:tcPr>
            <w:tcW w:w="1465" w:type="dxa"/>
            <w:tcBorders>
              <w:top w:val="nil"/>
              <w:left w:val="nil"/>
              <w:bottom w:val="single" w:sz="4" w:space="0" w:color="auto"/>
              <w:right w:val="single" w:sz="4" w:space="0" w:color="auto"/>
            </w:tcBorders>
            <w:shd w:val="clear" w:color="auto" w:fill="auto"/>
            <w:noWrap/>
            <w:vAlign w:val="center"/>
            <w:hideMark/>
          </w:tcPr>
          <w:p w14:paraId="5C751F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£2,791</w:t>
            </w:r>
          </w:p>
        </w:tc>
        <w:tc>
          <w:tcPr>
            <w:tcW w:w="1465" w:type="dxa"/>
            <w:tcBorders>
              <w:top w:val="nil"/>
              <w:left w:val="nil"/>
              <w:bottom w:val="single" w:sz="4" w:space="0" w:color="auto"/>
              <w:right w:val="single" w:sz="4" w:space="0" w:color="auto"/>
            </w:tcBorders>
            <w:shd w:val="clear" w:color="auto" w:fill="auto"/>
            <w:noWrap/>
            <w:vAlign w:val="center"/>
            <w:hideMark/>
          </w:tcPr>
          <w:p w14:paraId="144F7B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£2,774</w:t>
            </w:r>
          </w:p>
        </w:tc>
        <w:tc>
          <w:tcPr>
            <w:tcW w:w="1466" w:type="dxa"/>
            <w:tcBorders>
              <w:top w:val="nil"/>
              <w:left w:val="nil"/>
              <w:bottom w:val="single" w:sz="4" w:space="0" w:color="auto"/>
              <w:right w:val="single" w:sz="4" w:space="0" w:color="auto"/>
            </w:tcBorders>
            <w:shd w:val="clear" w:color="auto" w:fill="auto"/>
            <w:noWrap/>
            <w:vAlign w:val="center"/>
            <w:hideMark/>
          </w:tcPr>
          <w:p w14:paraId="482FFF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£2,821</w:t>
            </w:r>
          </w:p>
        </w:tc>
        <w:tc>
          <w:tcPr>
            <w:tcW w:w="1895" w:type="dxa"/>
            <w:tcBorders>
              <w:top w:val="nil"/>
              <w:left w:val="nil"/>
              <w:bottom w:val="single" w:sz="4" w:space="0" w:color="auto"/>
              <w:right w:val="single" w:sz="4" w:space="0" w:color="auto"/>
            </w:tcBorders>
            <w:shd w:val="clear" w:color="auto" w:fill="auto"/>
            <w:noWrap/>
            <w:vAlign w:val="center"/>
            <w:hideMark/>
          </w:tcPr>
          <w:p w14:paraId="74604B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£11,183</w:t>
            </w:r>
          </w:p>
        </w:tc>
      </w:tr>
      <w:tr w:rsidR="004433D7" w:rsidRPr="004433D7" w14:paraId="571E7176"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7CC652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465" w:type="dxa"/>
            <w:tcBorders>
              <w:top w:val="nil"/>
              <w:left w:val="nil"/>
              <w:bottom w:val="single" w:sz="4" w:space="0" w:color="auto"/>
              <w:right w:val="single" w:sz="4" w:space="0" w:color="auto"/>
            </w:tcBorders>
            <w:shd w:val="clear" w:color="auto" w:fill="auto"/>
            <w:noWrap/>
            <w:vAlign w:val="center"/>
            <w:hideMark/>
          </w:tcPr>
          <w:p w14:paraId="57522D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£153,105</w:t>
            </w:r>
          </w:p>
        </w:tc>
        <w:tc>
          <w:tcPr>
            <w:tcW w:w="1465" w:type="dxa"/>
            <w:tcBorders>
              <w:top w:val="nil"/>
              <w:left w:val="nil"/>
              <w:bottom w:val="single" w:sz="4" w:space="0" w:color="auto"/>
              <w:right w:val="single" w:sz="4" w:space="0" w:color="auto"/>
            </w:tcBorders>
            <w:shd w:val="clear" w:color="auto" w:fill="auto"/>
            <w:noWrap/>
            <w:vAlign w:val="center"/>
            <w:hideMark/>
          </w:tcPr>
          <w:p w14:paraId="06B557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£152,810</w:t>
            </w:r>
          </w:p>
        </w:tc>
        <w:tc>
          <w:tcPr>
            <w:tcW w:w="1465" w:type="dxa"/>
            <w:tcBorders>
              <w:top w:val="nil"/>
              <w:left w:val="nil"/>
              <w:bottom w:val="single" w:sz="4" w:space="0" w:color="auto"/>
              <w:right w:val="single" w:sz="4" w:space="0" w:color="auto"/>
            </w:tcBorders>
            <w:shd w:val="clear" w:color="auto" w:fill="auto"/>
            <w:noWrap/>
            <w:vAlign w:val="center"/>
            <w:hideMark/>
          </w:tcPr>
          <w:p w14:paraId="75E379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£151,839</w:t>
            </w:r>
          </w:p>
        </w:tc>
        <w:tc>
          <w:tcPr>
            <w:tcW w:w="1466" w:type="dxa"/>
            <w:tcBorders>
              <w:top w:val="nil"/>
              <w:left w:val="nil"/>
              <w:bottom w:val="single" w:sz="4" w:space="0" w:color="auto"/>
              <w:right w:val="single" w:sz="4" w:space="0" w:color="auto"/>
            </w:tcBorders>
            <w:shd w:val="clear" w:color="auto" w:fill="auto"/>
            <w:noWrap/>
            <w:vAlign w:val="center"/>
            <w:hideMark/>
          </w:tcPr>
          <w:p w14:paraId="32B7CF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£154,446</w:t>
            </w:r>
          </w:p>
        </w:tc>
        <w:tc>
          <w:tcPr>
            <w:tcW w:w="1895" w:type="dxa"/>
            <w:tcBorders>
              <w:top w:val="nil"/>
              <w:left w:val="nil"/>
              <w:bottom w:val="single" w:sz="4" w:space="0" w:color="auto"/>
              <w:right w:val="single" w:sz="4" w:space="0" w:color="auto"/>
            </w:tcBorders>
            <w:shd w:val="clear" w:color="auto" w:fill="auto"/>
            <w:noWrap/>
            <w:vAlign w:val="center"/>
            <w:hideMark/>
          </w:tcPr>
          <w:p w14:paraId="50A14D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£612,200</w:t>
            </w:r>
          </w:p>
        </w:tc>
      </w:tr>
      <w:tr w:rsidR="004433D7" w:rsidRPr="004433D7" w14:paraId="6DD24B00" w14:textId="77777777" w:rsidTr="00780608">
        <w:trPr>
          <w:trHeight w:val="42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5F39F7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465" w:type="dxa"/>
            <w:tcBorders>
              <w:top w:val="nil"/>
              <w:left w:val="nil"/>
              <w:bottom w:val="single" w:sz="4" w:space="0" w:color="auto"/>
              <w:right w:val="single" w:sz="4" w:space="0" w:color="auto"/>
            </w:tcBorders>
            <w:shd w:val="clear" w:color="auto" w:fill="auto"/>
            <w:noWrap/>
            <w:vAlign w:val="center"/>
            <w:hideMark/>
          </w:tcPr>
          <w:p w14:paraId="2E38C1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£3,264</w:t>
            </w:r>
          </w:p>
        </w:tc>
        <w:tc>
          <w:tcPr>
            <w:tcW w:w="1465" w:type="dxa"/>
            <w:tcBorders>
              <w:top w:val="nil"/>
              <w:left w:val="nil"/>
              <w:bottom w:val="single" w:sz="4" w:space="0" w:color="auto"/>
              <w:right w:val="single" w:sz="4" w:space="0" w:color="auto"/>
            </w:tcBorders>
            <w:shd w:val="clear" w:color="auto" w:fill="auto"/>
            <w:noWrap/>
            <w:vAlign w:val="center"/>
            <w:hideMark/>
          </w:tcPr>
          <w:p w14:paraId="52687E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£3,258</w:t>
            </w:r>
          </w:p>
        </w:tc>
        <w:tc>
          <w:tcPr>
            <w:tcW w:w="1465" w:type="dxa"/>
            <w:tcBorders>
              <w:top w:val="nil"/>
              <w:left w:val="nil"/>
              <w:bottom w:val="single" w:sz="4" w:space="0" w:color="auto"/>
              <w:right w:val="single" w:sz="4" w:space="0" w:color="auto"/>
            </w:tcBorders>
            <w:shd w:val="clear" w:color="auto" w:fill="auto"/>
            <w:noWrap/>
            <w:vAlign w:val="center"/>
            <w:hideMark/>
          </w:tcPr>
          <w:p w14:paraId="0DD44A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£3,237</w:t>
            </w:r>
          </w:p>
        </w:tc>
        <w:tc>
          <w:tcPr>
            <w:tcW w:w="1466" w:type="dxa"/>
            <w:tcBorders>
              <w:top w:val="nil"/>
              <w:left w:val="nil"/>
              <w:bottom w:val="single" w:sz="4" w:space="0" w:color="auto"/>
              <w:right w:val="single" w:sz="4" w:space="0" w:color="auto"/>
            </w:tcBorders>
            <w:shd w:val="clear" w:color="auto" w:fill="auto"/>
            <w:noWrap/>
            <w:vAlign w:val="center"/>
            <w:hideMark/>
          </w:tcPr>
          <w:p w14:paraId="243AB8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£3,292</w:t>
            </w:r>
          </w:p>
        </w:tc>
        <w:tc>
          <w:tcPr>
            <w:tcW w:w="1895" w:type="dxa"/>
            <w:tcBorders>
              <w:top w:val="nil"/>
              <w:left w:val="nil"/>
              <w:bottom w:val="single" w:sz="4" w:space="0" w:color="auto"/>
              <w:right w:val="single" w:sz="4" w:space="0" w:color="auto"/>
            </w:tcBorders>
            <w:shd w:val="clear" w:color="auto" w:fill="auto"/>
            <w:noWrap/>
            <w:vAlign w:val="center"/>
            <w:hideMark/>
          </w:tcPr>
          <w:p w14:paraId="7BC273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£13,051</w:t>
            </w:r>
          </w:p>
        </w:tc>
      </w:tr>
      <w:tr w:rsidR="004433D7" w:rsidRPr="004433D7" w14:paraId="05AC7799"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7942055"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48A934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£402</w:t>
            </w:r>
          </w:p>
        </w:tc>
        <w:tc>
          <w:tcPr>
            <w:tcW w:w="1465" w:type="dxa"/>
            <w:tcBorders>
              <w:top w:val="nil"/>
              <w:left w:val="nil"/>
              <w:bottom w:val="single" w:sz="4" w:space="0" w:color="auto"/>
              <w:right w:val="single" w:sz="4" w:space="0" w:color="auto"/>
            </w:tcBorders>
            <w:shd w:val="clear" w:color="auto" w:fill="auto"/>
            <w:noWrap/>
            <w:vAlign w:val="center"/>
            <w:hideMark/>
          </w:tcPr>
          <w:p w14:paraId="1E6005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w:t>
            </w:r>
          </w:p>
        </w:tc>
        <w:tc>
          <w:tcPr>
            <w:tcW w:w="1465" w:type="dxa"/>
            <w:tcBorders>
              <w:top w:val="nil"/>
              <w:left w:val="nil"/>
              <w:bottom w:val="single" w:sz="4" w:space="0" w:color="auto"/>
              <w:right w:val="single" w:sz="4" w:space="0" w:color="auto"/>
            </w:tcBorders>
            <w:shd w:val="clear" w:color="auto" w:fill="auto"/>
            <w:noWrap/>
            <w:vAlign w:val="center"/>
            <w:hideMark/>
          </w:tcPr>
          <w:p w14:paraId="64C46D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£399</w:t>
            </w:r>
          </w:p>
        </w:tc>
        <w:tc>
          <w:tcPr>
            <w:tcW w:w="1466" w:type="dxa"/>
            <w:tcBorders>
              <w:top w:val="nil"/>
              <w:left w:val="nil"/>
              <w:bottom w:val="single" w:sz="4" w:space="0" w:color="auto"/>
              <w:right w:val="single" w:sz="4" w:space="0" w:color="auto"/>
            </w:tcBorders>
            <w:shd w:val="clear" w:color="auto" w:fill="auto"/>
            <w:noWrap/>
            <w:vAlign w:val="center"/>
            <w:hideMark/>
          </w:tcPr>
          <w:p w14:paraId="5EBB88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£406</w:t>
            </w:r>
          </w:p>
        </w:tc>
        <w:tc>
          <w:tcPr>
            <w:tcW w:w="1895" w:type="dxa"/>
            <w:tcBorders>
              <w:top w:val="nil"/>
              <w:left w:val="nil"/>
              <w:bottom w:val="single" w:sz="4" w:space="0" w:color="auto"/>
              <w:right w:val="single" w:sz="4" w:space="0" w:color="auto"/>
            </w:tcBorders>
            <w:shd w:val="clear" w:color="auto" w:fill="auto"/>
            <w:noWrap/>
            <w:vAlign w:val="center"/>
            <w:hideMark/>
          </w:tcPr>
          <w:p w14:paraId="5B69D2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£1,608</w:t>
            </w:r>
          </w:p>
        </w:tc>
      </w:tr>
      <w:tr w:rsidR="004433D7" w:rsidRPr="004433D7" w14:paraId="54DD0A6B"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474DC8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465" w:type="dxa"/>
            <w:tcBorders>
              <w:top w:val="nil"/>
              <w:left w:val="nil"/>
              <w:bottom w:val="single" w:sz="4" w:space="0" w:color="auto"/>
              <w:right w:val="single" w:sz="4" w:space="0" w:color="auto"/>
            </w:tcBorders>
            <w:shd w:val="clear" w:color="auto" w:fill="auto"/>
            <w:noWrap/>
            <w:vAlign w:val="center"/>
            <w:hideMark/>
          </w:tcPr>
          <w:p w14:paraId="523C3C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£41,300</w:t>
            </w:r>
          </w:p>
        </w:tc>
        <w:tc>
          <w:tcPr>
            <w:tcW w:w="1465" w:type="dxa"/>
            <w:tcBorders>
              <w:top w:val="nil"/>
              <w:left w:val="nil"/>
              <w:bottom w:val="single" w:sz="4" w:space="0" w:color="auto"/>
              <w:right w:val="single" w:sz="4" w:space="0" w:color="auto"/>
            </w:tcBorders>
            <w:shd w:val="clear" w:color="auto" w:fill="auto"/>
            <w:noWrap/>
            <w:vAlign w:val="center"/>
            <w:hideMark/>
          </w:tcPr>
          <w:p w14:paraId="6BE3E2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£41,220</w:t>
            </w:r>
          </w:p>
        </w:tc>
        <w:tc>
          <w:tcPr>
            <w:tcW w:w="1465" w:type="dxa"/>
            <w:tcBorders>
              <w:top w:val="nil"/>
              <w:left w:val="nil"/>
              <w:bottom w:val="single" w:sz="4" w:space="0" w:color="auto"/>
              <w:right w:val="single" w:sz="4" w:space="0" w:color="auto"/>
            </w:tcBorders>
            <w:shd w:val="clear" w:color="auto" w:fill="auto"/>
            <w:noWrap/>
            <w:vAlign w:val="center"/>
            <w:hideMark/>
          </w:tcPr>
          <w:p w14:paraId="208821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£40,958</w:t>
            </w:r>
          </w:p>
        </w:tc>
        <w:tc>
          <w:tcPr>
            <w:tcW w:w="1466" w:type="dxa"/>
            <w:tcBorders>
              <w:top w:val="nil"/>
              <w:left w:val="nil"/>
              <w:bottom w:val="single" w:sz="4" w:space="0" w:color="auto"/>
              <w:right w:val="single" w:sz="4" w:space="0" w:color="auto"/>
            </w:tcBorders>
            <w:shd w:val="clear" w:color="auto" w:fill="auto"/>
            <w:noWrap/>
            <w:vAlign w:val="center"/>
            <w:hideMark/>
          </w:tcPr>
          <w:p w14:paraId="216B0C4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£41,661</w:t>
            </w:r>
          </w:p>
        </w:tc>
        <w:tc>
          <w:tcPr>
            <w:tcW w:w="1895" w:type="dxa"/>
            <w:tcBorders>
              <w:top w:val="nil"/>
              <w:left w:val="nil"/>
              <w:bottom w:val="single" w:sz="4" w:space="0" w:color="auto"/>
              <w:right w:val="single" w:sz="4" w:space="0" w:color="auto"/>
            </w:tcBorders>
            <w:shd w:val="clear" w:color="auto" w:fill="auto"/>
            <w:noWrap/>
            <w:vAlign w:val="center"/>
            <w:hideMark/>
          </w:tcPr>
          <w:p w14:paraId="22C4041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£165,139</w:t>
            </w:r>
          </w:p>
        </w:tc>
      </w:tr>
      <w:tr w:rsidR="004433D7" w:rsidRPr="004433D7" w14:paraId="06E3A811"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EE5899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465" w:type="dxa"/>
            <w:tcBorders>
              <w:top w:val="nil"/>
              <w:left w:val="nil"/>
              <w:bottom w:val="single" w:sz="4" w:space="0" w:color="auto"/>
              <w:right w:val="single" w:sz="4" w:space="0" w:color="auto"/>
            </w:tcBorders>
            <w:shd w:val="clear" w:color="auto" w:fill="auto"/>
            <w:noWrap/>
            <w:vAlign w:val="center"/>
            <w:hideMark/>
          </w:tcPr>
          <w:p w14:paraId="06DBE3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5" w:type="dxa"/>
            <w:tcBorders>
              <w:top w:val="nil"/>
              <w:left w:val="nil"/>
              <w:bottom w:val="single" w:sz="4" w:space="0" w:color="auto"/>
              <w:right w:val="single" w:sz="4" w:space="0" w:color="auto"/>
            </w:tcBorders>
            <w:shd w:val="clear" w:color="auto" w:fill="auto"/>
            <w:noWrap/>
            <w:vAlign w:val="center"/>
            <w:hideMark/>
          </w:tcPr>
          <w:p w14:paraId="3CAF00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5" w:type="dxa"/>
            <w:tcBorders>
              <w:top w:val="nil"/>
              <w:left w:val="nil"/>
              <w:bottom w:val="single" w:sz="4" w:space="0" w:color="auto"/>
              <w:right w:val="single" w:sz="4" w:space="0" w:color="auto"/>
            </w:tcBorders>
            <w:shd w:val="clear" w:color="auto" w:fill="auto"/>
            <w:noWrap/>
            <w:vAlign w:val="center"/>
            <w:hideMark/>
          </w:tcPr>
          <w:p w14:paraId="20B960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6" w:type="dxa"/>
            <w:tcBorders>
              <w:top w:val="nil"/>
              <w:left w:val="nil"/>
              <w:bottom w:val="single" w:sz="4" w:space="0" w:color="auto"/>
              <w:right w:val="single" w:sz="4" w:space="0" w:color="auto"/>
            </w:tcBorders>
            <w:shd w:val="clear" w:color="auto" w:fill="auto"/>
            <w:noWrap/>
            <w:vAlign w:val="center"/>
            <w:hideMark/>
          </w:tcPr>
          <w:p w14:paraId="02B190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895" w:type="dxa"/>
            <w:tcBorders>
              <w:top w:val="nil"/>
              <w:left w:val="nil"/>
              <w:bottom w:val="single" w:sz="4" w:space="0" w:color="auto"/>
              <w:right w:val="single" w:sz="4" w:space="0" w:color="auto"/>
            </w:tcBorders>
            <w:shd w:val="clear" w:color="auto" w:fill="auto"/>
            <w:noWrap/>
            <w:vAlign w:val="center"/>
            <w:hideMark/>
          </w:tcPr>
          <w:p w14:paraId="70F876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w:t>
            </w:r>
          </w:p>
        </w:tc>
      </w:tr>
      <w:tr w:rsidR="004433D7" w:rsidRPr="004433D7" w14:paraId="51E91A35"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6B3396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w:t>
            </w:r>
          </w:p>
        </w:tc>
        <w:tc>
          <w:tcPr>
            <w:tcW w:w="1465" w:type="dxa"/>
            <w:tcBorders>
              <w:top w:val="nil"/>
              <w:left w:val="nil"/>
              <w:bottom w:val="single" w:sz="4" w:space="0" w:color="auto"/>
              <w:right w:val="single" w:sz="4" w:space="0" w:color="auto"/>
            </w:tcBorders>
            <w:shd w:val="clear" w:color="auto" w:fill="auto"/>
            <w:noWrap/>
            <w:vAlign w:val="center"/>
            <w:hideMark/>
          </w:tcPr>
          <w:p w14:paraId="04AE7B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£7,430</w:t>
            </w:r>
          </w:p>
        </w:tc>
        <w:tc>
          <w:tcPr>
            <w:tcW w:w="1465" w:type="dxa"/>
            <w:tcBorders>
              <w:top w:val="nil"/>
              <w:left w:val="nil"/>
              <w:bottom w:val="single" w:sz="4" w:space="0" w:color="auto"/>
              <w:right w:val="single" w:sz="4" w:space="0" w:color="auto"/>
            </w:tcBorders>
            <w:shd w:val="clear" w:color="auto" w:fill="auto"/>
            <w:noWrap/>
            <w:vAlign w:val="center"/>
            <w:hideMark/>
          </w:tcPr>
          <w:p w14:paraId="34D482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£7,416</w:t>
            </w:r>
          </w:p>
        </w:tc>
        <w:tc>
          <w:tcPr>
            <w:tcW w:w="1465" w:type="dxa"/>
            <w:tcBorders>
              <w:top w:val="nil"/>
              <w:left w:val="nil"/>
              <w:bottom w:val="single" w:sz="4" w:space="0" w:color="auto"/>
              <w:right w:val="single" w:sz="4" w:space="0" w:color="auto"/>
            </w:tcBorders>
            <w:shd w:val="clear" w:color="auto" w:fill="auto"/>
            <w:noWrap/>
            <w:vAlign w:val="center"/>
            <w:hideMark/>
          </w:tcPr>
          <w:p w14:paraId="57A993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£7,369</w:t>
            </w:r>
          </w:p>
        </w:tc>
        <w:tc>
          <w:tcPr>
            <w:tcW w:w="1466" w:type="dxa"/>
            <w:tcBorders>
              <w:top w:val="nil"/>
              <w:left w:val="nil"/>
              <w:bottom w:val="single" w:sz="4" w:space="0" w:color="auto"/>
              <w:right w:val="single" w:sz="4" w:space="0" w:color="auto"/>
            </w:tcBorders>
            <w:shd w:val="clear" w:color="auto" w:fill="auto"/>
            <w:noWrap/>
            <w:vAlign w:val="center"/>
            <w:hideMark/>
          </w:tcPr>
          <w:p w14:paraId="1F8626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£7,495</w:t>
            </w:r>
          </w:p>
        </w:tc>
        <w:tc>
          <w:tcPr>
            <w:tcW w:w="1895" w:type="dxa"/>
            <w:tcBorders>
              <w:top w:val="nil"/>
              <w:left w:val="nil"/>
              <w:bottom w:val="single" w:sz="4" w:space="0" w:color="auto"/>
              <w:right w:val="single" w:sz="4" w:space="0" w:color="auto"/>
            </w:tcBorders>
            <w:shd w:val="clear" w:color="auto" w:fill="auto"/>
            <w:noWrap/>
            <w:vAlign w:val="center"/>
            <w:hideMark/>
          </w:tcPr>
          <w:p w14:paraId="789046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£29,710</w:t>
            </w:r>
          </w:p>
        </w:tc>
      </w:tr>
      <w:tr w:rsidR="004433D7" w:rsidRPr="004433D7" w14:paraId="5CA83F5A" w14:textId="77777777" w:rsidTr="00780608">
        <w:trPr>
          <w:trHeight w:val="270"/>
        </w:trPr>
        <w:tc>
          <w:tcPr>
            <w:tcW w:w="2356" w:type="dxa"/>
            <w:tcBorders>
              <w:top w:val="nil"/>
              <w:left w:val="single" w:sz="4" w:space="0" w:color="auto"/>
              <w:bottom w:val="single" w:sz="4" w:space="0" w:color="auto"/>
              <w:right w:val="single" w:sz="4" w:space="0" w:color="auto"/>
            </w:tcBorders>
            <w:shd w:val="clear" w:color="auto" w:fill="2363AF"/>
            <w:vAlign w:val="center"/>
            <w:hideMark/>
          </w:tcPr>
          <w:p w14:paraId="769F3FCA"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465" w:type="dxa"/>
            <w:tcBorders>
              <w:top w:val="nil"/>
              <w:left w:val="nil"/>
              <w:bottom w:val="single" w:sz="4" w:space="0" w:color="auto"/>
              <w:right w:val="single" w:sz="4" w:space="0" w:color="auto"/>
            </w:tcBorders>
            <w:shd w:val="clear" w:color="auto" w:fill="2363AF"/>
            <w:noWrap/>
            <w:vAlign w:val="center"/>
            <w:hideMark/>
          </w:tcPr>
          <w:p w14:paraId="565F0EBC"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£1,103,583</w:t>
            </w:r>
          </w:p>
        </w:tc>
        <w:tc>
          <w:tcPr>
            <w:tcW w:w="1465" w:type="dxa"/>
            <w:tcBorders>
              <w:top w:val="nil"/>
              <w:left w:val="nil"/>
              <w:bottom w:val="single" w:sz="4" w:space="0" w:color="auto"/>
              <w:right w:val="single" w:sz="4" w:space="0" w:color="auto"/>
            </w:tcBorders>
            <w:shd w:val="clear" w:color="auto" w:fill="2363AF"/>
            <w:noWrap/>
            <w:vAlign w:val="center"/>
            <w:hideMark/>
          </w:tcPr>
          <w:p w14:paraId="17C520E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£1,101,453</w:t>
            </w:r>
          </w:p>
        </w:tc>
        <w:tc>
          <w:tcPr>
            <w:tcW w:w="1465" w:type="dxa"/>
            <w:tcBorders>
              <w:top w:val="nil"/>
              <w:left w:val="nil"/>
              <w:bottom w:val="single" w:sz="4" w:space="0" w:color="auto"/>
              <w:right w:val="single" w:sz="4" w:space="0" w:color="auto"/>
            </w:tcBorders>
            <w:shd w:val="clear" w:color="auto" w:fill="2363AF"/>
            <w:noWrap/>
            <w:vAlign w:val="center"/>
            <w:hideMark/>
          </w:tcPr>
          <w:p w14:paraId="008D341D"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£1,094,455</w:t>
            </w:r>
          </w:p>
        </w:tc>
        <w:tc>
          <w:tcPr>
            <w:tcW w:w="1466" w:type="dxa"/>
            <w:tcBorders>
              <w:top w:val="nil"/>
              <w:left w:val="nil"/>
              <w:bottom w:val="single" w:sz="4" w:space="0" w:color="auto"/>
              <w:right w:val="single" w:sz="4" w:space="0" w:color="auto"/>
            </w:tcBorders>
            <w:shd w:val="clear" w:color="auto" w:fill="2363AF"/>
            <w:noWrap/>
            <w:vAlign w:val="center"/>
            <w:hideMark/>
          </w:tcPr>
          <w:p w14:paraId="4414F45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£1,113,240</w:t>
            </w:r>
          </w:p>
        </w:tc>
        <w:tc>
          <w:tcPr>
            <w:tcW w:w="1895" w:type="dxa"/>
            <w:tcBorders>
              <w:top w:val="nil"/>
              <w:left w:val="nil"/>
              <w:bottom w:val="single" w:sz="4" w:space="0" w:color="auto"/>
              <w:right w:val="single" w:sz="4" w:space="0" w:color="auto"/>
            </w:tcBorders>
            <w:shd w:val="clear" w:color="auto" w:fill="2363AF"/>
            <w:noWrap/>
            <w:vAlign w:val="center"/>
            <w:hideMark/>
          </w:tcPr>
          <w:p w14:paraId="72EF2D4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£4,412,731</w:t>
            </w:r>
          </w:p>
        </w:tc>
      </w:tr>
    </w:tbl>
    <w:p w14:paraId="78E2B11B" w14:textId="77777777" w:rsidR="00017E6B" w:rsidRDefault="00017E6B">
      <w:pPr>
        <w:spacing w:line="276" w:lineRule="auto"/>
        <w:rPr>
          <w:rFonts w:cstheme="minorHAnsi"/>
        </w:rPr>
      </w:pPr>
    </w:p>
    <w:p w14:paraId="4EECCB9C" w14:textId="77777777" w:rsidR="00017E6B" w:rsidRDefault="00017E6B">
      <w:pPr>
        <w:spacing w:line="276" w:lineRule="auto"/>
        <w:rPr>
          <w:rFonts w:cstheme="minorHAnsi"/>
        </w:rPr>
      </w:pPr>
      <w:r>
        <w:rPr>
          <w:rFonts w:cstheme="minorHAnsi"/>
        </w:rPr>
        <w:br w:type="page"/>
      </w:r>
    </w:p>
    <w:p w14:paraId="6D4C0712" w14:textId="4F05A270" w:rsidR="00017E6B" w:rsidRDefault="00017E6B" w:rsidP="00017E6B">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7</w:t>
      </w:r>
      <w:r w:rsidRPr="006B3AC6">
        <w:rPr>
          <w:rFonts w:eastAsiaTheme="minorEastAsia"/>
          <w:b/>
          <w:color w:val="000000" w:themeColor="text1"/>
        </w:rPr>
        <w:t xml:space="preserve">: </w:t>
      </w:r>
      <w:r>
        <w:rPr>
          <w:rFonts w:eastAsiaTheme="minorEastAsia"/>
          <w:b/>
          <w:color w:val="000000" w:themeColor="text1"/>
        </w:rPr>
        <w:t>RO mutualisation payment redistribution 2018-19</w:t>
      </w:r>
    </w:p>
    <w:tbl>
      <w:tblPr>
        <w:tblW w:w="10060" w:type="dxa"/>
        <w:tblLayout w:type="fixed"/>
        <w:tblLook w:val="04A0" w:firstRow="1" w:lastRow="0" w:firstColumn="1" w:lastColumn="0" w:noHBand="0" w:noVBand="1"/>
      </w:tblPr>
      <w:tblGrid>
        <w:gridCol w:w="2220"/>
        <w:gridCol w:w="1499"/>
        <w:gridCol w:w="1499"/>
        <w:gridCol w:w="1499"/>
        <w:gridCol w:w="1500"/>
        <w:gridCol w:w="1843"/>
      </w:tblGrid>
      <w:tr w:rsidR="004433D7" w:rsidRPr="004433D7" w14:paraId="65088BDF" w14:textId="77777777" w:rsidTr="00780608">
        <w:trPr>
          <w:trHeight w:val="420"/>
          <w:tblHeader/>
        </w:trPr>
        <w:tc>
          <w:tcPr>
            <w:tcW w:w="2220"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2FE70CA5"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499" w:type="dxa"/>
            <w:tcBorders>
              <w:top w:val="single" w:sz="4" w:space="0" w:color="auto"/>
              <w:left w:val="nil"/>
              <w:bottom w:val="single" w:sz="4" w:space="0" w:color="auto"/>
              <w:right w:val="single" w:sz="4" w:space="0" w:color="auto"/>
            </w:tcBorders>
            <w:shd w:val="clear" w:color="auto" w:fill="2363AF"/>
            <w:vAlign w:val="center"/>
            <w:hideMark/>
          </w:tcPr>
          <w:p w14:paraId="4DDCE0C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Q1</w:t>
            </w:r>
            <w:r w:rsidRPr="004433D7">
              <w:rPr>
                <w:rFonts w:eastAsia="Times New Roman" w:cs="Times New Roman"/>
                <w:color w:val="FFFFFF"/>
                <w:sz w:val="16"/>
                <w:szCs w:val="16"/>
              </w:rPr>
              <w:br/>
              <w:t>Redistributions</w:t>
            </w:r>
          </w:p>
        </w:tc>
        <w:tc>
          <w:tcPr>
            <w:tcW w:w="1499" w:type="dxa"/>
            <w:tcBorders>
              <w:top w:val="single" w:sz="4" w:space="0" w:color="auto"/>
              <w:left w:val="nil"/>
              <w:bottom w:val="single" w:sz="4" w:space="0" w:color="auto"/>
              <w:right w:val="single" w:sz="4" w:space="0" w:color="auto"/>
            </w:tcBorders>
            <w:shd w:val="clear" w:color="auto" w:fill="2363AF"/>
            <w:vAlign w:val="center"/>
            <w:hideMark/>
          </w:tcPr>
          <w:p w14:paraId="2DA8B73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Q2</w:t>
            </w:r>
            <w:r w:rsidRPr="004433D7">
              <w:rPr>
                <w:rFonts w:eastAsia="Times New Roman" w:cs="Times New Roman"/>
                <w:color w:val="FFFFFF"/>
                <w:sz w:val="16"/>
                <w:szCs w:val="16"/>
              </w:rPr>
              <w:br/>
              <w:t>Redistributions</w:t>
            </w:r>
          </w:p>
        </w:tc>
        <w:tc>
          <w:tcPr>
            <w:tcW w:w="1499" w:type="dxa"/>
            <w:tcBorders>
              <w:top w:val="single" w:sz="4" w:space="0" w:color="auto"/>
              <w:left w:val="nil"/>
              <w:bottom w:val="single" w:sz="4" w:space="0" w:color="auto"/>
              <w:right w:val="single" w:sz="4" w:space="0" w:color="auto"/>
            </w:tcBorders>
            <w:shd w:val="clear" w:color="auto" w:fill="2363AF"/>
            <w:vAlign w:val="center"/>
            <w:hideMark/>
          </w:tcPr>
          <w:p w14:paraId="3C88BEC6"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Q3</w:t>
            </w:r>
            <w:r w:rsidRPr="004433D7">
              <w:rPr>
                <w:rFonts w:eastAsia="Times New Roman" w:cs="Times New Roman"/>
                <w:color w:val="FFFFFF"/>
                <w:sz w:val="16"/>
                <w:szCs w:val="16"/>
              </w:rPr>
              <w:br/>
              <w:t>Redistributions</w:t>
            </w:r>
          </w:p>
        </w:tc>
        <w:tc>
          <w:tcPr>
            <w:tcW w:w="1500" w:type="dxa"/>
            <w:tcBorders>
              <w:top w:val="single" w:sz="4" w:space="0" w:color="auto"/>
              <w:left w:val="nil"/>
              <w:bottom w:val="single" w:sz="4" w:space="0" w:color="auto"/>
              <w:right w:val="single" w:sz="4" w:space="0" w:color="auto"/>
            </w:tcBorders>
            <w:shd w:val="clear" w:color="auto" w:fill="2363AF"/>
            <w:vAlign w:val="center"/>
            <w:hideMark/>
          </w:tcPr>
          <w:p w14:paraId="650B81F3"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Q4</w:t>
            </w:r>
            <w:r w:rsidRPr="004433D7">
              <w:rPr>
                <w:rFonts w:eastAsia="Times New Roman" w:cs="Times New Roman"/>
                <w:color w:val="FFFFFF"/>
                <w:sz w:val="16"/>
                <w:szCs w:val="16"/>
              </w:rPr>
              <w:br/>
              <w:t>Redistributions</w:t>
            </w:r>
          </w:p>
        </w:tc>
        <w:tc>
          <w:tcPr>
            <w:tcW w:w="1843" w:type="dxa"/>
            <w:tcBorders>
              <w:top w:val="single" w:sz="4" w:space="0" w:color="auto"/>
              <w:left w:val="nil"/>
              <w:bottom w:val="single" w:sz="4" w:space="0" w:color="auto"/>
              <w:right w:val="single" w:sz="4" w:space="0" w:color="auto"/>
            </w:tcBorders>
            <w:shd w:val="clear" w:color="auto" w:fill="2363AF"/>
            <w:vAlign w:val="center"/>
            <w:hideMark/>
          </w:tcPr>
          <w:p w14:paraId="0585472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w:t>
            </w:r>
            <w:r w:rsidRPr="004433D7">
              <w:rPr>
                <w:rFonts w:eastAsia="Times New Roman" w:cs="Times New Roman"/>
                <w:color w:val="FFFFFF"/>
                <w:sz w:val="16"/>
                <w:szCs w:val="16"/>
              </w:rPr>
              <w:br/>
              <w:t>Total redistributed</w:t>
            </w:r>
          </w:p>
        </w:tc>
      </w:tr>
      <w:tr w:rsidR="004433D7" w:rsidRPr="004433D7" w14:paraId="387BE997"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3EAD3E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3T Power Limited </w:t>
            </w:r>
          </w:p>
        </w:tc>
        <w:tc>
          <w:tcPr>
            <w:tcW w:w="1499" w:type="dxa"/>
            <w:tcBorders>
              <w:top w:val="nil"/>
              <w:left w:val="nil"/>
              <w:bottom w:val="single" w:sz="4" w:space="0" w:color="auto"/>
              <w:right w:val="single" w:sz="4" w:space="0" w:color="auto"/>
            </w:tcBorders>
            <w:shd w:val="clear" w:color="auto" w:fill="auto"/>
            <w:noWrap/>
            <w:vAlign w:val="center"/>
            <w:hideMark/>
          </w:tcPr>
          <w:p w14:paraId="32CF78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£2,001</w:t>
            </w:r>
          </w:p>
        </w:tc>
        <w:tc>
          <w:tcPr>
            <w:tcW w:w="1499" w:type="dxa"/>
            <w:tcBorders>
              <w:top w:val="nil"/>
              <w:left w:val="nil"/>
              <w:bottom w:val="single" w:sz="4" w:space="0" w:color="auto"/>
              <w:right w:val="single" w:sz="4" w:space="0" w:color="auto"/>
            </w:tcBorders>
            <w:shd w:val="clear" w:color="auto" w:fill="auto"/>
            <w:noWrap/>
            <w:vAlign w:val="center"/>
            <w:hideMark/>
          </w:tcPr>
          <w:p w14:paraId="5C42C9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£1,983</w:t>
            </w:r>
          </w:p>
        </w:tc>
        <w:tc>
          <w:tcPr>
            <w:tcW w:w="1499" w:type="dxa"/>
            <w:tcBorders>
              <w:top w:val="nil"/>
              <w:left w:val="nil"/>
              <w:bottom w:val="single" w:sz="4" w:space="0" w:color="auto"/>
              <w:right w:val="single" w:sz="4" w:space="0" w:color="auto"/>
            </w:tcBorders>
            <w:shd w:val="clear" w:color="auto" w:fill="auto"/>
            <w:noWrap/>
            <w:vAlign w:val="center"/>
            <w:hideMark/>
          </w:tcPr>
          <w:p w14:paraId="093E6A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£1,988</w:t>
            </w:r>
          </w:p>
        </w:tc>
        <w:tc>
          <w:tcPr>
            <w:tcW w:w="1500" w:type="dxa"/>
            <w:tcBorders>
              <w:top w:val="nil"/>
              <w:left w:val="nil"/>
              <w:bottom w:val="single" w:sz="4" w:space="0" w:color="auto"/>
              <w:right w:val="single" w:sz="4" w:space="0" w:color="auto"/>
            </w:tcBorders>
            <w:shd w:val="clear" w:color="auto" w:fill="auto"/>
            <w:noWrap/>
            <w:vAlign w:val="center"/>
            <w:hideMark/>
          </w:tcPr>
          <w:p w14:paraId="3A7EF2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£1,972</w:t>
            </w:r>
          </w:p>
        </w:tc>
        <w:tc>
          <w:tcPr>
            <w:tcW w:w="1843" w:type="dxa"/>
            <w:tcBorders>
              <w:top w:val="nil"/>
              <w:left w:val="nil"/>
              <w:bottom w:val="single" w:sz="4" w:space="0" w:color="auto"/>
              <w:right w:val="single" w:sz="4" w:space="0" w:color="auto"/>
            </w:tcBorders>
            <w:shd w:val="clear" w:color="auto" w:fill="auto"/>
            <w:noWrap/>
            <w:vAlign w:val="center"/>
            <w:hideMark/>
          </w:tcPr>
          <w:p w14:paraId="332F4B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£7,944</w:t>
            </w:r>
          </w:p>
        </w:tc>
      </w:tr>
      <w:tr w:rsidR="004433D7" w:rsidRPr="004433D7" w14:paraId="2986E40E"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4BD11D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499" w:type="dxa"/>
            <w:tcBorders>
              <w:top w:val="nil"/>
              <w:left w:val="nil"/>
              <w:bottom w:val="single" w:sz="4" w:space="0" w:color="auto"/>
              <w:right w:val="single" w:sz="4" w:space="0" w:color="auto"/>
            </w:tcBorders>
            <w:shd w:val="clear" w:color="auto" w:fill="auto"/>
            <w:noWrap/>
            <w:vAlign w:val="center"/>
            <w:hideMark/>
          </w:tcPr>
          <w:p w14:paraId="6461F94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£74,575</w:t>
            </w:r>
          </w:p>
        </w:tc>
        <w:tc>
          <w:tcPr>
            <w:tcW w:w="1499" w:type="dxa"/>
            <w:tcBorders>
              <w:top w:val="nil"/>
              <w:left w:val="nil"/>
              <w:bottom w:val="single" w:sz="4" w:space="0" w:color="auto"/>
              <w:right w:val="single" w:sz="4" w:space="0" w:color="auto"/>
            </w:tcBorders>
            <w:shd w:val="clear" w:color="auto" w:fill="auto"/>
            <w:noWrap/>
            <w:vAlign w:val="center"/>
            <w:hideMark/>
          </w:tcPr>
          <w:p w14:paraId="1DA453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£73,926</w:t>
            </w:r>
          </w:p>
        </w:tc>
        <w:tc>
          <w:tcPr>
            <w:tcW w:w="1499" w:type="dxa"/>
            <w:tcBorders>
              <w:top w:val="nil"/>
              <w:left w:val="nil"/>
              <w:bottom w:val="single" w:sz="4" w:space="0" w:color="auto"/>
              <w:right w:val="single" w:sz="4" w:space="0" w:color="auto"/>
            </w:tcBorders>
            <w:shd w:val="clear" w:color="auto" w:fill="auto"/>
            <w:noWrap/>
            <w:vAlign w:val="center"/>
            <w:hideMark/>
          </w:tcPr>
          <w:p w14:paraId="4431F4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£74,113</w:t>
            </w:r>
          </w:p>
        </w:tc>
        <w:tc>
          <w:tcPr>
            <w:tcW w:w="1500" w:type="dxa"/>
            <w:tcBorders>
              <w:top w:val="nil"/>
              <w:left w:val="nil"/>
              <w:bottom w:val="single" w:sz="4" w:space="0" w:color="auto"/>
              <w:right w:val="single" w:sz="4" w:space="0" w:color="auto"/>
            </w:tcBorders>
            <w:shd w:val="clear" w:color="auto" w:fill="auto"/>
            <w:noWrap/>
            <w:vAlign w:val="center"/>
            <w:hideMark/>
          </w:tcPr>
          <w:p w14:paraId="4B8029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£73,498</w:t>
            </w:r>
          </w:p>
        </w:tc>
        <w:tc>
          <w:tcPr>
            <w:tcW w:w="1843" w:type="dxa"/>
            <w:tcBorders>
              <w:top w:val="nil"/>
              <w:left w:val="nil"/>
              <w:bottom w:val="single" w:sz="4" w:space="0" w:color="auto"/>
              <w:right w:val="single" w:sz="4" w:space="0" w:color="auto"/>
            </w:tcBorders>
            <w:shd w:val="clear" w:color="auto" w:fill="auto"/>
            <w:noWrap/>
            <w:vAlign w:val="center"/>
            <w:hideMark/>
          </w:tcPr>
          <w:p w14:paraId="0ECEAB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£296,112</w:t>
            </w:r>
          </w:p>
        </w:tc>
      </w:tr>
      <w:tr w:rsidR="004433D7" w:rsidRPr="004433D7" w14:paraId="4D1C43AD"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6E7BE3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499" w:type="dxa"/>
            <w:tcBorders>
              <w:top w:val="nil"/>
              <w:left w:val="nil"/>
              <w:bottom w:val="single" w:sz="4" w:space="0" w:color="auto"/>
              <w:right w:val="single" w:sz="4" w:space="0" w:color="auto"/>
            </w:tcBorders>
            <w:shd w:val="clear" w:color="auto" w:fill="auto"/>
            <w:noWrap/>
            <w:vAlign w:val="center"/>
            <w:hideMark/>
          </w:tcPr>
          <w:p w14:paraId="7379D2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£7,705</w:t>
            </w:r>
          </w:p>
        </w:tc>
        <w:tc>
          <w:tcPr>
            <w:tcW w:w="1499" w:type="dxa"/>
            <w:tcBorders>
              <w:top w:val="nil"/>
              <w:left w:val="nil"/>
              <w:bottom w:val="single" w:sz="4" w:space="0" w:color="auto"/>
              <w:right w:val="single" w:sz="4" w:space="0" w:color="auto"/>
            </w:tcBorders>
            <w:shd w:val="clear" w:color="auto" w:fill="auto"/>
            <w:noWrap/>
            <w:vAlign w:val="center"/>
            <w:hideMark/>
          </w:tcPr>
          <w:p w14:paraId="2397BA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£7,638</w:t>
            </w:r>
          </w:p>
        </w:tc>
        <w:tc>
          <w:tcPr>
            <w:tcW w:w="1499" w:type="dxa"/>
            <w:tcBorders>
              <w:top w:val="nil"/>
              <w:left w:val="nil"/>
              <w:bottom w:val="single" w:sz="4" w:space="0" w:color="auto"/>
              <w:right w:val="single" w:sz="4" w:space="0" w:color="auto"/>
            </w:tcBorders>
            <w:shd w:val="clear" w:color="auto" w:fill="auto"/>
            <w:noWrap/>
            <w:vAlign w:val="center"/>
            <w:hideMark/>
          </w:tcPr>
          <w:p w14:paraId="0EDFEE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£7,658</w:t>
            </w:r>
          </w:p>
        </w:tc>
        <w:tc>
          <w:tcPr>
            <w:tcW w:w="1500" w:type="dxa"/>
            <w:tcBorders>
              <w:top w:val="nil"/>
              <w:left w:val="nil"/>
              <w:bottom w:val="single" w:sz="4" w:space="0" w:color="auto"/>
              <w:right w:val="single" w:sz="4" w:space="0" w:color="auto"/>
            </w:tcBorders>
            <w:shd w:val="clear" w:color="auto" w:fill="auto"/>
            <w:noWrap/>
            <w:vAlign w:val="center"/>
            <w:hideMark/>
          </w:tcPr>
          <w:p w14:paraId="3FD85A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£7,594</w:t>
            </w:r>
          </w:p>
        </w:tc>
        <w:tc>
          <w:tcPr>
            <w:tcW w:w="1843" w:type="dxa"/>
            <w:tcBorders>
              <w:top w:val="nil"/>
              <w:left w:val="nil"/>
              <w:bottom w:val="single" w:sz="4" w:space="0" w:color="auto"/>
              <w:right w:val="single" w:sz="4" w:space="0" w:color="auto"/>
            </w:tcBorders>
            <w:shd w:val="clear" w:color="auto" w:fill="auto"/>
            <w:noWrap/>
            <w:vAlign w:val="center"/>
            <w:hideMark/>
          </w:tcPr>
          <w:p w14:paraId="6A0B43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£30,595</w:t>
            </w:r>
          </w:p>
        </w:tc>
      </w:tr>
      <w:tr w:rsidR="004433D7" w:rsidRPr="004433D7" w14:paraId="3BF94F3B" w14:textId="77777777" w:rsidTr="00780608">
        <w:trPr>
          <w:trHeight w:val="6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05D1E2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499" w:type="dxa"/>
            <w:tcBorders>
              <w:top w:val="nil"/>
              <w:left w:val="nil"/>
              <w:bottom w:val="single" w:sz="4" w:space="0" w:color="auto"/>
              <w:right w:val="single" w:sz="4" w:space="0" w:color="auto"/>
            </w:tcBorders>
            <w:shd w:val="clear" w:color="auto" w:fill="auto"/>
            <w:noWrap/>
            <w:vAlign w:val="center"/>
            <w:hideMark/>
          </w:tcPr>
          <w:p w14:paraId="1F59F9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£514</w:t>
            </w:r>
          </w:p>
        </w:tc>
        <w:tc>
          <w:tcPr>
            <w:tcW w:w="1499" w:type="dxa"/>
            <w:tcBorders>
              <w:top w:val="nil"/>
              <w:left w:val="nil"/>
              <w:bottom w:val="single" w:sz="4" w:space="0" w:color="auto"/>
              <w:right w:val="single" w:sz="4" w:space="0" w:color="auto"/>
            </w:tcBorders>
            <w:shd w:val="clear" w:color="auto" w:fill="auto"/>
            <w:noWrap/>
            <w:vAlign w:val="center"/>
            <w:hideMark/>
          </w:tcPr>
          <w:p w14:paraId="59D247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£510</w:t>
            </w:r>
          </w:p>
        </w:tc>
        <w:tc>
          <w:tcPr>
            <w:tcW w:w="1499" w:type="dxa"/>
            <w:tcBorders>
              <w:top w:val="nil"/>
              <w:left w:val="nil"/>
              <w:bottom w:val="single" w:sz="4" w:space="0" w:color="auto"/>
              <w:right w:val="single" w:sz="4" w:space="0" w:color="auto"/>
            </w:tcBorders>
            <w:shd w:val="clear" w:color="auto" w:fill="auto"/>
            <w:noWrap/>
            <w:vAlign w:val="center"/>
            <w:hideMark/>
          </w:tcPr>
          <w:p w14:paraId="730A31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£511</w:t>
            </w:r>
          </w:p>
        </w:tc>
        <w:tc>
          <w:tcPr>
            <w:tcW w:w="1500" w:type="dxa"/>
            <w:tcBorders>
              <w:top w:val="nil"/>
              <w:left w:val="nil"/>
              <w:bottom w:val="single" w:sz="4" w:space="0" w:color="auto"/>
              <w:right w:val="single" w:sz="4" w:space="0" w:color="auto"/>
            </w:tcBorders>
            <w:shd w:val="clear" w:color="auto" w:fill="auto"/>
            <w:noWrap/>
            <w:vAlign w:val="center"/>
            <w:hideMark/>
          </w:tcPr>
          <w:p w14:paraId="691067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£507</w:t>
            </w:r>
          </w:p>
        </w:tc>
        <w:tc>
          <w:tcPr>
            <w:tcW w:w="1843" w:type="dxa"/>
            <w:tcBorders>
              <w:top w:val="nil"/>
              <w:left w:val="nil"/>
              <w:bottom w:val="single" w:sz="4" w:space="0" w:color="auto"/>
              <w:right w:val="single" w:sz="4" w:space="0" w:color="auto"/>
            </w:tcBorders>
            <w:shd w:val="clear" w:color="auto" w:fill="auto"/>
            <w:noWrap/>
            <w:vAlign w:val="center"/>
            <w:hideMark/>
          </w:tcPr>
          <w:p w14:paraId="356342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£2,042</w:t>
            </w:r>
          </w:p>
        </w:tc>
      </w:tr>
      <w:tr w:rsidR="004433D7" w:rsidRPr="004433D7" w14:paraId="2D2CB315"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661644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499" w:type="dxa"/>
            <w:tcBorders>
              <w:top w:val="nil"/>
              <w:left w:val="nil"/>
              <w:bottom w:val="single" w:sz="4" w:space="0" w:color="auto"/>
              <w:right w:val="single" w:sz="4" w:space="0" w:color="auto"/>
            </w:tcBorders>
            <w:shd w:val="clear" w:color="auto" w:fill="auto"/>
            <w:noWrap/>
            <w:vAlign w:val="center"/>
            <w:hideMark/>
          </w:tcPr>
          <w:p w14:paraId="4150A3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£2,170,506</w:t>
            </w:r>
          </w:p>
        </w:tc>
        <w:tc>
          <w:tcPr>
            <w:tcW w:w="1499" w:type="dxa"/>
            <w:tcBorders>
              <w:top w:val="nil"/>
              <w:left w:val="nil"/>
              <w:bottom w:val="single" w:sz="4" w:space="0" w:color="auto"/>
              <w:right w:val="single" w:sz="4" w:space="0" w:color="auto"/>
            </w:tcBorders>
            <w:shd w:val="clear" w:color="auto" w:fill="auto"/>
            <w:noWrap/>
            <w:vAlign w:val="center"/>
            <w:hideMark/>
          </w:tcPr>
          <w:p w14:paraId="4D8DF5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£2,151,623</w:t>
            </w:r>
          </w:p>
        </w:tc>
        <w:tc>
          <w:tcPr>
            <w:tcW w:w="1499" w:type="dxa"/>
            <w:tcBorders>
              <w:top w:val="nil"/>
              <w:left w:val="nil"/>
              <w:bottom w:val="single" w:sz="4" w:space="0" w:color="auto"/>
              <w:right w:val="single" w:sz="4" w:space="0" w:color="auto"/>
            </w:tcBorders>
            <w:shd w:val="clear" w:color="auto" w:fill="auto"/>
            <w:noWrap/>
            <w:vAlign w:val="center"/>
            <w:hideMark/>
          </w:tcPr>
          <w:p w14:paraId="5A1CE0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£2,157,075</w:t>
            </w:r>
          </w:p>
        </w:tc>
        <w:tc>
          <w:tcPr>
            <w:tcW w:w="1500" w:type="dxa"/>
            <w:tcBorders>
              <w:top w:val="nil"/>
              <w:left w:val="nil"/>
              <w:bottom w:val="single" w:sz="4" w:space="0" w:color="auto"/>
              <w:right w:val="single" w:sz="4" w:space="0" w:color="auto"/>
            </w:tcBorders>
            <w:shd w:val="clear" w:color="auto" w:fill="auto"/>
            <w:noWrap/>
            <w:vAlign w:val="center"/>
            <w:hideMark/>
          </w:tcPr>
          <w:p w14:paraId="20EF55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£2,139,177</w:t>
            </w:r>
          </w:p>
        </w:tc>
        <w:tc>
          <w:tcPr>
            <w:tcW w:w="1843" w:type="dxa"/>
            <w:tcBorders>
              <w:top w:val="nil"/>
              <w:left w:val="nil"/>
              <w:bottom w:val="single" w:sz="4" w:space="0" w:color="auto"/>
              <w:right w:val="single" w:sz="4" w:space="0" w:color="auto"/>
            </w:tcBorders>
            <w:shd w:val="clear" w:color="auto" w:fill="auto"/>
            <w:noWrap/>
            <w:vAlign w:val="center"/>
            <w:hideMark/>
          </w:tcPr>
          <w:p w14:paraId="18BD31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£8,618,381</w:t>
            </w:r>
          </w:p>
        </w:tc>
      </w:tr>
      <w:tr w:rsidR="004433D7" w:rsidRPr="004433D7" w14:paraId="0672DF00"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6DF012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499" w:type="dxa"/>
            <w:tcBorders>
              <w:top w:val="nil"/>
              <w:left w:val="nil"/>
              <w:bottom w:val="single" w:sz="4" w:space="0" w:color="auto"/>
              <w:right w:val="single" w:sz="4" w:space="0" w:color="auto"/>
            </w:tcBorders>
            <w:shd w:val="clear" w:color="auto" w:fill="auto"/>
            <w:noWrap/>
            <w:vAlign w:val="center"/>
            <w:hideMark/>
          </w:tcPr>
          <w:p w14:paraId="543BE4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£24,513</w:t>
            </w:r>
          </w:p>
        </w:tc>
        <w:tc>
          <w:tcPr>
            <w:tcW w:w="1499" w:type="dxa"/>
            <w:tcBorders>
              <w:top w:val="nil"/>
              <w:left w:val="nil"/>
              <w:bottom w:val="single" w:sz="4" w:space="0" w:color="auto"/>
              <w:right w:val="single" w:sz="4" w:space="0" w:color="auto"/>
            </w:tcBorders>
            <w:shd w:val="clear" w:color="auto" w:fill="auto"/>
            <w:noWrap/>
            <w:vAlign w:val="center"/>
            <w:hideMark/>
          </w:tcPr>
          <w:p w14:paraId="18B7DA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£24,300</w:t>
            </w:r>
          </w:p>
        </w:tc>
        <w:tc>
          <w:tcPr>
            <w:tcW w:w="1499" w:type="dxa"/>
            <w:tcBorders>
              <w:top w:val="nil"/>
              <w:left w:val="nil"/>
              <w:bottom w:val="single" w:sz="4" w:space="0" w:color="auto"/>
              <w:right w:val="single" w:sz="4" w:space="0" w:color="auto"/>
            </w:tcBorders>
            <w:shd w:val="clear" w:color="auto" w:fill="auto"/>
            <w:noWrap/>
            <w:vAlign w:val="center"/>
            <w:hideMark/>
          </w:tcPr>
          <w:p w14:paraId="6053DD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£24,361</w:t>
            </w:r>
          </w:p>
        </w:tc>
        <w:tc>
          <w:tcPr>
            <w:tcW w:w="1500" w:type="dxa"/>
            <w:tcBorders>
              <w:top w:val="nil"/>
              <w:left w:val="nil"/>
              <w:bottom w:val="single" w:sz="4" w:space="0" w:color="auto"/>
              <w:right w:val="single" w:sz="4" w:space="0" w:color="auto"/>
            </w:tcBorders>
            <w:shd w:val="clear" w:color="auto" w:fill="auto"/>
            <w:noWrap/>
            <w:vAlign w:val="center"/>
            <w:hideMark/>
          </w:tcPr>
          <w:p w14:paraId="0C6723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£24,159</w:t>
            </w:r>
          </w:p>
        </w:tc>
        <w:tc>
          <w:tcPr>
            <w:tcW w:w="1843" w:type="dxa"/>
            <w:tcBorders>
              <w:top w:val="nil"/>
              <w:left w:val="nil"/>
              <w:bottom w:val="single" w:sz="4" w:space="0" w:color="auto"/>
              <w:right w:val="single" w:sz="4" w:space="0" w:color="auto"/>
            </w:tcBorders>
            <w:shd w:val="clear" w:color="auto" w:fill="auto"/>
            <w:noWrap/>
            <w:vAlign w:val="center"/>
            <w:hideMark/>
          </w:tcPr>
          <w:p w14:paraId="6BC883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£97,333</w:t>
            </w:r>
          </w:p>
        </w:tc>
      </w:tr>
      <w:tr w:rsidR="004433D7" w:rsidRPr="004433D7" w14:paraId="2A92CCBC"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FE1C7D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13BD19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£61,241</w:t>
            </w:r>
          </w:p>
        </w:tc>
        <w:tc>
          <w:tcPr>
            <w:tcW w:w="1499" w:type="dxa"/>
            <w:tcBorders>
              <w:top w:val="nil"/>
              <w:left w:val="nil"/>
              <w:bottom w:val="single" w:sz="4" w:space="0" w:color="auto"/>
              <w:right w:val="single" w:sz="4" w:space="0" w:color="auto"/>
            </w:tcBorders>
            <w:shd w:val="clear" w:color="auto" w:fill="auto"/>
            <w:noWrap/>
            <w:vAlign w:val="center"/>
            <w:hideMark/>
          </w:tcPr>
          <w:p w14:paraId="589ADB7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£60,708</w:t>
            </w:r>
          </w:p>
        </w:tc>
        <w:tc>
          <w:tcPr>
            <w:tcW w:w="1499" w:type="dxa"/>
            <w:tcBorders>
              <w:top w:val="nil"/>
              <w:left w:val="nil"/>
              <w:bottom w:val="single" w:sz="4" w:space="0" w:color="auto"/>
              <w:right w:val="single" w:sz="4" w:space="0" w:color="auto"/>
            </w:tcBorders>
            <w:shd w:val="clear" w:color="auto" w:fill="auto"/>
            <w:noWrap/>
            <w:vAlign w:val="center"/>
            <w:hideMark/>
          </w:tcPr>
          <w:p w14:paraId="47E18A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£60,862</w:t>
            </w:r>
          </w:p>
        </w:tc>
        <w:tc>
          <w:tcPr>
            <w:tcW w:w="1500" w:type="dxa"/>
            <w:tcBorders>
              <w:top w:val="nil"/>
              <w:left w:val="nil"/>
              <w:bottom w:val="single" w:sz="4" w:space="0" w:color="auto"/>
              <w:right w:val="single" w:sz="4" w:space="0" w:color="auto"/>
            </w:tcBorders>
            <w:shd w:val="clear" w:color="auto" w:fill="auto"/>
            <w:noWrap/>
            <w:vAlign w:val="center"/>
            <w:hideMark/>
          </w:tcPr>
          <w:p w14:paraId="32955F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£60,357</w:t>
            </w:r>
          </w:p>
        </w:tc>
        <w:tc>
          <w:tcPr>
            <w:tcW w:w="1843" w:type="dxa"/>
            <w:tcBorders>
              <w:top w:val="nil"/>
              <w:left w:val="nil"/>
              <w:bottom w:val="single" w:sz="4" w:space="0" w:color="auto"/>
              <w:right w:val="single" w:sz="4" w:space="0" w:color="auto"/>
            </w:tcBorders>
            <w:shd w:val="clear" w:color="auto" w:fill="auto"/>
            <w:noWrap/>
            <w:vAlign w:val="center"/>
            <w:hideMark/>
          </w:tcPr>
          <w:p w14:paraId="2784BE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£243,168</w:t>
            </w:r>
          </w:p>
        </w:tc>
      </w:tr>
      <w:tr w:rsidR="004433D7" w:rsidRPr="004433D7" w14:paraId="630ED685"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CC5076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Budget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0DB938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£5,086</w:t>
            </w:r>
          </w:p>
        </w:tc>
        <w:tc>
          <w:tcPr>
            <w:tcW w:w="1499" w:type="dxa"/>
            <w:tcBorders>
              <w:top w:val="nil"/>
              <w:left w:val="nil"/>
              <w:bottom w:val="single" w:sz="4" w:space="0" w:color="auto"/>
              <w:right w:val="single" w:sz="4" w:space="0" w:color="auto"/>
            </w:tcBorders>
            <w:shd w:val="clear" w:color="auto" w:fill="auto"/>
            <w:noWrap/>
            <w:vAlign w:val="center"/>
            <w:hideMark/>
          </w:tcPr>
          <w:p w14:paraId="15BB86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£5,042</w:t>
            </w:r>
          </w:p>
        </w:tc>
        <w:tc>
          <w:tcPr>
            <w:tcW w:w="1499" w:type="dxa"/>
            <w:tcBorders>
              <w:top w:val="nil"/>
              <w:left w:val="nil"/>
              <w:bottom w:val="single" w:sz="4" w:space="0" w:color="auto"/>
              <w:right w:val="single" w:sz="4" w:space="0" w:color="auto"/>
            </w:tcBorders>
            <w:shd w:val="clear" w:color="auto" w:fill="auto"/>
            <w:noWrap/>
            <w:vAlign w:val="center"/>
            <w:hideMark/>
          </w:tcPr>
          <w:p w14:paraId="561F65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£5,055</w:t>
            </w:r>
          </w:p>
        </w:tc>
        <w:tc>
          <w:tcPr>
            <w:tcW w:w="1500" w:type="dxa"/>
            <w:tcBorders>
              <w:top w:val="nil"/>
              <w:left w:val="nil"/>
              <w:bottom w:val="single" w:sz="4" w:space="0" w:color="auto"/>
              <w:right w:val="single" w:sz="4" w:space="0" w:color="auto"/>
            </w:tcBorders>
            <w:shd w:val="clear" w:color="auto" w:fill="auto"/>
            <w:noWrap/>
            <w:vAlign w:val="center"/>
            <w:hideMark/>
          </w:tcPr>
          <w:p w14:paraId="0D94EB8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£5,013</w:t>
            </w:r>
          </w:p>
        </w:tc>
        <w:tc>
          <w:tcPr>
            <w:tcW w:w="1843" w:type="dxa"/>
            <w:tcBorders>
              <w:top w:val="nil"/>
              <w:left w:val="nil"/>
              <w:bottom w:val="single" w:sz="4" w:space="0" w:color="auto"/>
              <w:right w:val="single" w:sz="4" w:space="0" w:color="auto"/>
            </w:tcBorders>
            <w:shd w:val="clear" w:color="auto" w:fill="auto"/>
            <w:noWrap/>
            <w:vAlign w:val="center"/>
            <w:hideMark/>
          </w:tcPr>
          <w:p w14:paraId="251CF5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£20,196</w:t>
            </w:r>
          </w:p>
        </w:tc>
      </w:tr>
      <w:tr w:rsidR="004433D7" w:rsidRPr="004433D7" w14:paraId="7384DAFD"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B48A1B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499" w:type="dxa"/>
            <w:tcBorders>
              <w:top w:val="nil"/>
              <w:left w:val="nil"/>
              <w:bottom w:val="single" w:sz="4" w:space="0" w:color="auto"/>
              <w:right w:val="single" w:sz="4" w:space="0" w:color="auto"/>
            </w:tcBorders>
            <w:shd w:val="clear" w:color="auto" w:fill="auto"/>
            <w:noWrap/>
            <w:vAlign w:val="center"/>
            <w:hideMark/>
          </w:tcPr>
          <w:p w14:paraId="3C714E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£5,142</w:t>
            </w:r>
          </w:p>
        </w:tc>
        <w:tc>
          <w:tcPr>
            <w:tcW w:w="1499" w:type="dxa"/>
            <w:tcBorders>
              <w:top w:val="nil"/>
              <w:left w:val="nil"/>
              <w:bottom w:val="single" w:sz="4" w:space="0" w:color="auto"/>
              <w:right w:val="single" w:sz="4" w:space="0" w:color="auto"/>
            </w:tcBorders>
            <w:shd w:val="clear" w:color="auto" w:fill="auto"/>
            <w:noWrap/>
            <w:vAlign w:val="center"/>
            <w:hideMark/>
          </w:tcPr>
          <w:p w14:paraId="61E1A20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£5,097</w:t>
            </w:r>
          </w:p>
        </w:tc>
        <w:tc>
          <w:tcPr>
            <w:tcW w:w="1499" w:type="dxa"/>
            <w:tcBorders>
              <w:top w:val="nil"/>
              <w:left w:val="nil"/>
              <w:bottom w:val="single" w:sz="4" w:space="0" w:color="auto"/>
              <w:right w:val="single" w:sz="4" w:space="0" w:color="auto"/>
            </w:tcBorders>
            <w:shd w:val="clear" w:color="auto" w:fill="auto"/>
            <w:noWrap/>
            <w:vAlign w:val="center"/>
            <w:hideMark/>
          </w:tcPr>
          <w:p w14:paraId="281265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£5,110</w:t>
            </w:r>
          </w:p>
        </w:tc>
        <w:tc>
          <w:tcPr>
            <w:tcW w:w="1500" w:type="dxa"/>
            <w:tcBorders>
              <w:top w:val="nil"/>
              <w:left w:val="nil"/>
              <w:bottom w:val="single" w:sz="4" w:space="0" w:color="auto"/>
              <w:right w:val="single" w:sz="4" w:space="0" w:color="auto"/>
            </w:tcBorders>
            <w:shd w:val="clear" w:color="auto" w:fill="auto"/>
            <w:noWrap/>
            <w:vAlign w:val="center"/>
            <w:hideMark/>
          </w:tcPr>
          <w:p w14:paraId="64B9852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£5,068</w:t>
            </w:r>
          </w:p>
        </w:tc>
        <w:tc>
          <w:tcPr>
            <w:tcW w:w="1843" w:type="dxa"/>
            <w:tcBorders>
              <w:top w:val="nil"/>
              <w:left w:val="nil"/>
              <w:bottom w:val="single" w:sz="4" w:space="0" w:color="auto"/>
              <w:right w:val="single" w:sz="4" w:space="0" w:color="auto"/>
            </w:tcBorders>
            <w:shd w:val="clear" w:color="auto" w:fill="auto"/>
            <w:noWrap/>
            <w:vAlign w:val="center"/>
            <w:hideMark/>
          </w:tcPr>
          <w:p w14:paraId="3C35B5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£20,417</w:t>
            </w:r>
          </w:p>
        </w:tc>
      </w:tr>
      <w:tr w:rsidR="004433D7" w:rsidRPr="004433D7" w14:paraId="5FFBB401"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AD21A6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794B39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£13,017</w:t>
            </w:r>
          </w:p>
        </w:tc>
        <w:tc>
          <w:tcPr>
            <w:tcW w:w="1499" w:type="dxa"/>
            <w:tcBorders>
              <w:top w:val="nil"/>
              <w:left w:val="nil"/>
              <w:bottom w:val="single" w:sz="4" w:space="0" w:color="auto"/>
              <w:right w:val="single" w:sz="4" w:space="0" w:color="auto"/>
            </w:tcBorders>
            <w:shd w:val="clear" w:color="auto" w:fill="auto"/>
            <w:noWrap/>
            <w:vAlign w:val="center"/>
            <w:hideMark/>
          </w:tcPr>
          <w:p w14:paraId="55DD85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£12,904</w:t>
            </w:r>
          </w:p>
        </w:tc>
        <w:tc>
          <w:tcPr>
            <w:tcW w:w="1499" w:type="dxa"/>
            <w:tcBorders>
              <w:top w:val="nil"/>
              <w:left w:val="nil"/>
              <w:bottom w:val="single" w:sz="4" w:space="0" w:color="auto"/>
              <w:right w:val="single" w:sz="4" w:space="0" w:color="auto"/>
            </w:tcBorders>
            <w:shd w:val="clear" w:color="auto" w:fill="auto"/>
            <w:noWrap/>
            <w:vAlign w:val="center"/>
            <w:hideMark/>
          </w:tcPr>
          <w:p w14:paraId="2E4A3B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£12,937</w:t>
            </w:r>
          </w:p>
        </w:tc>
        <w:tc>
          <w:tcPr>
            <w:tcW w:w="1500" w:type="dxa"/>
            <w:tcBorders>
              <w:top w:val="nil"/>
              <w:left w:val="nil"/>
              <w:bottom w:val="single" w:sz="4" w:space="0" w:color="auto"/>
              <w:right w:val="single" w:sz="4" w:space="0" w:color="auto"/>
            </w:tcBorders>
            <w:shd w:val="clear" w:color="auto" w:fill="auto"/>
            <w:noWrap/>
            <w:vAlign w:val="center"/>
            <w:hideMark/>
          </w:tcPr>
          <w:p w14:paraId="70DF53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£12,829</w:t>
            </w:r>
          </w:p>
        </w:tc>
        <w:tc>
          <w:tcPr>
            <w:tcW w:w="1843" w:type="dxa"/>
            <w:tcBorders>
              <w:top w:val="nil"/>
              <w:left w:val="nil"/>
              <w:bottom w:val="single" w:sz="4" w:space="0" w:color="auto"/>
              <w:right w:val="single" w:sz="4" w:space="0" w:color="auto"/>
            </w:tcBorders>
            <w:shd w:val="clear" w:color="auto" w:fill="auto"/>
            <w:noWrap/>
            <w:vAlign w:val="center"/>
            <w:hideMark/>
          </w:tcPr>
          <w:p w14:paraId="429818C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£51,687</w:t>
            </w:r>
          </w:p>
        </w:tc>
      </w:tr>
      <w:tr w:rsidR="004433D7" w:rsidRPr="004433D7" w14:paraId="4E02679D"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635742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4 Limited</w:t>
            </w:r>
          </w:p>
        </w:tc>
        <w:tc>
          <w:tcPr>
            <w:tcW w:w="1499" w:type="dxa"/>
            <w:tcBorders>
              <w:top w:val="nil"/>
              <w:left w:val="nil"/>
              <w:bottom w:val="single" w:sz="4" w:space="0" w:color="auto"/>
              <w:right w:val="single" w:sz="4" w:space="0" w:color="auto"/>
            </w:tcBorders>
            <w:shd w:val="clear" w:color="auto" w:fill="auto"/>
            <w:noWrap/>
            <w:vAlign w:val="center"/>
            <w:hideMark/>
          </w:tcPr>
          <w:p w14:paraId="5BB635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£38,109</w:t>
            </w:r>
          </w:p>
        </w:tc>
        <w:tc>
          <w:tcPr>
            <w:tcW w:w="1499" w:type="dxa"/>
            <w:tcBorders>
              <w:top w:val="nil"/>
              <w:left w:val="nil"/>
              <w:bottom w:val="single" w:sz="4" w:space="0" w:color="auto"/>
              <w:right w:val="single" w:sz="4" w:space="0" w:color="auto"/>
            </w:tcBorders>
            <w:shd w:val="clear" w:color="auto" w:fill="auto"/>
            <w:noWrap/>
            <w:vAlign w:val="center"/>
            <w:hideMark/>
          </w:tcPr>
          <w:p w14:paraId="781CB8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£37,777</w:t>
            </w:r>
          </w:p>
        </w:tc>
        <w:tc>
          <w:tcPr>
            <w:tcW w:w="1499" w:type="dxa"/>
            <w:tcBorders>
              <w:top w:val="nil"/>
              <w:left w:val="nil"/>
              <w:bottom w:val="single" w:sz="4" w:space="0" w:color="auto"/>
              <w:right w:val="single" w:sz="4" w:space="0" w:color="auto"/>
            </w:tcBorders>
            <w:shd w:val="clear" w:color="auto" w:fill="auto"/>
            <w:noWrap/>
            <w:vAlign w:val="center"/>
            <w:hideMark/>
          </w:tcPr>
          <w:p w14:paraId="00DB8B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£37,873</w:t>
            </w:r>
          </w:p>
        </w:tc>
        <w:tc>
          <w:tcPr>
            <w:tcW w:w="1500" w:type="dxa"/>
            <w:tcBorders>
              <w:top w:val="nil"/>
              <w:left w:val="nil"/>
              <w:bottom w:val="single" w:sz="4" w:space="0" w:color="auto"/>
              <w:right w:val="single" w:sz="4" w:space="0" w:color="auto"/>
            </w:tcBorders>
            <w:shd w:val="clear" w:color="auto" w:fill="auto"/>
            <w:noWrap/>
            <w:vAlign w:val="center"/>
            <w:hideMark/>
          </w:tcPr>
          <w:p w14:paraId="018F3A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£37,559</w:t>
            </w:r>
          </w:p>
        </w:tc>
        <w:tc>
          <w:tcPr>
            <w:tcW w:w="1843" w:type="dxa"/>
            <w:tcBorders>
              <w:top w:val="nil"/>
              <w:left w:val="nil"/>
              <w:bottom w:val="single" w:sz="4" w:space="0" w:color="auto"/>
              <w:right w:val="single" w:sz="4" w:space="0" w:color="auto"/>
            </w:tcBorders>
            <w:shd w:val="clear" w:color="auto" w:fill="auto"/>
            <w:noWrap/>
            <w:vAlign w:val="center"/>
            <w:hideMark/>
          </w:tcPr>
          <w:p w14:paraId="6ED074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£151,318</w:t>
            </w:r>
          </w:p>
        </w:tc>
      </w:tr>
      <w:tr w:rsidR="004433D7" w:rsidRPr="004433D7" w14:paraId="6CEAC857"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D4DC7A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499" w:type="dxa"/>
            <w:tcBorders>
              <w:top w:val="nil"/>
              <w:left w:val="nil"/>
              <w:bottom w:val="single" w:sz="4" w:space="0" w:color="auto"/>
              <w:right w:val="single" w:sz="4" w:space="0" w:color="auto"/>
            </w:tcBorders>
            <w:shd w:val="clear" w:color="auto" w:fill="auto"/>
            <w:noWrap/>
            <w:vAlign w:val="center"/>
            <w:hideMark/>
          </w:tcPr>
          <w:p w14:paraId="3BF229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£58,235</w:t>
            </w:r>
          </w:p>
        </w:tc>
        <w:tc>
          <w:tcPr>
            <w:tcW w:w="1499" w:type="dxa"/>
            <w:tcBorders>
              <w:top w:val="nil"/>
              <w:left w:val="nil"/>
              <w:bottom w:val="single" w:sz="4" w:space="0" w:color="auto"/>
              <w:right w:val="single" w:sz="4" w:space="0" w:color="auto"/>
            </w:tcBorders>
            <w:shd w:val="clear" w:color="auto" w:fill="auto"/>
            <w:noWrap/>
            <w:vAlign w:val="center"/>
            <w:hideMark/>
          </w:tcPr>
          <w:p w14:paraId="5426D5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£57,728</w:t>
            </w:r>
          </w:p>
        </w:tc>
        <w:tc>
          <w:tcPr>
            <w:tcW w:w="1499" w:type="dxa"/>
            <w:tcBorders>
              <w:top w:val="nil"/>
              <w:left w:val="nil"/>
              <w:bottom w:val="single" w:sz="4" w:space="0" w:color="auto"/>
              <w:right w:val="single" w:sz="4" w:space="0" w:color="auto"/>
            </w:tcBorders>
            <w:shd w:val="clear" w:color="auto" w:fill="auto"/>
            <w:noWrap/>
            <w:vAlign w:val="center"/>
            <w:hideMark/>
          </w:tcPr>
          <w:p w14:paraId="70E7AB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£57,874</w:t>
            </w:r>
          </w:p>
        </w:tc>
        <w:tc>
          <w:tcPr>
            <w:tcW w:w="1500" w:type="dxa"/>
            <w:tcBorders>
              <w:top w:val="nil"/>
              <w:left w:val="nil"/>
              <w:bottom w:val="single" w:sz="4" w:space="0" w:color="auto"/>
              <w:right w:val="single" w:sz="4" w:space="0" w:color="auto"/>
            </w:tcBorders>
            <w:shd w:val="clear" w:color="auto" w:fill="auto"/>
            <w:noWrap/>
            <w:vAlign w:val="center"/>
            <w:hideMark/>
          </w:tcPr>
          <w:p w14:paraId="02AFC3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£57,394</w:t>
            </w:r>
          </w:p>
        </w:tc>
        <w:tc>
          <w:tcPr>
            <w:tcW w:w="1843" w:type="dxa"/>
            <w:tcBorders>
              <w:top w:val="nil"/>
              <w:left w:val="nil"/>
              <w:bottom w:val="single" w:sz="4" w:space="0" w:color="auto"/>
              <w:right w:val="single" w:sz="4" w:space="0" w:color="auto"/>
            </w:tcBorders>
            <w:shd w:val="clear" w:color="auto" w:fill="auto"/>
            <w:noWrap/>
            <w:vAlign w:val="center"/>
            <w:hideMark/>
          </w:tcPr>
          <w:p w14:paraId="2BFB90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£231,231</w:t>
            </w:r>
          </w:p>
        </w:tc>
      </w:tr>
      <w:tr w:rsidR="004433D7" w:rsidRPr="004433D7" w14:paraId="5A3559F0"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614B3F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499" w:type="dxa"/>
            <w:tcBorders>
              <w:top w:val="nil"/>
              <w:left w:val="nil"/>
              <w:bottom w:val="single" w:sz="4" w:space="0" w:color="auto"/>
              <w:right w:val="single" w:sz="4" w:space="0" w:color="auto"/>
            </w:tcBorders>
            <w:shd w:val="clear" w:color="auto" w:fill="auto"/>
            <w:noWrap/>
            <w:vAlign w:val="center"/>
            <w:hideMark/>
          </w:tcPr>
          <w:p w14:paraId="634980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£1,628,325</w:t>
            </w:r>
          </w:p>
        </w:tc>
        <w:tc>
          <w:tcPr>
            <w:tcW w:w="1499" w:type="dxa"/>
            <w:tcBorders>
              <w:top w:val="nil"/>
              <w:left w:val="nil"/>
              <w:bottom w:val="single" w:sz="4" w:space="0" w:color="auto"/>
              <w:right w:val="single" w:sz="4" w:space="0" w:color="auto"/>
            </w:tcBorders>
            <w:shd w:val="clear" w:color="auto" w:fill="auto"/>
            <w:noWrap/>
            <w:vAlign w:val="center"/>
            <w:hideMark/>
          </w:tcPr>
          <w:p w14:paraId="15C4FA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£1,614,160</w:t>
            </w:r>
          </w:p>
        </w:tc>
        <w:tc>
          <w:tcPr>
            <w:tcW w:w="1499" w:type="dxa"/>
            <w:tcBorders>
              <w:top w:val="nil"/>
              <w:left w:val="nil"/>
              <w:bottom w:val="single" w:sz="4" w:space="0" w:color="auto"/>
              <w:right w:val="single" w:sz="4" w:space="0" w:color="auto"/>
            </w:tcBorders>
            <w:shd w:val="clear" w:color="auto" w:fill="auto"/>
            <w:noWrap/>
            <w:vAlign w:val="center"/>
            <w:hideMark/>
          </w:tcPr>
          <w:p w14:paraId="40C082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£1,618,250</w:t>
            </w:r>
          </w:p>
        </w:tc>
        <w:tc>
          <w:tcPr>
            <w:tcW w:w="1500" w:type="dxa"/>
            <w:tcBorders>
              <w:top w:val="nil"/>
              <w:left w:val="nil"/>
              <w:bottom w:val="single" w:sz="4" w:space="0" w:color="auto"/>
              <w:right w:val="single" w:sz="4" w:space="0" w:color="auto"/>
            </w:tcBorders>
            <w:shd w:val="clear" w:color="auto" w:fill="auto"/>
            <w:noWrap/>
            <w:vAlign w:val="center"/>
            <w:hideMark/>
          </w:tcPr>
          <w:p w14:paraId="345C27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£1,604,822</w:t>
            </w:r>
          </w:p>
        </w:tc>
        <w:tc>
          <w:tcPr>
            <w:tcW w:w="1843" w:type="dxa"/>
            <w:tcBorders>
              <w:top w:val="nil"/>
              <w:left w:val="nil"/>
              <w:bottom w:val="single" w:sz="4" w:space="0" w:color="auto"/>
              <w:right w:val="single" w:sz="4" w:space="0" w:color="auto"/>
            </w:tcBorders>
            <w:shd w:val="clear" w:color="auto" w:fill="auto"/>
            <w:noWrap/>
            <w:vAlign w:val="center"/>
            <w:hideMark/>
          </w:tcPr>
          <w:p w14:paraId="4E6029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£6,465,557</w:t>
            </w:r>
          </w:p>
        </w:tc>
      </w:tr>
      <w:tr w:rsidR="004433D7" w:rsidRPr="004433D7" w14:paraId="1BC5FA5C"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BC83B2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499" w:type="dxa"/>
            <w:tcBorders>
              <w:top w:val="nil"/>
              <w:left w:val="nil"/>
              <w:bottom w:val="single" w:sz="4" w:space="0" w:color="auto"/>
              <w:right w:val="single" w:sz="4" w:space="0" w:color="auto"/>
            </w:tcBorders>
            <w:shd w:val="clear" w:color="auto" w:fill="auto"/>
            <w:noWrap/>
            <w:vAlign w:val="center"/>
            <w:hideMark/>
          </w:tcPr>
          <w:p w14:paraId="5B9247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£1,169,683</w:t>
            </w:r>
          </w:p>
        </w:tc>
        <w:tc>
          <w:tcPr>
            <w:tcW w:w="1499" w:type="dxa"/>
            <w:tcBorders>
              <w:top w:val="nil"/>
              <w:left w:val="nil"/>
              <w:bottom w:val="single" w:sz="4" w:space="0" w:color="auto"/>
              <w:right w:val="single" w:sz="4" w:space="0" w:color="auto"/>
            </w:tcBorders>
            <w:shd w:val="clear" w:color="auto" w:fill="auto"/>
            <w:noWrap/>
            <w:vAlign w:val="center"/>
            <w:hideMark/>
          </w:tcPr>
          <w:p w14:paraId="15D738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£1,159,507</w:t>
            </w:r>
          </w:p>
        </w:tc>
        <w:tc>
          <w:tcPr>
            <w:tcW w:w="1499" w:type="dxa"/>
            <w:tcBorders>
              <w:top w:val="nil"/>
              <w:left w:val="nil"/>
              <w:bottom w:val="single" w:sz="4" w:space="0" w:color="auto"/>
              <w:right w:val="single" w:sz="4" w:space="0" w:color="auto"/>
            </w:tcBorders>
            <w:shd w:val="clear" w:color="auto" w:fill="auto"/>
            <w:noWrap/>
            <w:vAlign w:val="center"/>
            <w:hideMark/>
          </w:tcPr>
          <w:p w14:paraId="7CA0CA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£1,162,445</w:t>
            </w:r>
          </w:p>
        </w:tc>
        <w:tc>
          <w:tcPr>
            <w:tcW w:w="1500" w:type="dxa"/>
            <w:tcBorders>
              <w:top w:val="nil"/>
              <w:left w:val="nil"/>
              <w:bottom w:val="single" w:sz="4" w:space="0" w:color="auto"/>
              <w:right w:val="single" w:sz="4" w:space="0" w:color="auto"/>
            </w:tcBorders>
            <w:shd w:val="clear" w:color="auto" w:fill="auto"/>
            <w:noWrap/>
            <w:vAlign w:val="center"/>
            <w:hideMark/>
          </w:tcPr>
          <w:p w14:paraId="3F9569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£1,152,800</w:t>
            </w:r>
          </w:p>
        </w:tc>
        <w:tc>
          <w:tcPr>
            <w:tcW w:w="1843" w:type="dxa"/>
            <w:tcBorders>
              <w:top w:val="nil"/>
              <w:left w:val="nil"/>
              <w:bottom w:val="single" w:sz="4" w:space="0" w:color="auto"/>
              <w:right w:val="single" w:sz="4" w:space="0" w:color="auto"/>
            </w:tcBorders>
            <w:shd w:val="clear" w:color="auto" w:fill="auto"/>
            <w:noWrap/>
            <w:vAlign w:val="center"/>
            <w:hideMark/>
          </w:tcPr>
          <w:p w14:paraId="61FC01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£4,644,435</w:t>
            </w:r>
          </w:p>
        </w:tc>
      </w:tr>
      <w:tr w:rsidR="004433D7" w:rsidRPr="004433D7" w14:paraId="3B1395E9"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5225B3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499" w:type="dxa"/>
            <w:tcBorders>
              <w:top w:val="nil"/>
              <w:left w:val="nil"/>
              <w:bottom w:val="single" w:sz="4" w:space="0" w:color="auto"/>
              <w:right w:val="single" w:sz="4" w:space="0" w:color="auto"/>
            </w:tcBorders>
            <w:shd w:val="clear" w:color="auto" w:fill="auto"/>
            <w:noWrap/>
            <w:vAlign w:val="center"/>
            <w:hideMark/>
          </w:tcPr>
          <w:p w14:paraId="62110A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£2,987</w:t>
            </w:r>
          </w:p>
        </w:tc>
        <w:tc>
          <w:tcPr>
            <w:tcW w:w="1499" w:type="dxa"/>
            <w:tcBorders>
              <w:top w:val="nil"/>
              <w:left w:val="nil"/>
              <w:bottom w:val="single" w:sz="4" w:space="0" w:color="auto"/>
              <w:right w:val="single" w:sz="4" w:space="0" w:color="auto"/>
            </w:tcBorders>
            <w:shd w:val="clear" w:color="auto" w:fill="auto"/>
            <w:noWrap/>
            <w:vAlign w:val="center"/>
            <w:hideMark/>
          </w:tcPr>
          <w:p w14:paraId="42BA23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£2,961</w:t>
            </w:r>
          </w:p>
        </w:tc>
        <w:tc>
          <w:tcPr>
            <w:tcW w:w="1499" w:type="dxa"/>
            <w:tcBorders>
              <w:top w:val="nil"/>
              <w:left w:val="nil"/>
              <w:bottom w:val="single" w:sz="4" w:space="0" w:color="auto"/>
              <w:right w:val="single" w:sz="4" w:space="0" w:color="auto"/>
            </w:tcBorders>
            <w:shd w:val="clear" w:color="auto" w:fill="auto"/>
            <w:noWrap/>
            <w:vAlign w:val="center"/>
            <w:hideMark/>
          </w:tcPr>
          <w:p w14:paraId="79F1D7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£2,969</w:t>
            </w:r>
          </w:p>
        </w:tc>
        <w:tc>
          <w:tcPr>
            <w:tcW w:w="1500" w:type="dxa"/>
            <w:tcBorders>
              <w:top w:val="nil"/>
              <w:left w:val="nil"/>
              <w:bottom w:val="single" w:sz="4" w:space="0" w:color="auto"/>
              <w:right w:val="single" w:sz="4" w:space="0" w:color="auto"/>
            </w:tcBorders>
            <w:shd w:val="clear" w:color="auto" w:fill="auto"/>
            <w:noWrap/>
            <w:vAlign w:val="center"/>
            <w:hideMark/>
          </w:tcPr>
          <w:p w14:paraId="4DDF3A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£2,944</w:t>
            </w:r>
          </w:p>
        </w:tc>
        <w:tc>
          <w:tcPr>
            <w:tcW w:w="1843" w:type="dxa"/>
            <w:tcBorders>
              <w:top w:val="nil"/>
              <w:left w:val="nil"/>
              <w:bottom w:val="single" w:sz="4" w:space="0" w:color="auto"/>
              <w:right w:val="single" w:sz="4" w:space="0" w:color="auto"/>
            </w:tcBorders>
            <w:shd w:val="clear" w:color="auto" w:fill="auto"/>
            <w:noWrap/>
            <w:vAlign w:val="center"/>
            <w:hideMark/>
          </w:tcPr>
          <w:p w14:paraId="07E6C4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£11,861</w:t>
            </w:r>
          </w:p>
        </w:tc>
      </w:tr>
      <w:tr w:rsidR="004433D7" w:rsidRPr="004433D7" w14:paraId="07948846"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96AD18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499" w:type="dxa"/>
            <w:tcBorders>
              <w:top w:val="nil"/>
              <w:left w:val="nil"/>
              <w:bottom w:val="single" w:sz="4" w:space="0" w:color="auto"/>
              <w:right w:val="single" w:sz="4" w:space="0" w:color="auto"/>
            </w:tcBorders>
            <w:shd w:val="clear" w:color="auto" w:fill="auto"/>
            <w:noWrap/>
            <w:vAlign w:val="center"/>
            <w:hideMark/>
          </w:tcPr>
          <w:p w14:paraId="11F5FA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£3,723,572</w:t>
            </w:r>
          </w:p>
        </w:tc>
        <w:tc>
          <w:tcPr>
            <w:tcW w:w="1499" w:type="dxa"/>
            <w:tcBorders>
              <w:top w:val="nil"/>
              <w:left w:val="nil"/>
              <w:bottom w:val="single" w:sz="4" w:space="0" w:color="auto"/>
              <w:right w:val="single" w:sz="4" w:space="0" w:color="auto"/>
            </w:tcBorders>
            <w:shd w:val="clear" w:color="auto" w:fill="auto"/>
            <w:noWrap/>
            <w:vAlign w:val="center"/>
            <w:hideMark/>
          </w:tcPr>
          <w:p w14:paraId="248940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£3,691,179</w:t>
            </w:r>
          </w:p>
        </w:tc>
        <w:tc>
          <w:tcPr>
            <w:tcW w:w="1499" w:type="dxa"/>
            <w:tcBorders>
              <w:top w:val="nil"/>
              <w:left w:val="nil"/>
              <w:bottom w:val="single" w:sz="4" w:space="0" w:color="auto"/>
              <w:right w:val="single" w:sz="4" w:space="0" w:color="auto"/>
            </w:tcBorders>
            <w:shd w:val="clear" w:color="auto" w:fill="auto"/>
            <w:noWrap/>
            <w:vAlign w:val="center"/>
            <w:hideMark/>
          </w:tcPr>
          <w:p w14:paraId="407541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£3,700,532</w:t>
            </w:r>
          </w:p>
        </w:tc>
        <w:tc>
          <w:tcPr>
            <w:tcW w:w="1500" w:type="dxa"/>
            <w:tcBorders>
              <w:top w:val="nil"/>
              <w:left w:val="nil"/>
              <w:bottom w:val="single" w:sz="4" w:space="0" w:color="auto"/>
              <w:right w:val="single" w:sz="4" w:space="0" w:color="auto"/>
            </w:tcBorders>
            <w:shd w:val="clear" w:color="auto" w:fill="auto"/>
            <w:noWrap/>
            <w:vAlign w:val="center"/>
            <w:hideMark/>
          </w:tcPr>
          <w:p w14:paraId="6D4EC4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£3,669,827</w:t>
            </w:r>
          </w:p>
        </w:tc>
        <w:tc>
          <w:tcPr>
            <w:tcW w:w="1843" w:type="dxa"/>
            <w:tcBorders>
              <w:top w:val="nil"/>
              <w:left w:val="nil"/>
              <w:bottom w:val="single" w:sz="4" w:space="0" w:color="auto"/>
              <w:right w:val="single" w:sz="4" w:space="0" w:color="auto"/>
            </w:tcBorders>
            <w:shd w:val="clear" w:color="auto" w:fill="auto"/>
            <w:noWrap/>
            <w:vAlign w:val="center"/>
            <w:hideMark/>
          </w:tcPr>
          <w:p w14:paraId="01DFF3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£14,785,110</w:t>
            </w:r>
          </w:p>
        </w:tc>
      </w:tr>
      <w:tr w:rsidR="004433D7" w:rsidRPr="004433D7" w14:paraId="6BE6E622"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83C970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Electric Ireland </w:t>
            </w:r>
          </w:p>
        </w:tc>
        <w:tc>
          <w:tcPr>
            <w:tcW w:w="1499" w:type="dxa"/>
            <w:tcBorders>
              <w:top w:val="nil"/>
              <w:left w:val="nil"/>
              <w:bottom w:val="single" w:sz="4" w:space="0" w:color="auto"/>
              <w:right w:val="single" w:sz="4" w:space="0" w:color="auto"/>
            </w:tcBorders>
            <w:shd w:val="clear" w:color="auto" w:fill="auto"/>
            <w:noWrap/>
            <w:vAlign w:val="center"/>
            <w:hideMark/>
          </w:tcPr>
          <w:p w14:paraId="777B08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£45,622</w:t>
            </w:r>
          </w:p>
        </w:tc>
        <w:tc>
          <w:tcPr>
            <w:tcW w:w="1499" w:type="dxa"/>
            <w:tcBorders>
              <w:top w:val="nil"/>
              <w:left w:val="nil"/>
              <w:bottom w:val="single" w:sz="4" w:space="0" w:color="auto"/>
              <w:right w:val="single" w:sz="4" w:space="0" w:color="auto"/>
            </w:tcBorders>
            <w:shd w:val="clear" w:color="auto" w:fill="auto"/>
            <w:noWrap/>
            <w:vAlign w:val="center"/>
            <w:hideMark/>
          </w:tcPr>
          <w:p w14:paraId="45F5A8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£45,225</w:t>
            </w:r>
          </w:p>
        </w:tc>
        <w:tc>
          <w:tcPr>
            <w:tcW w:w="1499" w:type="dxa"/>
            <w:tcBorders>
              <w:top w:val="nil"/>
              <w:left w:val="nil"/>
              <w:bottom w:val="single" w:sz="4" w:space="0" w:color="auto"/>
              <w:right w:val="single" w:sz="4" w:space="0" w:color="auto"/>
            </w:tcBorders>
            <w:shd w:val="clear" w:color="auto" w:fill="auto"/>
            <w:noWrap/>
            <w:vAlign w:val="center"/>
            <w:hideMark/>
          </w:tcPr>
          <w:p w14:paraId="7C3CBE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£45,340</w:t>
            </w:r>
          </w:p>
        </w:tc>
        <w:tc>
          <w:tcPr>
            <w:tcW w:w="1500" w:type="dxa"/>
            <w:tcBorders>
              <w:top w:val="nil"/>
              <w:left w:val="nil"/>
              <w:bottom w:val="single" w:sz="4" w:space="0" w:color="auto"/>
              <w:right w:val="single" w:sz="4" w:space="0" w:color="auto"/>
            </w:tcBorders>
            <w:shd w:val="clear" w:color="auto" w:fill="auto"/>
            <w:noWrap/>
            <w:vAlign w:val="center"/>
            <w:hideMark/>
          </w:tcPr>
          <w:p w14:paraId="416090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£44,964</w:t>
            </w:r>
          </w:p>
        </w:tc>
        <w:tc>
          <w:tcPr>
            <w:tcW w:w="1843" w:type="dxa"/>
            <w:tcBorders>
              <w:top w:val="nil"/>
              <w:left w:val="nil"/>
              <w:bottom w:val="single" w:sz="4" w:space="0" w:color="auto"/>
              <w:right w:val="single" w:sz="4" w:space="0" w:color="auto"/>
            </w:tcBorders>
            <w:shd w:val="clear" w:color="auto" w:fill="auto"/>
            <w:noWrap/>
            <w:vAlign w:val="center"/>
            <w:hideMark/>
          </w:tcPr>
          <w:p w14:paraId="308B52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£181,151</w:t>
            </w:r>
          </w:p>
        </w:tc>
      </w:tr>
      <w:tr w:rsidR="004433D7" w:rsidRPr="004433D7" w14:paraId="5A9C4E95"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41796D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499" w:type="dxa"/>
            <w:tcBorders>
              <w:top w:val="nil"/>
              <w:left w:val="nil"/>
              <w:bottom w:val="single" w:sz="4" w:space="0" w:color="auto"/>
              <w:right w:val="single" w:sz="4" w:space="0" w:color="auto"/>
            </w:tcBorders>
            <w:shd w:val="clear" w:color="auto" w:fill="auto"/>
            <w:noWrap/>
            <w:vAlign w:val="center"/>
            <w:hideMark/>
          </w:tcPr>
          <w:p w14:paraId="6801C2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£147,938</w:t>
            </w:r>
          </w:p>
        </w:tc>
        <w:tc>
          <w:tcPr>
            <w:tcW w:w="1499" w:type="dxa"/>
            <w:tcBorders>
              <w:top w:val="nil"/>
              <w:left w:val="nil"/>
              <w:bottom w:val="single" w:sz="4" w:space="0" w:color="auto"/>
              <w:right w:val="single" w:sz="4" w:space="0" w:color="auto"/>
            </w:tcBorders>
            <w:shd w:val="clear" w:color="auto" w:fill="auto"/>
            <w:noWrap/>
            <w:vAlign w:val="center"/>
            <w:hideMark/>
          </w:tcPr>
          <w:p w14:paraId="268F2B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£146,651</w:t>
            </w:r>
          </w:p>
        </w:tc>
        <w:tc>
          <w:tcPr>
            <w:tcW w:w="1499" w:type="dxa"/>
            <w:tcBorders>
              <w:top w:val="nil"/>
              <w:left w:val="nil"/>
              <w:bottom w:val="single" w:sz="4" w:space="0" w:color="auto"/>
              <w:right w:val="single" w:sz="4" w:space="0" w:color="auto"/>
            </w:tcBorders>
            <w:shd w:val="clear" w:color="auto" w:fill="auto"/>
            <w:noWrap/>
            <w:vAlign w:val="center"/>
            <w:hideMark/>
          </w:tcPr>
          <w:p w14:paraId="5D790B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£147,022</w:t>
            </w:r>
          </w:p>
        </w:tc>
        <w:tc>
          <w:tcPr>
            <w:tcW w:w="1500" w:type="dxa"/>
            <w:tcBorders>
              <w:top w:val="nil"/>
              <w:left w:val="nil"/>
              <w:bottom w:val="single" w:sz="4" w:space="0" w:color="auto"/>
              <w:right w:val="single" w:sz="4" w:space="0" w:color="auto"/>
            </w:tcBorders>
            <w:shd w:val="clear" w:color="auto" w:fill="auto"/>
            <w:noWrap/>
            <w:vAlign w:val="center"/>
            <w:hideMark/>
          </w:tcPr>
          <w:p w14:paraId="07C20F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£145,803</w:t>
            </w:r>
          </w:p>
        </w:tc>
        <w:tc>
          <w:tcPr>
            <w:tcW w:w="1843" w:type="dxa"/>
            <w:tcBorders>
              <w:top w:val="nil"/>
              <w:left w:val="nil"/>
              <w:bottom w:val="single" w:sz="4" w:space="0" w:color="auto"/>
              <w:right w:val="single" w:sz="4" w:space="0" w:color="auto"/>
            </w:tcBorders>
            <w:shd w:val="clear" w:color="auto" w:fill="auto"/>
            <w:noWrap/>
            <w:vAlign w:val="center"/>
            <w:hideMark/>
          </w:tcPr>
          <w:p w14:paraId="3AD363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£587,414</w:t>
            </w:r>
          </w:p>
        </w:tc>
      </w:tr>
      <w:tr w:rsidR="004433D7" w:rsidRPr="004433D7" w14:paraId="2BF6D325"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97F8F5C"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Electroroute</w:t>
            </w:r>
            <w:proofErr w:type="spellEnd"/>
            <w:r w:rsidRPr="004433D7">
              <w:rPr>
                <w:rFonts w:eastAsia="Times New Roman" w:cs="Times New Roman"/>
                <w:color w:val="000000"/>
                <w:sz w:val="16"/>
                <w:szCs w:val="16"/>
              </w:rPr>
              <w:t xml:space="preserve">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6DAB7F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w:t>
            </w:r>
          </w:p>
        </w:tc>
        <w:tc>
          <w:tcPr>
            <w:tcW w:w="1499" w:type="dxa"/>
            <w:tcBorders>
              <w:top w:val="nil"/>
              <w:left w:val="nil"/>
              <w:bottom w:val="single" w:sz="4" w:space="0" w:color="auto"/>
              <w:right w:val="single" w:sz="4" w:space="0" w:color="auto"/>
            </w:tcBorders>
            <w:shd w:val="clear" w:color="auto" w:fill="auto"/>
            <w:noWrap/>
            <w:vAlign w:val="center"/>
            <w:hideMark/>
          </w:tcPr>
          <w:p w14:paraId="673821F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w:t>
            </w:r>
          </w:p>
        </w:tc>
        <w:tc>
          <w:tcPr>
            <w:tcW w:w="1499" w:type="dxa"/>
            <w:tcBorders>
              <w:top w:val="nil"/>
              <w:left w:val="nil"/>
              <w:bottom w:val="single" w:sz="4" w:space="0" w:color="auto"/>
              <w:right w:val="single" w:sz="4" w:space="0" w:color="auto"/>
            </w:tcBorders>
            <w:shd w:val="clear" w:color="auto" w:fill="auto"/>
            <w:noWrap/>
            <w:vAlign w:val="center"/>
            <w:hideMark/>
          </w:tcPr>
          <w:p w14:paraId="6F7C2E5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w:t>
            </w:r>
          </w:p>
        </w:tc>
        <w:tc>
          <w:tcPr>
            <w:tcW w:w="1500" w:type="dxa"/>
            <w:tcBorders>
              <w:top w:val="nil"/>
              <w:left w:val="nil"/>
              <w:bottom w:val="single" w:sz="4" w:space="0" w:color="auto"/>
              <w:right w:val="single" w:sz="4" w:space="0" w:color="auto"/>
            </w:tcBorders>
            <w:shd w:val="clear" w:color="auto" w:fill="auto"/>
            <w:noWrap/>
            <w:vAlign w:val="center"/>
            <w:hideMark/>
          </w:tcPr>
          <w:p w14:paraId="0A0A94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w:t>
            </w:r>
          </w:p>
        </w:tc>
        <w:tc>
          <w:tcPr>
            <w:tcW w:w="1843" w:type="dxa"/>
            <w:tcBorders>
              <w:top w:val="nil"/>
              <w:left w:val="nil"/>
              <w:bottom w:val="single" w:sz="4" w:space="0" w:color="auto"/>
              <w:right w:val="single" w:sz="4" w:space="0" w:color="auto"/>
            </w:tcBorders>
            <w:shd w:val="clear" w:color="auto" w:fill="auto"/>
            <w:noWrap/>
            <w:vAlign w:val="center"/>
            <w:hideMark/>
          </w:tcPr>
          <w:p w14:paraId="52E165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w:t>
            </w:r>
          </w:p>
        </w:tc>
      </w:tr>
      <w:tr w:rsidR="004433D7" w:rsidRPr="004433D7" w14:paraId="7DD73B95"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70F0C6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499" w:type="dxa"/>
            <w:tcBorders>
              <w:top w:val="nil"/>
              <w:left w:val="nil"/>
              <w:bottom w:val="single" w:sz="4" w:space="0" w:color="auto"/>
              <w:right w:val="single" w:sz="4" w:space="0" w:color="auto"/>
            </w:tcBorders>
            <w:shd w:val="clear" w:color="auto" w:fill="auto"/>
            <w:noWrap/>
            <w:vAlign w:val="center"/>
            <w:hideMark/>
          </w:tcPr>
          <w:p w14:paraId="575CB7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£42,702</w:t>
            </w:r>
          </w:p>
        </w:tc>
        <w:tc>
          <w:tcPr>
            <w:tcW w:w="1499" w:type="dxa"/>
            <w:tcBorders>
              <w:top w:val="nil"/>
              <w:left w:val="nil"/>
              <w:bottom w:val="single" w:sz="4" w:space="0" w:color="auto"/>
              <w:right w:val="single" w:sz="4" w:space="0" w:color="auto"/>
            </w:tcBorders>
            <w:shd w:val="clear" w:color="auto" w:fill="auto"/>
            <w:noWrap/>
            <w:vAlign w:val="center"/>
            <w:hideMark/>
          </w:tcPr>
          <w:p w14:paraId="1AFB2D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£42,331</w:t>
            </w:r>
          </w:p>
        </w:tc>
        <w:tc>
          <w:tcPr>
            <w:tcW w:w="1499" w:type="dxa"/>
            <w:tcBorders>
              <w:top w:val="nil"/>
              <w:left w:val="nil"/>
              <w:bottom w:val="single" w:sz="4" w:space="0" w:color="auto"/>
              <w:right w:val="single" w:sz="4" w:space="0" w:color="auto"/>
            </w:tcBorders>
            <w:shd w:val="clear" w:color="auto" w:fill="auto"/>
            <w:noWrap/>
            <w:vAlign w:val="center"/>
            <w:hideMark/>
          </w:tcPr>
          <w:p w14:paraId="310159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£42,438</w:t>
            </w:r>
          </w:p>
        </w:tc>
        <w:tc>
          <w:tcPr>
            <w:tcW w:w="1500" w:type="dxa"/>
            <w:tcBorders>
              <w:top w:val="nil"/>
              <w:left w:val="nil"/>
              <w:bottom w:val="single" w:sz="4" w:space="0" w:color="auto"/>
              <w:right w:val="single" w:sz="4" w:space="0" w:color="auto"/>
            </w:tcBorders>
            <w:shd w:val="clear" w:color="auto" w:fill="auto"/>
            <w:noWrap/>
            <w:vAlign w:val="center"/>
            <w:hideMark/>
          </w:tcPr>
          <w:p w14:paraId="1BCFFC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£42,086</w:t>
            </w:r>
          </w:p>
        </w:tc>
        <w:tc>
          <w:tcPr>
            <w:tcW w:w="1843" w:type="dxa"/>
            <w:tcBorders>
              <w:top w:val="nil"/>
              <w:left w:val="nil"/>
              <w:bottom w:val="single" w:sz="4" w:space="0" w:color="auto"/>
              <w:right w:val="single" w:sz="4" w:space="0" w:color="auto"/>
            </w:tcBorders>
            <w:shd w:val="clear" w:color="auto" w:fill="auto"/>
            <w:noWrap/>
            <w:vAlign w:val="center"/>
            <w:hideMark/>
          </w:tcPr>
          <w:p w14:paraId="150BB9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£169,557</w:t>
            </w:r>
          </w:p>
        </w:tc>
      </w:tr>
      <w:tr w:rsidR="004433D7" w:rsidRPr="004433D7" w14:paraId="76DC8D48"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515C129"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Energia</w:t>
            </w:r>
            <w:proofErr w:type="spellEnd"/>
          </w:p>
        </w:tc>
        <w:tc>
          <w:tcPr>
            <w:tcW w:w="1499" w:type="dxa"/>
            <w:tcBorders>
              <w:top w:val="nil"/>
              <w:left w:val="nil"/>
              <w:bottom w:val="single" w:sz="4" w:space="0" w:color="auto"/>
              <w:right w:val="single" w:sz="4" w:space="0" w:color="auto"/>
            </w:tcBorders>
            <w:shd w:val="clear" w:color="auto" w:fill="auto"/>
            <w:noWrap/>
            <w:vAlign w:val="center"/>
            <w:hideMark/>
          </w:tcPr>
          <w:p w14:paraId="6EA009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£42,844</w:t>
            </w:r>
          </w:p>
        </w:tc>
        <w:tc>
          <w:tcPr>
            <w:tcW w:w="1499" w:type="dxa"/>
            <w:tcBorders>
              <w:top w:val="nil"/>
              <w:left w:val="nil"/>
              <w:bottom w:val="single" w:sz="4" w:space="0" w:color="auto"/>
              <w:right w:val="single" w:sz="4" w:space="0" w:color="auto"/>
            </w:tcBorders>
            <w:shd w:val="clear" w:color="auto" w:fill="auto"/>
            <w:noWrap/>
            <w:vAlign w:val="center"/>
            <w:hideMark/>
          </w:tcPr>
          <w:p w14:paraId="0C976C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£42,471</w:t>
            </w:r>
          </w:p>
        </w:tc>
        <w:tc>
          <w:tcPr>
            <w:tcW w:w="1499" w:type="dxa"/>
            <w:tcBorders>
              <w:top w:val="nil"/>
              <w:left w:val="nil"/>
              <w:bottom w:val="single" w:sz="4" w:space="0" w:color="auto"/>
              <w:right w:val="single" w:sz="4" w:space="0" w:color="auto"/>
            </w:tcBorders>
            <w:shd w:val="clear" w:color="auto" w:fill="auto"/>
            <w:noWrap/>
            <w:vAlign w:val="center"/>
            <w:hideMark/>
          </w:tcPr>
          <w:p w14:paraId="282B32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£42,579</w:t>
            </w:r>
          </w:p>
        </w:tc>
        <w:tc>
          <w:tcPr>
            <w:tcW w:w="1500" w:type="dxa"/>
            <w:tcBorders>
              <w:top w:val="nil"/>
              <w:left w:val="nil"/>
              <w:bottom w:val="single" w:sz="4" w:space="0" w:color="auto"/>
              <w:right w:val="single" w:sz="4" w:space="0" w:color="auto"/>
            </w:tcBorders>
            <w:shd w:val="clear" w:color="auto" w:fill="auto"/>
            <w:noWrap/>
            <w:vAlign w:val="center"/>
            <w:hideMark/>
          </w:tcPr>
          <w:p w14:paraId="1C35F4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£42,225</w:t>
            </w:r>
          </w:p>
        </w:tc>
        <w:tc>
          <w:tcPr>
            <w:tcW w:w="1843" w:type="dxa"/>
            <w:tcBorders>
              <w:top w:val="nil"/>
              <w:left w:val="nil"/>
              <w:bottom w:val="single" w:sz="4" w:space="0" w:color="auto"/>
              <w:right w:val="single" w:sz="4" w:space="0" w:color="auto"/>
            </w:tcBorders>
            <w:shd w:val="clear" w:color="auto" w:fill="auto"/>
            <w:noWrap/>
            <w:vAlign w:val="center"/>
            <w:hideMark/>
          </w:tcPr>
          <w:p w14:paraId="5CF324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£170,119</w:t>
            </w:r>
          </w:p>
        </w:tc>
      </w:tr>
      <w:tr w:rsidR="004433D7" w:rsidRPr="004433D7" w14:paraId="56EE65EE"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62506A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557D2C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£716,827</w:t>
            </w:r>
          </w:p>
        </w:tc>
        <w:tc>
          <w:tcPr>
            <w:tcW w:w="1499" w:type="dxa"/>
            <w:tcBorders>
              <w:top w:val="nil"/>
              <w:left w:val="nil"/>
              <w:bottom w:val="single" w:sz="4" w:space="0" w:color="auto"/>
              <w:right w:val="single" w:sz="4" w:space="0" w:color="auto"/>
            </w:tcBorders>
            <w:shd w:val="clear" w:color="auto" w:fill="auto"/>
            <w:noWrap/>
            <w:vAlign w:val="center"/>
            <w:hideMark/>
          </w:tcPr>
          <w:p w14:paraId="3E202F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£710,591</w:t>
            </w:r>
          </w:p>
        </w:tc>
        <w:tc>
          <w:tcPr>
            <w:tcW w:w="1499" w:type="dxa"/>
            <w:tcBorders>
              <w:top w:val="nil"/>
              <w:left w:val="nil"/>
              <w:bottom w:val="single" w:sz="4" w:space="0" w:color="auto"/>
              <w:right w:val="single" w:sz="4" w:space="0" w:color="auto"/>
            </w:tcBorders>
            <w:shd w:val="clear" w:color="auto" w:fill="auto"/>
            <w:noWrap/>
            <w:vAlign w:val="center"/>
            <w:hideMark/>
          </w:tcPr>
          <w:p w14:paraId="73BE5F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£712,391</w:t>
            </w:r>
          </w:p>
        </w:tc>
        <w:tc>
          <w:tcPr>
            <w:tcW w:w="1500" w:type="dxa"/>
            <w:tcBorders>
              <w:top w:val="nil"/>
              <w:left w:val="nil"/>
              <w:bottom w:val="single" w:sz="4" w:space="0" w:color="auto"/>
              <w:right w:val="single" w:sz="4" w:space="0" w:color="auto"/>
            </w:tcBorders>
            <w:shd w:val="clear" w:color="auto" w:fill="auto"/>
            <w:noWrap/>
            <w:vAlign w:val="center"/>
            <w:hideMark/>
          </w:tcPr>
          <w:p w14:paraId="695765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£706,480</w:t>
            </w:r>
          </w:p>
        </w:tc>
        <w:tc>
          <w:tcPr>
            <w:tcW w:w="1843" w:type="dxa"/>
            <w:tcBorders>
              <w:top w:val="nil"/>
              <w:left w:val="nil"/>
              <w:bottom w:val="single" w:sz="4" w:space="0" w:color="auto"/>
              <w:right w:val="single" w:sz="4" w:space="0" w:color="auto"/>
            </w:tcBorders>
            <w:shd w:val="clear" w:color="auto" w:fill="auto"/>
            <w:noWrap/>
            <w:vAlign w:val="center"/>
            <w:hideMark/>
          </w:tcPr>
          <w:p w14:paraId="58D3F8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£2,846,289</w:t>
            </w:r>
          </w:p>
        </w:tc>
      </w:tr>
      <w:tr w:rsidR="004433D7" w:rsidRPr="004433D7" w14:paraId="0173854D"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2C950B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502AAD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£11,518</w:t>
            </w:r>
          </w:p>
        </w:tc>
        <w:tc>
          <w:tcPr>
            <w:tcW w:w="1499" w:type="dxa"/>
            <w:tcBorders>
              <w:top w:val="nil"/>
              <w:left w:val="nil"/>
              <w:bottom w:val="single" w:sz="4" w:space="0" w:color="auto"/>
              <w:right w:val="single" w:sz="4" w:space="0" w:color="auto"/>
            </w:tcBorders>
            <w:shd w:val="clear" w:color="auto" w:fill="auto"/>
            <w:noWrap/>
            <w:vAlign w:val="center"/>
            <w:hideMark/>
          </w:tcPr>
          <w:p w14:paraId="1047A3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£11,418</w:t>
            </w:r>
          </w:p>
        </w:tc>
        <w:tc>
          <w:tcPr>
            <w:tcW w:w="1499" w:type="dxa"/>
            <w:tcBorders>
              <w:top w:val="nil"/>
              <w:left w:val="nil"/>
              <w:bottom w:val="single" w:sz="4" w:space="0" w:color="auto"/>
              <w:right w:val="single" w:sz="4" w:space="0" w:color="auto"/>
            </w:tcBorders>
            <w:shd w:val="clear" w:color="auto" w:fill="auto"/>
            <w:noWrap/>
            <w:vAlign w:val="center"/>
            <w:hideMark/>
          </w:tcPr>
          <w:p w14:paraId="275118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£11,447</w:t>
            </w:r>
          </w:p>
        </w:tc>
        <w:tc>
          <w:tcPr>
            <w:tcW w:w="1500" w:type="dxa"/>
            <w:tcBorders>
              <w:top w:val="nil"/>
              <w:left w:val="nil"/>
              <w:bottom w:val="single" w:sz="4" w:space="0" w:color="auto"/>
              <w:right w:val="single" w:sz="4" w:space="0" w:color="auto"/>
            </w:tcBorders>
            <w:shd w:val="clear" w:color="auto" w:fill="auto"/>
            <w:noWrap/>
            <w:vAlign w:val="center"/>
            <w:hideMark/>
          </w:tcPr>
          <w:p w14:paraId="6D1EB6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£11,352</w:t>
            </w:r>
          </w:p>
        </w:tc>
        <w:tc>
          <w:tcPr>
            <w:tcW w:w="1843" w:type="dxa"/>
            <w:tcBorders>
              <w:top w:val="nil"/>
              <w:left w:val="nil"/>
              <w:bottom w:val="single" w:sz="4" w:space="0" w:color="auto"/>
              <w:right w:val="single" w:sz="4" w:space="0" w:color="auto"/>
            </w:tcBorders>
            <w:shd w:val="clear" w:color="auto" w:fill="auto"/>
            <w:noWrap/>
            <w:vAlign w:val="center"/>
            <w:hideMark/>
          </w:tcPr>
          <w:p w14:paraId="4E50810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£45,735</w:t>
            </w:r>
          </w:p>
        </w:tc>
      </w:tr>
      <w:tr w:rsidR="004433D7" w:rsidRPr="004433D7" w14:paraId="0E3E4F0C"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7CD899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3323CB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£2,817</w:t>
            </w:r>
          </w:p>
        </w:tc>
        <w:tc>
          <w:tcPr>
            <w:tcW w:w="1499" w:type="dxa"/>
            <w:tcBorders>
              <w:top w:val="nil"/>
              <w:left w:val="nil"/>
              <w:bottom w:val="single" w:sz="4" w:space="0" w:color="auto"/>
              <w:right w:val="single" w:sz="4" w:space="0" w:color="auto"/>
            </w:tcBorders>
            <w:shd w:val="clear" w:color="auto" w:fill="auto"/>
            <w:noWrap/>
            <w:vAlign w:val="center"/>
            <w:hideMark/>
          </w:tcPr>
          <w:p w14:paraId="7F5074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£2,793</w:t>
            </w:r>
          </w:p>
        </w:tc>
        <w:tc>
          <w:tcPr>
            <w:tcW w:w="1499" w:type="dxa"/>
            <w:tcBorders>
              <w:top w:val="nil"/>
              <w:left w:val="nil"/>
              <w:bottom w:val="single" w:sz="4" w:space="0" w:color="auto"/>
              <w:right w:val="single" w:sz="4" w:space="0" w:color="auto"/>
            </w:tcBorders>
            <w:shd w:val="clear" w:color="auto" w:fill="auto"/>
            <w:noWrap/>
            <w:vAlign w:val="center"/>
            <w:hideMark/>
          </w:tcPr>
          <w:p w14:paraId="4C9B4A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£2,800</w:t>
            </w:r>
          </w:p>
        </w:tc>
        <w:tc>
          <w:tcPr>
            <w:tcW w:w="1500" w:type="dxa"/>
            <w:tcBorders>
              <w:top w:val="nil"/>
              <w:left w:val="nil"/>
              <w:bottom w:val="single" w:sz="4" w:space="0" w:color="auto"/>
              <w:right w:val="single" w:sz="4" w:space="0" w:color="auto"/>
            </w:tcBorders>
            <w:shd w:val="clear" w:color="auto" w:fill="auto"/>
            <w:noWrap/>
            <w:vAlign w:val="center"/>
            <w:hideMark/>
          </w:tcPr>
          <w:p w14:paraId="7C9479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£2,777</w:t>
            </w:r>
          </w:p>
        </w:tc>
        <w:tc>
          <w:tcPr>
            <w:tcW w:w="1843" w:type="dxa"/>
            <w:tcBorders>
              <w:top w:val="nil"/>
              <w:left w:val="nil"/>
              <w:bottom w:val="single" w:sz="4" w:space="0" w:color="auto"/>
              <w:right w:val="single" w:sz="4" w:space="0" w:color="auto"/>
            </w:tcBorders>
            <w:shd w:val="clear" w:color="auto" w:fill="auto"/>
            <w:noWrap/>
            <w:vAlign w:val="center"/>
            <w:hideMark/>
          </w:tcPr>
          <w:p w14:paraId="67143B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£11,187</w:t>
            </w:r>
          </w:p>
        </w:tc>
      </w:tr>
      <w:tr w:rsidR="004433D7" w:rsidRPr="004433D7" w14:paraId="1BD515BA"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76B2E4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35DAB5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£4,005</w:t>
            </w:r>
          </w:p>
        </w:tc>
        <w:tc>
          <w:tcPr>
            <w:tcW w:w="1499" w:type="dxa"/>
            <w:tcBorders>
              <w:top w:val="nil"/>
              <w:left w:val="nil"/>
              <w:bottom w:val="single" w:sz="4" w:space="0" w:color="auto"/>
              <w:right w:val="single" w:sz="4" w:space="0" w:color="auto"/>
            </w:tcBorders>
            <w:shd w:val="clear" w:color="auto" w:fill="auto"/>
            <w:noWrap/>
            <w:vAlign w:val="center"/>
            <w:hideMark/>
          </w:tcPr>
          <w:p w14:paraId="226A39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£3,970</w:t>
            </w:r>
          </w:p>
        </w:tc>
        <w:tc>
          <w:tcPr>
            <w:tcW w:w="1499" w:type="dxa"/>
            <w:tcBorders>
              <w:top w:val="nil"/>
              <w:left w:val="nil"/>
              <w:bottom w:val="single" w:sz="4" w:space="0" w:color="auto"/>
              <w:right w:val="single" w:sz="4" w:space="0" w:color="auto"/>
            </w:tcBorders>
            <w:shd w:val="clear" w:color="auto" w:fill="auto"/>
            <w:noWrap/>
            <w:vAlign w:val="center"/>
            <w:hideMark/>
          </w:tcPr>
          <w:p w14:paraId="602F4D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£3,980</w:t>
            </w:r>
          </w:p>
        </w:tc>
        <w:tc>
          <w:tcPr>
            <w:tcW w:w="1500" w:type="dxa"/>
            <w:tcBorders>
              <w:top w:val="nil"/>
              <w:left w:val="nil"/>
              <w:bottom w:val="single" w:sz="4" w:space="0" w:color="auto"/>
              <w:right w:val="single" w:sz="4" w:space="0" w:color="auto"/>
            </w:tcBorders>
            <w:shd w:val="clear" w:color="auto" w:fill="auto"/>
            <w:noWrap/>
            <w:vAlign w:val="center"/>
            <w:hideMark/>
          </w:tcPr>
          <w:p w14:paraId="11B997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£3,947</w:t>
            </w:r>
          </w:p>
        </w:tc>
        <w:tc>
          <w:tcPr>
            <w:tcW w:w="1843" w:type="dxa"/>
            <w:tcBorders>
              <w:top w:val="nil"/>
              <w:left w:val="nil"/>
              <w:bottom w:val="single" w:sz="4" w:space="0" w:color="auto"/>
              <w:right w:val="single" w:sz="4" w:space="0" w:color="auto"/>
            </w:tcBorders>
            <w:shd w:val="clear" w:color="auto" w:fill="auto"/>
            <w:noWrap/>
            <w:vAlign w:val="center"/>
            <w:hideMark/>
          </w:tcPr>
          <w:p w14:paraId="18053B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£15,902</w:t>
            </w:r>
          </w:p>
        </w:tc>
      </w:tr>
      <w:tr w:rsidR="004433D7" w:rsidRPr="004433D7" w14:paraId="2BA1B22B"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8AF2EA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Gas and 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539D8B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£2,018</w:t>
            </w:r>
          </w:p>
        </w:tc>
        <w:tc>
          <w:tcPr>
            <w:tcW w:w="1499" w:type="dxa"/>
            <w:tcBorders>
              <w:top w:val="nil"/>
              <w:left w:val="nil"/>
              <w:bottom w:val="single" w:sz="4" w:space="0" w:color="auto"/>
              <w:right w:val="single" w:sz="4" w:space="0" w:color="auto"/>
            </w:tcBorders>
            <w:shd w:val="clear" w:color="auto" w:fill="auto"/>
            <w:noWrap/>
            <w:vAlign w:val="center"/>
            <w:hideMark/>
          </w:tcPr>
          <w:p w14:paraId="5DF77E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£2,001</w:t>
            </w:r>
          </w:p>
        </w:tc>
        <w:tc>
          <w:tcPr>
            <w:tcW w:w="1499" w:type="dxa"/>
            <w:tcBorders>
              <w:top w:val="nil"/>
              <w:left w:val="nil"/>
              <w:bottom w:val="single" w:sz="4" w:space="0" w:color="auto"/>
              <w:right w:val="single" w:sz="4" w:space="0" w:color="auto"/>
            </w:tcBorders>
            <w:shd w:val="clear" w:color="auto" w:fill="auto"/>
            <w:noWrap/>
            <w:vAlign w:val="center"/>
            <w:hideMark/>
          </w:tcPr>
          <w:p w14:paraId="7AB0113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£2,006</w:t>
            </w:r>
          </w:p>
        </w:tc>
        <w:tc>
          <w:tcPr>
            <w:tcW w:w="1500" w:type="dxa"/>
            <w:tcBorders>
              <w:top w:val="nil"/>
              <w:left w:val="nil"/>
              <w:bottom w:val="single" w:sz="4" w:space="0" w:color="auto"/>
              <w:right w:val="single" w:sz="4" w:space="0" w:color="auto"/>
            </w:tcBorders>
            <w:shd w:val="clear" w:color="auto" w:fill="auto"/>
            <w:noWrap/>
            <w:vAlign w:val="center"/>
            <w:hideMark/>
          </w:tcPr>
          <w:p w14:paraId="4F920D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£1,989</w:t>
            </w:r>
          </w:p>
        </w:tc>
        <w:tc>
          <w:tcPr>
            <w:tcW w:w="1843" w:type="dxa"/>
            <w:tcBorders>
              <w:top w:val="nil"/>
              <w:left w:val="nil"/>
              <w:bottom w:val="single" w:sz="4" w:space="0" w:color="auto"/>
              <w:right w:val="single" w:sz="4" w:space="0" w:color="auto"/>
            </w:tcBorders>
            <w:shd w:val="clear" w:color="auto" w:fill="auto"/>
            <w:noWrap/>
            <w:vAlign w:val="center"/>
            <w:hideMark/>
          </w:tcPr>
          <w:p w14:paraId="312D22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£8,014</w:t>
            </w:r>
          </w:p>
        </w:tc>
      </w:tr>
      <w:tr w:rsidR="004433D7" w:rsidRPr="004433D7" w14:paraId="2A405104"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53CEDD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499" w:type="dxa"/>
            <w:tcBorders>
              <w:top w:val="nil"/>
              <w:left w:val="nil"/>
              <w:bottom w:val="single" w:sz="4" w:space="0" w:color="auto"/>
              <w:right w:val="single" w:sz="4" w:space="0" w:color="auto"/>
            </w:tcBorders>
            <w:shd w:val="clear" w:color="auto" w:fill="auto"/>
            <w:noWrap/>
            <w:vAlign w:val="center"/>
            <w:hideMark/>
          </w:tcPr>
          <w:p w14:paraId="3D7C4E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£58,703</w:t>
            </w:r>
          </w:p>
        </w:tc>
        <w:tc>
          <w:tcPr>
            <w:tcW w:w="1499" w:type="dxa"/>
            <w:tcBorders>
              <w:top w:val="nil"/>
              <w:left w:val="nil"/>
              <w:bottom w:val="single" w:sz="4" w:space="0" w:color="auto"/>
              <w:right w:val="single" w:sz="4" w:space="0" w:color="auto"/>
            </w:tcBorders>
            <w:shd w:val="clear" w:color="auto" w:fill="auto"/>
            <w:noWrap/>
            <w:vAlign w:val="center"/>
            <w:hideMark/>
          </w:tcPr>
          <w:p w14:paraId="64E533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£58,193</w:t>
            </w:r>
          </w:p>
        </w:tc>
        <w:tc>
          <w:tcPr>
            <w:tcW w:w="1499" w:type="dxa"/>
            <w:tcBorders>
              <w:top w:val="nil"/>
              <w:left w:val="nil"/>
              <w:bottom w:val="single" w:sz="4" w:space="0" w:color="auto"/>
              <w:right w:val="single" w:sz="4" w:space="0" w:color="auto"/>
            </w:tcBorders>
            <w:shd w:val="clear" w:color="auto" w:fill="auto"/>
            <w:noWrap/>
            <w:vAlign w:val="center"/>
            <w:hideMark/>
          </w:tcPr>
          <w:p w14:paraId="47FC42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£58,340</w:t>
            </w:r>
          </w:p>
        </w:tc>
        <w:tc>
          <w:tcPr>
            <w:tcW w:w="1500" w:type="dxa"/>
            <w:tcBorders>
              <w:top w:val="nil"/>
              <w:left w:val="nil"/>
              <w:bottom w:val="single" w:sz="4" w:space="0" w:color="auto"/>
              <w:right w:val="single" w:sz="4" w:space="0" w:color="auto"/>
            </w:tcBorders>
            <w:shd w:val="clear" w:color="auto" w:fill="auto"/>
            <w:noWrap/>
            <w:vAlign w:val="center"/>
            <w:hideMark/>
          </w:tcPr>
          <w:p w14:paraId="33855E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£57,856</w:t>
            </w:r>
          </w:p>
        </w:tc>
        <w:tc>
          <w:tcPr>
            <w:tcW w:w="1843" w:type="dxa"/>
            <w:tcBorders>
              <w:top w:val="nil"/>
              <w:left w:val="nil"/>
              <w:bottom w:val="single" w:sz="4" w:space="0" w:color="auto"/>
              <w:right w:val="single" w:sz="4" w:space="0" w:color="auto"/>
            </w:tcBorders>
            <w:shd w:val="clear" w:color="auto" w:fill="auto"/>
            <w:noWrap/>
            <w:vAlign w:val="center"/>
            <w:hideMark/>
          </w:tcPr>
          <w:p w14:paraId="1E8332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£233,092</w:t>
            </w:r>
          </w:p>
        </w:tc>
      </w:tr>
      <w:tr w:rsidR="004433D7" w:rsidRPr="004433D7" w14:paraId="58305949"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070D3E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 Power</w:t>
            </w:r>
          </w:p>
        </w:tc>
        <w:tc>
          <w:tcPr>
            <w:tcW w:w="1499" w:type="dxa"/>
            <w:tcBorders>
              <w:top w:val="nil"/>
              <w:left w:val="nil"/>
              <w:bottom w:val="single" w:sz="4" w:space="0" w:color="auto"/>
              <w:right w:val="single" w:sz="4" w:space="0" w:color="auto"/>
            </w:tcBorders>
            <w:shd w:val="clear" w:color="auto" w:fill="auto"/>
            <w:noWrap/>
            <w:vAlign w:val="center"/>
            <w:hideMark/>
          </w:tcPr>
          <w:p w14:paraId="037F24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£8,439</w:t>
            </w:r>
          </w:p>
        </w:tc>
        <w:tc>
          <w:tcPr>
            <w:tcW w:w="1499" w:type="dxa"/>
            <w:tcBorders>
              <w:top w:val="nil"/>
              <w:left w:val="nil"/>
              <w:bottom w:val="single" w:sz="4" w:space="0" w:color="auto"/>
              <w:right w:val="single" w:sz="4" w:space="0" w:color="auto"/>
            </w:tcBorders>
            <w:shd w:val="clear" w:color="auto" w:fill="auto"/>
            <w:noWrap/>
            <w:vAlign w:val="center"/>
            <w:hideMark/>
          </w:tcPr>
          <w:p w14:paraId="3F9EC6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£8,366</w:t>
            </w:r>
          </w:p>
        </w:tc>
        <w:tc>
          <w:tcPr>
            <w:tcW w:w="1499" w:type="dxa"/>
            <w:tcBorders>
              <w:top w:val="nil"/>
              <w:left w:val="nil"/>
              <w:bottom w:val="single" w:sz="4" w:space="0" w:color="auto"/>
              <w:right w:val="single" w:sz="4" w:space="0" w:color="auto"/>
            </w:tcBorders>
            <w:shd w:val="clear" w:color="auto" w:fill="auto"/>
            <w:noWrap/>
            <w:vAlign w:val="center"/>
            <w:hideMark/>
          </w:tcPr>
          <w:p w14:paraId="493D8F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£8,387</w:t>
            </w:r>
          </w:p>
        </w:tc>
        <w:tc>
          <w:tcPr>
            <w:tcW w:w="1500" w:type="dxa"/>
            <w:tcBorders>
              <w:top w:val="nil"/>
              <w:left w:val="nil"/>
              <w:bottom w:val="single" w:sz="4" w:space="0" w:color="auto"/>
              <w:right w:val="single" w:sz="4" w:space="0" w:color="auto"/>
            </w:tcBorders>
            <w:shd w:val="clear" w:color="auto" w:fill="auto"/>
            <w:noWrap/>
            <w:vAlign w:val="center"/>
            <w:hideMark/>
          </w:tcPr>
          <w:p w14:paraId="59A7D7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£8,318</w:t>
            </w:r>
          </w:p>
        </w:tc>
        <w:tc>
          <w:tcPr>
            <w:tcW w:w="1843" w:type="dxa"/>
            <w:tcBorders>
              <w:top w:val="nil"/>
              <w:left w:val="nil"/>
              <w:bottom w:val="single" w:sz="4" w:space="0" w:color="auto"/>
              <w:right w:val="single" w:sz="4" w:space="0" w:color="auto"/>
            </w:tcBorders>
            <w:shd w:val="clear" w:color="auto" w:fill="auto"/>
            <w:noWrap/>
            <w:vAlign w:val="center"/>
            <w:hideMark/>
          </w:tcPr>
          <w:p w14:paraId="16F88C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£33,510</w:t>
            </w:r>
          </w:p>
        </w:tc>
      </w:tr>
      <w:tr w:rsidR="004433D7" w:rsidRPr="004433D7" w14:paraId="36078C2A"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1DE32F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5456FC3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£48,823</w:t>
            </w:r>
          </w:p>
        </w:tc>
        <w:tc>
          <w:tcPr>
            <w:tcW w:w="1499" w:type="dxa"/>
            <w:tcBorders>
              <w:top w:val="nil"/>
              <w:left w:val="nil"/>
              <w:bottom w:val="single" w:sz="4" w:space="0" w:color="auto"/>
              <w:right w:val="single" w:sz="4" w:space="0" w:color="auto"/>
            </w:tcBorders>
            <w:shd w:val="clear" w:color="auto" w:fill="auto"/>
            <w:noWrap/>
            <w:vAlign w:val="center"/>
            <w:hideMark/>
          </w:tcPr>
          <w:p w14:paraId="281677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£48,398</w:t>
            </w:r>
          </w:p>
        </w:tc>
        <w:tc>
          <w:tcPr>
            <w:tcW w:w="1499" w:type="dxa"/>
            <w:tcBorders>
              <w:top w:val="nil"/>
              <w:left w:val="nil"/>
              <w:bottom w:val="single" w:sz="4" w:space="0" w:color="auto"/>
              <w:right w:val="single" w:sz="4" w:space="0" w:color="auto"/>
            </w:tcBorders>
            <w:shd w:val="clear" w:color="auto" w:fill="auto"/>
            <w:noWrap/>
            <w:vAlign w:val="center"/>
            <w:hideMark/>
          </w:tcPr>
          <w:p w14:paraId="00F1CD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£48,521</w:t>
            </w:r>
          </w:p>
        </w:tc>
        <w:tc>
          <w:tcPr>
            <w:tcW w:w="1500" w:type="dxa"/>
            <w:tcBorders>
              <w:top w:val="nil"/>
              <w:left w:val="nil"/>
              <w:bottom w:val="single" w:sz="4" w:space="0" w:color="auto"/>
              <w:right w:val="single" w:sz="4" w:space="0" w:color="auto"/>
            </w:tcBorders>
            <w:shd w:val="clear" w:color="auto" w:fill="auto"/>
            <w:noWrap/>
            <w:vAlign w:val="center"/>
            <w:hideMark/>
          </w:tcPr>
          <w:p w14:paraId="576657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£48,118</w:t>
            </w:r>
          </w:p>
        </w:tc>
        <w:tc>
          <w:tcPr>
            <w:tcW w:w="1843" w:type="dxa"/>
            <w:tcBorders>
              <w:top w:val="nil"/>
              <w:left w:val="nil"/>
              <w:bottom w:val="single" w:sz="4" w:space="0" w:color="auto"/>
              <w:right w:val="single" w:sz="4" w:space="0" w:color="auto"/>
            </w:tcBorders>
            <w:shd w:val="clear" w:color="auto" w:fill="auto"/>
            <w:noWrap/>
            <w:vAlign w:val="center"/>
            <w:hideMark/>
          </w:tcPr>
          <w:p w14:paraId="0C3706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£193,860</w:t>
            </w:r>
          </w:p>
        </w:tc>
      </w:tr>
      <w:tr w:rsidR="004433D7" w:rsidRPr="004433D7" w14:paraId="3EAE441D"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A98EA0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499" w:type="dxa"/>
            <w:tcBorders>
              <w:top w:val="nil"/>
              <w:left w:val="nil"/>
              <w:bottom w:val="single" w:sz="4" w:space="0" w:color="auto"/>
              <w:right w:val="single" w:sz="4" w:space="0" w:color="auto"/>
            </w:tcBorders>
            <w:shd w:val="clear" w:color="auto" w:fill="auto"/>
            <w:noWrap/>
            <w:vAlign w:val="center"/>
            <w:hideMark/>
          </w:tcPr>
          <w:p w14:paraId="3756959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£10,234</w:t>
            </w:r>
          </w:p>
        </w:tc>
        <w:tc>
          <w:tcPr>
            <w:tcW w:w="1499" w:type="dxa"/>
            <w:tcBorders>
              <w:top w:val="nil"/>
              <w:left w:val="nil"/>
              <w:bottom w:val="single" w:sz="4" w:space="0" w:color="auto"/>
              <w:right w:val="single" w:sz="4" w:space="0" w:color="auto"/>
            </w:tcBorders>
            <w:shd w:val="clear" w:color="auto" w:fill="auto"/>
            <w:noWrap/>
            <w:vAlign w:val="center"/>
            <w:hideMark/>
          </w:tcPr>
          <w:p w14:paraId="0FB578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£10,145</w:t>
            </w:r>
          </w:p>
        </w:tc>
        <w:tc>
          <w:tcPr>
            <w:tcW w:w="1499" w:type="dxa"/>
            <w:tcBorders>
              <w:top w:val="nil"/>
              <w:left w:val="nil"/>
              <w:bottom w:val="single" w:sz="4" w:space="0" w:color="auto"/>
              <w:right w:val="single" w:sz="4" w:space="0" w:color="auto"/>
            </w:tcBorders>
            <w:shd w:val="clear" w:color="auto" w:fill="auto"/>
            <w:noWrap/>
            <w:vAlign w:val="center"/>
            <w:hideMark/>
          </w:tcPr>
          <w:p w14:paraId="3FD04A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£10,170</w:t>
            </w:r>
          </w:p>
        </w:tc>
        <w:tc>
          <w:tcPr>
            <w:tcW w:w="1500" w:type="dxa"/>
            <w:tcBorders>
              <w:top w:val="nil"/>
              <w:left w:val="nil"/>
              <w:bottom w:val="single" w:sz="4" w:space="0" w:color="auto"/>
              <w:right w:val="single" w:sz="4" w:space="0" w:color="auto"/>
            </w:tcBorders>
            <w:shd w:val="clear" w:color="auto" w:fill="auto"/>
            <w:noWrap/>
            <w:vAlign w:val="center"/>
            <w:hideMark/>
          </w:tcPr>
          <w:p w14:paraId="34CC25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£10,086</w:t>
            </w:r>
          </w:p>
        </w:tc>
        <w:tc>
          <w:tcPr>
            <w:tcW w:w="1843" w:type="dxa"/>
            <w:tcBorders>
              <w:top w:val="nil"/>
              <w:left w:val="nil"/>
              <w:bottom w:val="single" w:sz="4" w:space="0" w:color="auto"/>
              <w:right w:val="single" w:sz="4" w:space="0" w:color="auto"/>
            </w:tcBorders>
            <w:shd w:val="clear" w:color="auto" w:fill="auto"/>
            <w:noWrap/>
            <w:vAlign w:val="center"/>
            <w:hideMark/>
          </w:tcPr>
          <w:p w14:paraId="16C5D5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£40,635</w:t>
            </w:r>
          </w:p>
        </w:tc>
      </w:tr>
      <w:tr w:rsidR="004433D7" w:rsidRPr="004433D7" w14:paraId="211259B2"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E77EF2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1A1E136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£10,299</w:t>
            </w:r>
          </w:p>
        </w:tc>
        <w:tc>
          <w:tcPr>
            <w:tcW w:w="1499" w:type="dxa"/>
            <w:tcBorders>
              <w:top w:val="nil"/>
              <w:left w:val="nil"/>
              <w:bottom w:val="single" w:sz="4" w:space="0" w:color="auto"/>
              <w:right w:val="single" w:sz="4" w:space="0" w:color="auto"/>
            </w:tcBorders>
            <w:shd w:val="clear" w:color="auto" w:fill="auto"/>
            <w:noWrap/>
            <w:vAlign w:val="center"/>
            <w:hideMark/>
          </w:tcPr>
          <w:p w14:paraId="0EDBB3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£10,210</w:t>
            </w:r>
          </w:p>
        </w:tc>
        <w:tc>
          <w:tcPr>
            <w:tcW w:w="1499" w:type="dxa"/>
            <w:tcBorders>
              <w:top w:val="nil"/>
              <w:left w:val="nil"/>
              <w:bottom w:val="single" w:sz="4" w:space="0" w:color="auto"/>
              <w:right w:val="single" w:sz="4" w:space="0" w:color="auto"/>
            </w:tcBorders>
            <w:shd w:val="clear" w:color="auto" w:fill="auto"/>
            <w:noWrap/>
            <w:vAlign w:val="center"/>
            <w:hideMark/>
          </w:tcPr>
          <w:p w14:paraId="1D8063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500" w:type="dxa"/>
            <w:tcBorders>
              <w:top w:val="nil"/>
              <w:left w:val="nil"/>
              <w:bottom w:val="single" w:sz="4" w:space="0" w:color="auto"/>
              <w:right w:val="single" w:sz="4" w:space="0" w:color="auto"/>
            </w:tcBorders>
            <w:shd w:val="clear" w:color="auto" w:fill="auto"/>
            <w:noWrap/>
            <w:vAlign w:val="center"/>
            <w:hideMark/>
          </w:tcPr>
          <w:p w14:paraId="616A71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843" w:type="dxa"/>
            <w:tcBorders>
              <w:top w:val="nil"/>
              <w:left w:val="nil"/>
              <w:bottom w:val="single" w:sz="4" w:space="0" w:color="auto"/>
              <w:right w:val="single" w:sz="4" w:space="0" w:color="auto"/>
            </w:tcBorders>
            <w:shd w:val="clear" w:color="auto" w:fill="auto"/>
            <w:noWrap/>
            <w:vAlign w:val="center"/>
            <w:hideMark/>
          </w:tcPr>
          <w:p w14:paraId="4B874F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£20,509</w:t>
            </w:r>
          </w:p>
        </w:tc>
      </w:tr>
      <w:tr w:rsidR="004433D7" w:rsidRPr="004433D7" w14:paraId="401A856D"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807BB4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Hartree Partners Supply (UK) Limited</w:t>
            </w:r>
          </w:p>
        </w:tc>
        <w:tc>
          <w:tcPr>
            <w:tcW w:w="1499" w:type="dxa"/>
            <w:tcBorders>
              <w:top w:val="nil"/>
              <w:left w:val="nil"/>
              <w:bottom w:val="single" w:sz="4" w:space="0" w:color="auto"/>
              <w:right w:val="single" w:sz="4" w:space="0" w:color="auto"/>
            </w:tcBorders>
            <w:shd w:val="clear" w:color="auto" w:fill="auto"/>
            <w:noWrap/>
            <w:vAlign w:val="center"/>
            <w:hideMark/>
          </w:tcPr>
          <w:p w14:paraId="3BA8AD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w:t>
            </w:r>
          </w:p>
        </w:tc>
        <w:tc>
          <w:tcPr>
            <w:tcW w:w="1499" w:type="dxa"/>
            <w:tcBorders>
              <w:top w:val="nil"/>
              <w:left w:val="nil"/>
              <w:bottom w:val="single" w:sz="4" w:space="0" w:color="auto"/>
              <w:right w:val="single" w:sz="4" w:space="0" w:color="auto"/>
            </w:tcBorders>
            <w:shd w:val="clear" w:color="auto" w:fill="auto"/>
            <w:noWrap/>
            <w:vAlign w:val="center"/>
            <w:hideMark/>
          </w:tcPr>
          <w:p w14:paraId="510745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w:t>
            </w:r>
          </w:p>
        </w:tc>
        <w:tc>
          <w:tcPr>
            <w:tcW w:w="1499" w:type="dxa"/>
            <w:tcBorders>
              <w:top w:val="nil"/>
              <w:left w:val="nil"/>
              <w:bottom w:val="single" w:sz="4" w:space="0" w:color="auto"/>
              <w:right w:val="single" w:sz="4" w:space="0" w:color="auto"/>
            </w:tcBorders>
            <w:shd w:val="clear" w:color="auto" w:fill="auto"/>
            <w:noWrap/>
            <w:vAlign w:val="center"/>
            <w:hideMark/>
          </w:tcPr>
          <w:p w14:paraId="1EF595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w:t>
            </w:r>
          </w:p>
        </w:tc>
        <w:tc>
          <w:tcPr>
            <w:tcW w:w="1500" w:type="dxa"/>
            <w:tcBorders>
              <w:top w:val="nil"/>
              <w:left w:val="nil"/>
              <w:bottom w:val="single" w:sz="4" w:space="0" w:color="auto"/>
              <w:right w:val="single" w:sz="4" w:space="0" w:color="auto"/>
            </w:tcBorders>
            <w:shd w:val="clear" w:color="auto" w:fill="auto"/>
            <w:noWrap/>
            <w:vAlign w:val="center"/>
            <w:hideMark/>
          </w:tcPr>
          <w:p w14:paraId="4E85A9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w:t>
            </w:r>
          </w:p>
        </w:tc>
        <w:tc>
          <w:tcPr>
            <w:tcW w:w="1843" w:type="dxa"/>
            <w:tcBorders>
              <w:top w:val="nil"/>
              <w:left w:val="nil"/>
              <w:bottom w:val="single" w:sz="4" w:space="0" w:color="auto"/>
              <w:right w:val="single" w:sz="4" w:space="0" w:color="auto"/>
            </w:tcBorders>
            <w:shd w:val="clear" w:color="auto" w:fill="auto"/>
            <w:noWrap/>
            <w:vAlign w:val="center"/>
            <w:hideMark/>
          </w:tcPr>
          <w:p w14:paraId="78BE85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w:t>
            </w:r>
          </w:p>
        </w:tc>
      </w:tr>
      <w:tr w:rsidR="004433D7" w:rsidRPr="004433D7" w14:paraId="2752F54E"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47D892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6F028B5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£1,093,479</w:t>
            </w:r>
          </w:p>
        </w:tc>
        <w:tc>
          <w:tcPr>
            <w:tcW w:w="1499" w:type="dxa"/>
            <w:tcBorders>
              <w:top w:val="nil"/>
              <w:left w:val="nil"/>
              <w:bottom w:val="single" w:sz="4" w:space="0" w:color="auto"/>
              <w:right w:val="single" w:sz="4" w:space="0" w:color="auto"/>
            </w:tcBorders>
            <w:shd w:val="clear" w:color="auto" w:fill="auto"/>
            <w:noWrap/>
            <w:vAlign w:val="center"/>
            <w:hideMark/>
          </w:tcPr>
          <w:p w14:paraId="4FA910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£1,083,967</w:t>
            </w:r>
          </w:p>
        </w:tc>
        <w:tc>
          <w:tcPr>
            <w:tcW w:w="1499" w:type="dxa"/>
            <w:tcBorders>
              <w:top w:val="nil"/>
              <w:left w:val="nil"/>
              <w:bottom w:val="single" w:sz="4" w:space="0" w:color="auto"/>
              <w:right w:val="single" w:sz="4" w:space="0" w:color="auto"/>
            </w:tcBorders>
            <w:shd w:val="clear" w:color="auto" w:fill="auto"/>
            <w:noWrap/>
            <w:vAlign w:val="center"/>
            <w:hideMark/>
          </w:tcPr>
          <w:p w14:paraId="23DC95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£1,086,713</w:t>
            </w:r>
          </w:p>
        </w:tc>
        <w:tc>
          <w:tcPr>
            <w:tcW w:w="1500" w:type="dxa"/>
            <w:tcBorders>
              <w:top w:val="nil"/>
              <w:left w:val="nil"/>
              <w:bottom w:val="single" w:sz="4" w:space="0" w:color="auto"/>
              <w:right w:val="single" w:sz="4" w:space="0" w:color="auto"/>
            </w:tcBorders>
            <w:shd w:val="clear" w:color="auto" w:fill="auto"/>
            <w:noWrap/>
            <w:vAlign w:val="center"/>
            <w:hideMark/>
          </w:tcPr>
          <w:p w14:paraId="605BB0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£1,077,696</w:t>
            </w:r>
          </w:p>
        </w:tc>
        <w:tc>
          <w:tcPr>
            <w:tcW w:w="1843" w:type="dxa"/>
            <w:tcBorders>
              <w:top w:val="nil"/>
              <w:left w:val="nil"/>
              <w:bottom w:val="single" w:sz="4" w:space="0" w:color="auto"/>
              <w:right w:val="single" w:sz="4" w:space="0" w:color="auto"/>
            </w:tcBorders>
            <w:shd w:val="clear" w:color="auto" w:fill="auto"/>
            <w:noWrap/>
            <w:vAlign w:val="center"/>
            <w:hideMark/>
          </w:tcPr>
          <w:p w14:paraId="389AD7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£4,341,855</w:t>
            </w:r>
          </w:p>
        </w:tc>
      </w:tr>
      <w:tr w:rsidR="004433D7" w:rsidRPr="004433D7" w14:paraId="523C445B"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499790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 Supply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7EC56E5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£57,064</w:t>
            </w:r>
          </w:p>
        </w:tc>
        <w:tc>
          <w:tcPr>
            <w:tcW w:w="1499" w:type="dxa"/>
            <w:tcBorders>
              <w:top w:val="nil"/>
              <w:left w:val="nil"/>
              <w:bottom w:val="single" w:sz="4" w:space="0" w:color="auto"/>
              <w:right w:val="single" w:sz="4" w:space="0" w:color="auto"/>
            </w:tcBorders>
            <w:shd w:val="clear" w:color="auto" w:fill="auto"/>
            <w:noWrap/>
            <w:vAlign w:val="center"/>
            <w:hideMark/>
          </w:tcPr>
          <w:p w14:paraId="7725F2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£56,568</w:t>
            </w:r>
          </w:p>
        </w:tc>
        <w:tc>
          <w:tcPr>
            <w:tcW w:w="1499" w:type="dxa"/>
            <w:tcBorders>
              <w:top w:val="nil"/>
              <w:left w:val="nil"/>
              <w:bottom w:val="single" w:sz="4" w:space="0" w:color="auto"/>
              <w:right w:val="single" w:sz="4" w:space="0" w:color="auto"/>
            </w:tcBorders>
            <w:shd w:val="clear" w:color="auto" w:fill="auto"/>
            <w:noWrap/>
            <w:vAlign w:val="center"/>
            <w:hideMark/>
          </w:tcPr>
          <w:p w14:paraId="05DB4A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500" w:type="dxa"/>
            <w:tcBorders>
              <w:top w:val="nil"/>
              <w:left w:val="nil"/>
              <w:bottom w:val="single" w:sz="4" w:space="0" w:color="auto"/>
              <w:right w:val="single" w:sz="4" w:space="0" w:color="auto"/>
            </w:tcBorders>
            <w:shd w:val="clear" w:color="auto" w:fill="auto"/>
            <w:noWrap/>
            <w:vAlign w:val="center"/>
            <w:hideMark/>
          </w:tcPr>
          <w:p w14:paraId="48C552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843" w:type="dxa"/>
            <w:tcBorders>
              <w:top w:val="nil"/>
              <w:left w:val="nil"/>
              <w:bottom w:val="single" w:sz="4" w:space="0" w:color="auto"/>
              <w:right w:val="single" w:sz="4" w:space="0" w:color="auto"/>
            </w:tcBorders>
            <w:shd w:val="clear" w:color="auto" w:fill="auto"/>
            <w:noWrap/>
            <w:vAlign w:val="center"/>
            <w:hideMark/>
          </w:tcPr>
          <w:p w14:paraId="54EAE4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£113,632</w:t>
            </w:r>
          </w:p>
        </w:tc>
      </w:tr>
      <w:tr w:rsidR="004433D7" w:rsidRPr="004433D7" w14:paraId="51DC3A7E"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D172B4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2CE422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£35,936</w:t>
            </w:r>
          </w:p>
        </w:tc>
        <w:tc>
          <w:tcPr>
            <w:tcW w:w="1499" w:type="dxa"/>
            <w:tcBorders>
              <w:top w:val="nil"/>
              <w:left w:val="nil"/>
              <w:bottom w:val="single" w:sz="4" w:space="0" w:color="auto"/>
              <w:right w:val="single" w:sz="4" w:space="0" w:color="auto"/>
            </w:tcBorders>
            <w:shd w:val="clear" w:color="auto" w:fill="auto"/>
            <w:noWrap/>
            <w:vAlign w:val="center"/>
            <w:hideMark/>
          </w:tcPr>
          <w:p w14:paraId="471CB9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£35,623</w:t>
            </w:r>
          </w:p>
        </w:tc>
        <w:tc>
          <w:tcPr>
            <w:tcW w:w="1499" w:type="dxa"/>
            <w:tcBorders>
              <w:top w:val="nil"/>
              <w:left w:val="nil"/>
              <w:bottom w:val="single" w:sz="4" w:space="0" w:color="auto"/>
              <w:right w:val="single" w:sz="4" w:space="0" w:color="auto"/>
            </w:tcBorders>
            <w:shd w:val="clear" w:color="auto" w:fill="auto"/>
            <w:noWrap/>
            <w:vAlign w:val="center"/>
            <w:hideMark/>
          </w:tcPr>
          <w:p w14:paraId="340E40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£35,713</w:t>
            </w:r>
          </w:p>
        </w:tc>
        <w:tc>
          <w:tcPr>
            <w:tcW w:w="1500" w:type="dxa"/>
            <w:tcBorders>
              <w:top w:val="nil"/>
              <w:left w:val="nil"/>
              <w:bottom w:val="single" w:sz="4" w:space="0" w:color="auto"/>
              <w:right w:val="single" w:sz="4" w:space="0" w:color="auto"/>
            </w:tcBorders>
            <w:shd w:val="clear" w:color="auto" w:fill="auto"/>
            <w:noWrap/>
            <w:vAlign w:val="center"/>
            <w:hideMark/>
          </w:tcPr>
          <w:p w14:paraId="21D715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£35,417</w:t>
            </w:r>
          </w:p>
        </w:tc>
        <w:tc>
          <w:tcPr>
            <w:tcW w:w="1843" w:type="dxa"/>
            <w:tcBorders>
              <w:top w:val="nil"/>
              <w:left w:val="nil"/>
              <w:bottom w:val="single" w:sz="4" w:space="0" w:color="auto"/>
              <w:right w:val="single" w:sz="4" w:space="0" w:color="auto"/>
            </w:tcBorders>
            <w:shd w:val="clear" w:color="auto" w:fill="auto"/>
            <w:noWrap/>
            <w:vAlign w:val="center"/>
            <w:hideMark/>
          </w:tcPr>
          <w:p w14:paraId="5367D8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£142,689</w:t>
            </w:r>
          </w:p>
        </w:tc>
      </w:tr>
      <w:tr w:rsidR="004433D7" w:rsidRPr="004433D7" w14:paraId="44B5428B"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8BCC3F3"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Limejump</w:t>
            </w:r>
            <w:proofErr w:type="spellEnd"/>
            <w:r w:rsidRPr="004433D7">
              <w:rPr>
                <w:rFonts w:eastAsia="Times New Roman" w:cs="Times New Roman"/>
                <w:color w:val="000000"/>
                <w:sz w:val="16"/>
                <w:szCs w:val="16"/>
              </w:rPr>
              <w:t xml:space="preserve">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4CB602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£337</w:t>
            </w:r>
          </w:p>
        </w:tc>
        <w:tc>
          <w:tcPr>
            <w:tcW w:w="1499" w:type="dxa"/>
            <w:tcBorders>
              <w:top w:val="nil"/>
              <w:left w:val="nil"/>
              <w:bottom w:val="single" w:sz="4" w:space="0" w:color="auto"/>
              <w:right w:val="single" w:sz="4" w:space="0" w:color="auto"/>
            </w:tcBorders>
            <w:shd w:val="clear" w:color="auto" w:fill="auto"/>
            <w:noWrap/>
            <w:vAlign w:val="center"/>
            <w:hideMark/>
          </w:tcPr>
          <w:p w14:paraId="7D868A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£334</w:t>
            </w:r>
          </w:p>
        </w:tc>
        <w:tc>
          <w:tcPr>
            <w:tcW w:w="1499" w:type="dxa"/>
            <w:tcBorders>
              <w:top w:val="nil"/>
              <w:left w:val="nil"/>
              <w:bottom w:val="single" w:sz="4" w:space="0" w:color="auto"/>
              <w:right w:val="single" w:sz="4" w:space="0" w:color="auto"/>
            </w:tcBorders>
            <w:shd w:val="clear" w:color="auto" w:fill="auto"/>
            <w:noWrap/>
            <w:vAlign w:val="center"/>
            <w:hideMark/>
          </w:tcPr>
          <w:p w14:paraId="2D727D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£335</w:t>
            </w:r>
          </w:p>
        </w:tc>
        <w:tc>
          <w:tcPr>
            <w:tcW w:w="1500" w:type="dxa"/>
            <w:tcBorders>
              <w:top w:val="nil"/>
              <w:left w:val="nil"/>
              <w:bottom w:val="single" w:sz="4" w:space="0" w:color="auto"/>
              <w:right w:val="single" w:sz="4" w:space="0" w:color="auto"/>
            </w:tcBorders>
            <w:shd w:val="clear" w:color="auto" w:fill="auto"/>
            <w:noWrap/>
            <w:vAlign w:val="center"/>
            <w:hideMark/>
          </w:tcPr>
          <w:p w14:paraId="1C45D0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£332</w:t>
            </w:r>
          </w:p>
        </w:tc>
        <w:tc>
          <w:tcPr>
            <w:tcW w:w="1843" w:type="dxa"/>
            <w:tcBorders>
              <w:top w:val="nil"/>
              <w:left w:val="nil"/>
              <w:bottom w:val="single" w:sz="4" w:space="0" w:color="auto"/>
              <w:right w:val="single" w:sz="4" w:space="0" w:color="auto"/>
            </w:tcBorders>
            <w:shd w:val="clear" w:color="auto" w:fill="auto"/>
            <w:noWrap/>
            <w:vAlign w:val="center"/>
            <w:hideMark/>
          </w:tcPr>
          <w:p w14:paraId="3D56C4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£1,338</w:t>
            </w:r>
          </w:p>
        </w:tc>
      </w:tr>
      <w:tr w:rsidR="004433D7" w:rsidRPr="004433D7" w14:paraId="1CED46A0"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8C6AB6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lastRenderedPageBreak/>
              <w:t>MVV Environment Services Limited</w:t>
            </w:r>
          </w:p>
        </w:tc>
        <w:tc>
          <w:tcPr>
            <w:tcW w:w="1499" w:type="dxa"/>
            <w:tcBorders>
              <w:top w:val="nil"/>
              <w:left w:val="nil"/>
              <w:bottom w:val="single" w:sz="4" w:space="0" w:color="auto"/>
              <w:right w:val="single" w:sz="4" w:space="0" w:color="auto"/>
            </w:tcBorders>
            <w:shd w:val="clear" w:color="auto" w:fill="auto"/>
            <w:noWrap/>
            <w:vAlign w:val="center"/>
            <w:hideMark/>
          </w:tcPr>
          <w:p w14:paraId="78AA97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£266</w:t>
            </w:r>
          </w:p>
        </w:tc>
        <w:tc>
          <w:tcPr>
            <w:tcW w:w="1499" w:type="dxa"/>
            <w:tcBorders>
              <w:top w:val="nil"/>
              <w:left w:val="nil"/>
              <w:bottom w:val="single" w:sz="4" w:space="0" w:color="auto"/>
              <w:right w:val="single" w:sz="4" w:space="0" w:color="auto"/>
            </w:tcBorders>
            <w:shd w:val="clear" w:color="auto" w:fill="auto"/>
            <w:noWrap/>
            <w:vAlign w:val="center"/>
            <w:hideMark/>
          </w:tcPr>
          <w:p w14:paraId="43872BF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£264</w:t>
            </w:r>
          </w:p>
        </w:tc>
        <w:tc>
          <w:tcPr>
            <w:tcW w:w="1499" w:type="dxa"/>
            <w:tcBorders>
              <w:top w:val="nil"/>
              <w:left w:val="nil"/>
              <w:bottom w:val="single" w:sz="4" w:space="0" w:color="auto"/>
              <w:right w:val="single" w:sz="4" w:space="0" w:color="auto"/>
            </w:tcBorders>
            <w:shd w:val="clear" w:color="auto" w:fill="auto"/>
            <w:noWrap/>
            <w:vAlign w:val="center"/>
            <w:hideMark/>
          </w:tcPr>
          <w:p w14:paraId="33AF6D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£264</w:t>
            </w:r>
          </w:p>
        </w:tc>
        <w:tc>
          <w:tcPr>
            <w:tcW w:w="1500" w:type="dxa"/>
            <w:tcBorders>
              <w:top w:val="nil"/>
              <w:left w:val="nil"/>
              <w:bottom w:val="single" w:sz="4" w:space="0" w:color="auto"/>
              <w:right w:val="single" w:sz="4" w:space="0" w:color="auto"/>
            </w:tcBorders>
            <w:shd w:val="clear" w:color="auto" w:fill="auto"/>
            <w:noWrap/>
            <w:vAlign w:val="center"/>
            <w:hideMark/>
          </w:tcPr>
          <w:p w14:paraId="6C0A1EC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£262</w:t>
            </w:r>
          </w:p>
        </w:tc>
        <w:tc>
          <w:tcPr>
            <w:tcW w:w="1843" w:type="dxa"/>
            <w:tcBorders>
              <w:top w:val="nil"/>
              <w:left w:val="nil"/>
              <w:bottom w:val="single" w:sz="4" w:space="0" w:color="auto"/>
              <w:right w:val="single" w:sz="4" w:space="0" w:color="auto"/>
            </w:tcBorders>
            <w:shd w:val="clear" w:color="auto" w:fill="auto"/>
            <w:noWrap/>
            <w:vAlign w:val="center"/>
            <w:hideMark/>
          </w:tcPr>
          <w:p w14:paraId="5B4C65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£1,056</w:t>
            </w:r>
          </w:p>
        </w:tc>
      </w:tr>
      <w:tr w:rsidR="004433D7" w:rsidRPr="004433D7" w14:paraId="4440C978"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5BB327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499" w:type="dxa"/>
            <w:tcBorders>
              <w:top w:val="nil"/>
              <w:left w:val="nil"/>
              <w:bottom w:val="single" w:sz="4" w:space="0" w:color="auto"/>
              <w:right w:val="single" w:sz="4" w:space="0" w:color="auto"/>
            </w:tcBorders>
            <w:shd w:val="clear" w:color="auto" w:fill="auto"/>
            <w:noWrap/>
            <w:vAlign w:val="center"/>
            <w:hideMark/>
          </w:tcPr>
          <w:p w14:paraId="098B6D2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£50,532</w:t>
            </w:r>
          </w:p>
        </w:tc>
        <w:tc>
          <w:tcPr>
            <w:tcW w:w="1499" w:type="dxa"/>
            <w:tcBorders>
              <w:top w:val="nil"/>
              <w:left w:val="nil"/>
              <w:bottom w:val="single" w:sz="4" w:space="0" w:color="auto"/>
              <w:right w:val="single" w:sz="4" w:space="0" w:color="auto"/>
            </w:tcBorders>
            <w:shd w:val="clear" w:color="auto" w:fill="auto"/>
            <w:noWrap/>
            <w:vAlign w:val="center"/>
            <w:hideMark/>
          </w:tcPr>
          <w:p w14:paraId="44E813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£50,092</w:t>
            </w:r>
          </w:p>
        </w:tc>
        <w:tc>
          <w:tcPr>
            <w:tcW w:w="1499" w:type="dxa"/>
            <w:tcBorders>
              <w:top w:val="nil"/>
              <w:left w:val="nil"/>
              <w:bottom w:val="single" w:sz="4" w:space="0" w:color="auto"/>
              <w:right w:val="single" w:sz="4" w:space="0" w:color="auto"/>
            </w:tcBorders>
            <w:shd w:val="clear" w:color="auto" w:fill="auto"/>
            <w:noWrap/>
            <w:vAlign w:val="center"/>
            <w:hideMark/>
          </w:tcPr>
          <w:p w14:paraId="163EA3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£50,219</w:t>
            </w:r>
          </w:p>
        </w:tc>
        <w:tc>
          <w:tcPr>
            <w:tcW w:w="1500" w:type="dxa"/>
            <w:tcBorders>
              <w:top w:val="nil"/>
              <w:left w:val="nil"/>
              <w:bottom w:val="single" w:sz="4" w:space="0" w:color="auto"/>
              <w:right w:val="single" w:sz="4" w:space="0" w:color="auto"/>
            </w:tcBorders>
            <w:shd w:val="clear" w:color="auto" w:fill="auto"/>
            <w:noWrap/>
            <w:vAlign w:val="center"/>
            <w:hideMark/>
          </w:tcPr>
          <w:p w14:paraId="7C1164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£49,802</w:t>
            </w:r>
          </w:p>
        </w:tc>
        <w:tc>
          <w:tcPr>
            <w:tcW w:w="1843" w:type="dxa"/>
            <w:tcBorders>
              <w:top w:val="nil"/>
              <w:left w:val="nil"/>
              <w:bottom w:val="single" w:sz="4" w:space="0" w:color="auto"/>
              <w:right w:val="single" w:sz="4" w:space="0" w:color="auto"/>
            </w:tcBorders>
            <w:shd w:val="clear" w:color="auto" w:fill="auto"/>
            <w:noWrap/>
            <w:vAlign w:val="center"/>
            <w:hideMark/>
          </w:tcPr>
          <w:p w14:paraId="425B510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£200,645</w:t>
            </w:r>
          </w:p>
        </w:tc>
      </w:tr>
      <w:tr w:rsidR="004433D7" w:rsidRPr="004433D7" w14:paraId="4872D141"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47DDC7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6B7F42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£1,879,793</w:t>
            </w:r>
          </w:p>
        </w:tc>
        <w:tc>
          <w:tcPr>
            <w:tcW w:w="1499" w:type="dxa"/>
            <w:tcBorders>
              <w:top w:val="nil"/>
              <w:left w:val="nil"/>
              <w:bottom w:val="single" w:sz="4" w:space="0" w:color="auto"/>
              <w:right w:val="single" w:sz="4" w:space="0" w:color="auto"/>
            </w:tcBorders>
            <w:shd w:val="clear" w:color="auto" w:fill="auto"/>
            <w:noWrap/>
            <w:vAlign w:val="center"/>
            <w:hideMark/>
          </w:tcPr>
          <w:p w14:paraId="0C272C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£1,863,440</w:t>
            </w:r>
          </w:p>
        </w:tc>
        <w:tc>
          <w:tcPr>
            <w:tcW w:w="1499" w:type="dxa"/>
            <w:tcBorders>
              <w:top w:val="nil"/>
              <w:left w:val="nil"/>
              <w:bottom w:val="single" w:sz="4" w:space="0" w:color="auto"/>
              <w:right w:val="single" w:sz="4" w:space="0" w:color="auto"/>
            </w:tcBorders>
            <w:shd w:val="clear" w:color="auto" w:fill="auto"/>
            <w:noWrap/>
            <w:vAlign w:val="center"/>
            <w:hideMark/>
          </w:tcPr>
          <w:p w14:paraId="55D2AD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£1,868,162</w:t>
            </w:r>
          </w:p>
        </w:tc>
        <w:tc>
          <w:tcPr>
            <w:tcW w:w="1500" w:type="dxa"/>
            <w:tcBorders>
              <w:top w:val="nil"/>
              <w:left w:val="nil"/>
              <w:bottom w:val="single" w:sz="4" w:space="0" w:color="auto"/>
              <w:right w:val="single" w:sz="4" w:space="0" w:color="auto"/>
            </w:tcBorders>
            <w:shd w:val="clear" w:color="auto" w:fill="auto"/>
            <w:noWrap/>
            <w:vAlign w:val="center"/>
            <w:hideMark/>
          </w:tcPr>
          <w:p w14:paraId="0E4D03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£1,852,661</w:t>
            </w:r>
          </w:p>
        </w:tc>
        <w:tc>
          <w:tcPr>
            <w:tcW w:w="1843" w:type="dxa"/>
            <w:tcBorders>
              <w:top w:val="nil"/>
              <w:left w:val="nil"/>
              <w:bottom w:val="single" w:sz="4" w:space="0" w:color="auto"/>
              <w:right w:val="single" w:sz="4" w:space="0" w:color="auto"/>
            </w:tcBorders>
            <w:shd w:val="clear" w:color="auto" w:fill="auto"/>
            <w:noWrap/>
            <w:vAlign w:val="center"/>
            <w:hideMark/>
          </w:tcPr>
          <w:p w14:paraId="3B83C03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£7,464,056</w:t>
            </w:r>
          </w:p>
        </w:tc>
      </w:tr>
      <w:tr w:rsidR="004433D7" w:rsidRPr="004433D7" w14:paraId="1BFA0B62"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7D2966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499" w:type="dxa"/>
            <w:tcBorders>
              <w:top w:val="nil"/>
              <w:left w:val="nil"/>
              <w:bottom w:val="single" w:sz="4" w:space="0" w:color="auto"/>
              <w:right w:val="single" w:sz="4" w:space="0" w:color="auto"/>
            </w:tcBorders>
            <w:shd w:val="clear" w:color="auto" w:fill="auto"/>
            <w:noWrap/>
            <w:vAlign w:val="center"/>
            <w:hideMark/>
          </w:tcPr>
          <w:p w14:paraId="64E208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£461,836</w:t>
            </w:r>
          </w:p>
        </w:tc>
        <w:tc>
          <w:tcPr>
            <w:tcW w:w="1499" w:type="dxa"/>
            <w:tcBorders>
              <w:top w:val="nil"/>
              <w:left w:val="nil"/>
              <w:bottom w:val="single" w:sz="4" w:space="0" w:color="auto"/>
              <w:right w:val="single" w:sz="4" w:space="0" w:color="auto"/>
            </w:tcBorders>
            <w:shd w:val="clear" w:color="auto" w:fill="auto"/>
            <w:noWrap/>
            <w:vAlign w:val="center"/>
            <w:hideMark/>
          </w:tcPr>
          <w:p w14:paraId="4E7775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£457,818</w:t>
            </w:r>
          </w:p>
        </w:tc>
        <w:tc>
          <w:tcPr>
            <w:tcW w:w="1499" w:type="dxa"/>
            <w:tcBorders>
              <w:top w:val="nil"/>
              <w:left w:val="nil"/>
              <w:bottom w:val="single" w:sz="4" w:space="0" w:color="auto"/>
              <w:right w:val="single" w:sz="4" w:space="0" w:color="auto"/>
            </w:tcBorders>
            <w:shd w:val="clear" w:color="auto" w:fill="auto"/>
            <w:noWrap/>
            <w:vAlign w:val="center"/>
            <w:hideMark/>
          </w:tcPr>
          <w:p w14:paraId="57F162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£458,978</w:t>
            </w:r>
          </w:p>
        </w:tc>
        <w:tc>
          <w:tcPr>
            <w:tcW w:w="1500" w:type="dxa"/>
            <w:tcBorders>
              <w:top w:val="nil"/>
              <w:left w:val="nil"/>
              <w:bottom w:val="single" w:sz="4" w:space="0" w:color="auto"/>
              <w:right w:val="single" w:sz="4" w:space="0" w:color="auto"/>
            </w:tcBorders>
            <w:shd w:val="clear" w:color="auto" w:fill="auto"/>
            <w:noWrap/>
            <w:vAlign w:val="center"/>
            <w:hideMark/>
          </w:tcPr>
          <w:p w14:paraId="6253D9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£455,170</w:t>
            </w:r>
          </w:p>
        </w:tc>
        <w:tc>
          <w:tcPr>
            <w:tcW w:w="1843" w:type="dxa"/>
            <w:tcBorders>
              <w:top w:val="nil"/>
              <w:left w:val="nil"/>
              <w:bottom w:val="single" w:sz="4" w:space="0" w:color="auto"/>
              <w:right w:val="single" w:sz="4" w:space="0" w:color="auto"/>
            </w:tcBorders>
            <w:shd w:val="clear" w:color="auto" w:fill="auto"/>
            <w:noWrap/>
            <w:vAlign w:val="center"/>
            <w:hideMark/>
          </w:tcPr>
          <w:p w14:paraId="45D51E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£1,833,802</w:t>
            </w:r>
          </w:p>
        </w:tc>
      </w:tr>
      <w:tr w:rsidR="004433D7" w:rsidRPr="004433D7" w14:paraId="3B7A4E2A"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2937A4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499" w:type="dxa"/>
            <w:tcBorders>
              <w:top w:val="nil"/>
              <w:left w:val="nil"/>
              <w:bottom w:val="single" w:sz="4" w:space="0" w:color="auto"/>
              <w:right w:val="single" w:sz="4" w:space="0" w:color="auto"/>
            </w:tcBorders>
            <w:shd w:val="clear" w:color="auto" w:fill="auto"/>
            <w:noWrap/>
            <w:vAlign w:val="center"/>
            <w:hideMark/>
          </w:tcPr>
          <w:p w14:paraId="4EC6E1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£47,287</w:t>
            </w:r>
          </w:p>
        </w:tc>
        <w:tc>
          <w:tcPr>
            <w:tcW w:w="1499" w:type="dxa"/>
            <w:tcBorders>
              <w:top w:val="nil"/>
              <w:left w:val="nil"/>
              <w:bottom w:val="single" w:sz="4" w:space="0" w:color="auto"/>
              <w:right w:val="single" w:sz="4" w:space="0" w:color="auto"/>
            </w:tcBorders>
            <w:shd w:val="clear" w:color="auto" w:fill="auto"/>
            <w:noWrap/>
            <w:vAlign w:val="center"/>
            <w:hideMark/>
          </w:tcPr>
          <w:p w14:paraId="3EB8ED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£46,876</w:t>
            </w:r>
          </w:p>
        </w:tc>
        <w:tc>
          <w:tcPr>
            <w:tcW w:w="1499" w:type="dxa"/>
            <w:tcBorders>
              <w:top w:val="nil"/>
              <w:left w:val="nil"/>
              <w:bottom w:val="single" w:sz="4" w:space="0" w:color="auto"/>
              <w:right w:val="single" w:sz="4" w:space="0" w:color="auto"/>
            </w:tcBorders>
            <w:shd w:val="clear" w:color="auto" w:fill="auto"/>
            <w:noWrap/>
            <w:vAlign w:val="center"/>
            <w:hideMark/>
          </w:tcPr>
          <w:p w14:paraId="5772F7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£46,994</w:t>
            </w:r>
          </w:p>
        </w:tc>
        <w:tc>
          <w:tcPr>
            <w:tcW w:w="1500" w:type="dxa"/>
            <w:tcBorders>
              <w:top w:val="nil"/>
              <w:left w:val="nil"/>
              <w:bottom w:val="single" w:sz="4" w:space="0" w:color="auto"/>
              <w:right w:val="single" w:sz="4" w:space="0" w:color="auto"/>
            </w:tcBorders>
            <w:shd w:val="clear" w:color="auto" w:fill="auto"/>
            <w:noWrap/>
            <w:vAlign w:val="center"/>
            <w:hideMark/>
          </w:tcPr>
          <w:p w14:paraId="708D29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£46,604</w:t>
            </w:r>
          </w:p>
        </w:tc>
        <w:tc>
          <w:tcPr>
            <w:tcW w:w="1843" w:type="dxa"/>
            <w:tcBorders>
              <w:top w:val="nil"/>
              <w:left w:val="nil"/>
              <w:bottom w:val="single" w:sz="4" w:space="0" w:color="auto"/>
              <w:right w:val="single" w:sz="4" w:space="0" w:color="auto"/>
            </w:tcBorders>
            <w:shd w:val="clear" w:color="auto" w:fill="auto"/>
            <w:noWrap/>
            <w:vAlign w:val="center"/>
            <w:hideMark/>
          </w:tcPr>
          <w:p w14:paraId="7272DC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£187,761</w:t>
            </w:r>
          </w:p>
        </w:tc>
      </w:tr>
      <w:tr w:rsidR="004433D7" w:rsidRPr="004433D7" w14:paraId="3CA21D85"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E15732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77EF8D7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£1,561</w:t>
            </w:r>
          </w:p>
        </w:tc>
        <w:tc>
          <w:tcPr>
            <w:tcW w:w="1499" w:type="dxa"/>
            <w:tcBorders>
              <w:top w:val="nil"/>
              <w:left w:val="nil"/>
              <w:bottom w:val="single" w:sz="4" w:space="0" w:color="auto"/>
              <w:right w:val="single" w:sz="4" w:space="0" w:color="auto"/>
            </w:tcBorders>
            <w:shd w:val="clear" w:color="auto" w:fill="auto"/>
            <w:noWrap/>
            <w:vAlign w:val="center"/>
            <w:hideMark/>
          </w:tcPr>
          <w:p w14:paraId="3C12D01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£1,548</w:t>
            </w:r>
          </w:p>
        </w:tc>
        <w:tc>
          <w:tcPr>
            <w:tcW w:w="1499" w:type="dxa"/>
            <w:tcBorders>
              <w:top w:val="nil"/>
              <w:left w:val="nil"/>
              <w:bottom w:val="single" w:sz="4" w:space="0" w:color="auto"/>
              <w:right w:val="single" w:sz="4" w:space="0" w:color="auto"/>
            </w:tcBorders>
            <w:shd w:val="clear" w:color="auto" w:fill="auto"/>
            <w:noWrap/>
            <w:vAlign w:val="center"/>
            <w:hideMark/>
          </w:tcPr>
          <w:p w14:paraId="38C5F5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£1,551</w:t>
            </w:r>
          </w:p>
        </w:tc>
        <w:tc>
          <w:tcPr>
            <w:tcW w:w="1500" w:type="dxa"/>
            <w:tcBorders>
              <w:top w:val="nil"/>
              <w:left w:val="nil"/>
              <w:bottom w:val="single" w:sz="4" w:space="0" w:color="auto"/>
              <w:right w:val="single" w:sz="4" w:space="0" w:color="auto"/>
            </w:tcBorders>
            <w:shd w:val="clear" w:color="auto" w:fill="auto"/>
            <w:noWrap/>
            <w:vAlign w:val="center"/>
            <w:hideMark/>
          </w:tcPr>
          <w:p w14:paraId="1D6E8F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£1,539</w:t>
            </w:r>
          </w:p>
        </w:tc>
        <w:tc>
          <w:tcPr>
            <w:tcW w:w="1843" w:type="dxa"/>
            <w:tcBorders>
              <w:top w:val="nil"/>
              <w:left w:val="nil"/>
              <w:bottom w:val="single" w:sz="4" w:space="0" w:color="auto"/>
              <w:right w:val="single" w:sz="4" w:space="0" w:color="auto"/>
            </w:tcBorders>
            <w:shd w:val="clear" w:color="auto" w:fill="auto"/>
            <w:noWrap/>
            <w:vAlign w:val="center"/>
            <w:hideMark/>
          </w:tcPr>
          <w:p w14:paraId="3591FC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£6,199</w:t>
            </w:r>
          </w:p>
        </w:tc>
      </w:tr>
      <w:tr w:rsidR="004433D7" w:rsidRPr="004433D7" w14:paraId="01B04770"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2533AF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499" w:type="dxa"/>
            <w:tcBorders>
              <w:top w:val="nil"/>
              <w:left w:val="nil"/>
              <w:bottom w:val="single" w:sz="4" w:space="0" w:color="auto"/>
              <w:right w:val="single" w:sz="4" w:space="0" w:color="auto"/>
            </w:tcBorders>
            <w:shd w:val="clear" w:color="auto" w:fill="auto"/>
            <w:noWrap/>
            <w:vAlign w:val="center"/>
            <w:hideMark/>
          </w:tcPr>
          <w:p w14:paraId="3E0A63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£207,903</w:t>
            </w:r>
          </w:p>
        </w:tc>
        <w:tc>
          <w:tcPr>
            <w:tcW w:w="1499" w:type="dxa"/>
            <w:tcBorders>
              <w:top w:val="nil"/>
              <w:left w:val="nil"/>
              <w:bottom w:val="single" w:sz="4" w:space="0" w:color="auto"/>
              <w:right w:val="single" w:sz="4" w:space="0" w:color="auto"/>
            </w:tcBorders>
            <w:shd w:val="clear" w:color="auto" w:fill="auto"/>
            <w:noWrap/>
            <w:vAlign w:val="center"/>
            <w:hideMark/>
          </w:tcPr>
          <w:p w14:paraId="2F975DA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£206,094</w:t>
            </w:r>
          </w:p>
        </w:tc>
        <w:tc>
          <w:tcPr>
            <w:tcW w:w="1499" w:type="dxa"/>
            <w:tcBorders>
              <w:top w:val="nil"/>
              <w:left w:val="nil"/>
              <w:bottom w:val="single" w:sz="4" w:space="0" w:color="auto"/>
              <w:right w:val="single" w:sz="4" w:space="0" w:color="auto"/>
            </w:tcBorders>
            <w:shd w:val="clear" w:color="auto" w:fill="auto"/>
            <w:noWrap/>
            <w:vAlign w:val="center"/>
            <w:hideMark/>
          </w:tcPr>
          <w:p w14:paraId="5CF055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£206,616</w:t>
            </w:r>
          </w:p>
        </w:tc>
        <w:tc>
          <w:tcPr>
            <w:tcW w:w="1500" w:type="dxa"/>
            <w:tcBorders>
              <w:top w:val="nil"/>
              <w:left w:val="nil"/>
              <w:bottom w:val="single" w:sz="4" w:space="0" w:color="auto"/>
              <w:right w:val="single" w:sz="4" w:space="0" w:color="auto"/>
            </w:tcBorders>
            <w:shd w:val="clear" w:color="auto" w:fill="auto"/>
            <w:noWrap/>
            <w:vAlign w:val="center"/>
            <w:hideMark/>
          </w:tcPr>
          <w:p w14:paraId="0B07A3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£204,902</w:t>
            </w:r>
          </w:p>
        </w:tc>
        <w:tc>
          <w:tcPr>
            <w:tcW w:w="1843" w:type="dxa"/>
            <w:tcBorders>
              <w:top w:val="nil"/>
              <w:left w:val="nil"/>
              <w:bottom w:val="single" w:sz="4" w:space="0" w:color="auto"/>
              <w:right w:val="single" w:sz="4" w:space="0" w:color="auto"/>
            </w:tcBorders>
            <w:shd w:val="clear" w:color="auto" w:fill="auto"/>
            <w:noWrap/>
            <w:vAlign w:val="center"/>
            <w:hideMark/>
          </w:tcPr>
          <w:p w14:paraId="3F0A1A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£825,515</w:t>
            </w:r>
          </w:p>
        </w:tc>
      </w:tr>
      <w:tr w:rsidR="004433D7" w:rsidRPr="004433D7" w14:paraId="7C120BB0"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2B13C7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4468DA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£224,903</w:t>
            </w:r>
          </w:p>
        </w:tc>
        <w:tc>
          <w:tcPr>
            <w:tcW w:w="1499" w:type="dxa"/>
            <w:tcBorders>
              <w:top w:val="nil"/>
              <w:left w:val="nil"/>
              <w:bottom w:val="single" w:sz="4" w:space="0" w:color="auto"/>
              <w:right w:val="single" w:sz="4" w:space="0" w:color="auto"/>
            </w:tcBorders>
            <w:shd w:val="clear" w:color="auto" w:fill="auto"/>
            <w:noWrap/>
            <w:vAlign w:val="center"/>
            <w:hideMark/>
          </w:tcPr>
          <w:p w14:paraId="05905F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£222,947</w:t>
            </w:r>
          </w:p>
        </w:tc>
        <w:tc>
          <w:tcPr>
            <w:tcW w:w="1499" w:type="dxa"/>
            <w:tcBorders>
              <w:top w:val="nil"/>
              <w:left w:val="nil"/>
              <w:bottom w:val="single" w:sz="4" w:space="0" w:color="auto"/>
              <w:right w:val="single" w:sz="4" w:space="0" w:color="auto"/>
            </w:tcBorders>
            <w:shd w:val="clear" w:color="auto" w:fill="auto"/>
            <w:noWrap/>
            <w:vAlign w:val="center"/>
            <w:hideMark/>
          </w:tcPr>
          <w:p w14:paraId="0EAC1A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£223,512</w:t>
            </w:r>
          </w:p>
        </w:tc>
        <w:tc>
          <w:tcPr>
            <w:tcW w:w="1500" w:type="dxa"/>
            <w:tcBorders>
              <w:top w:val="nil"/>
              <w:left w:val="nil"/>
              <w:bottom w:val="single" w:sz="4" w:space="0" w:color="auto"/>
              <w:right w:val="single" w:sz="4" w:space="0" w:color="auto"/>
            </w:tcBorders>
            <w:shd w:val="clear" w:color="auto" w:fill="auto"/>
            <w:noWrap/>
            <w:vAlign w:val="center"/>
            <w:hideMark/>
          </w:tcPr>
          <w:p w14:paraId="7B89FC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£221,657</w:t>
            </w:r>
          </w:p>
        </w:tc>
        <w:tc>
          <w:tcPr>
            <w:tcW w:w="1843" w:type="dxa"/>
            <w:tcBorders>
              <w:top w:val="nil"/>
              <w:left w:val="nil"/>
              <w:bottom w:val="single" w:sz="4" w:space="0" w:color="auto"/>
              <w:right w:val="single" w:sz="4" w:space="0" w:color="auto"/>
            </w:tcBorders>
            <w:shd w:val="clear" w:color="auto" w:fill="auto"/>
            <w:noWrap/>
            <w:vAlign w:val="center"/>
            <w:hideMark/>
          </w:tcPr>
          <w:p w14:paraId="77AE7D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£893,019</w:t>
            </w:r>
          </w:p>
        </w:tc>
      </w:tr>
      <w:tr w:rsidR="004433D7" w:rsidRPr="004433D7" w14:paraId="4976D332"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B575DF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Orbit Energy Limited </w:t>
            </w:r>
          </w:p>
        </w:tc>
        <w:tc>
          <w:tcPr>
            <w:tcW w:w="1499" w:type="dxa"/>
            <w:tcBorders>
              <w:top w:val="nil"/>
              <w:left w:val="nil"/>
              <w:bottom w:val="single" w:sz="4" w:space="0" w:color="auto"/>
              <w:right w:val="single" w:sz="4" w:space="0" w:color="auto"/>
            </w:tcBorders>
            <w:shd w:val="clear" w:color="auto" w:fill="auto"/>
            <w:noWrap/>
            <w:vAlign w:val="center"/>
            <w:hideMark/>
          </w:tcPr>
          <w:p w14:paraId="41BBBB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£1,627</w:t>
            </w:r>
          </w:p>
        </w:tc>
        <w:tc>
          <w:tcPr>
            <w:tcW w:w="1499" w:type="dxa"/>
            <w:tcBorders>
              <w:top w:val="nil"/>
              <w:left w:val="nil"/>
              <w:bottom w:val="single" w:sz="4" w:space="0" w:color="auto"/>
              <w:right w:val="single" w:sz="4" w:space="0" w:color="auto"/>
            </w:tcBorders>
            <w:shd w:val="clear" w:color="auto" w:fill="auto"/>
            <w:noWrap/>
            <w:vAlign w:val="center"/>
            <w:hideMark/>
          </w:tcPr>
          <w:p w14:paraId="5A2415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£1,613</w:t>
            </w:r>
          </w:p>
        </w:tc>
        <w:tc>
          <w:tcPr>
            <w:tcW w:w="1499" w:type="dxa"/>
            <w:tcBorders>
              <w:top w:val="nil"/>
              <w:left w:val="nil"/>
              <w:bottom w:val="single" w:sz="4" w:space="0" w:color="auto"/>
              <w:right w:val="single" w:sz="4" w:space="0" w:color="auto"/>
            </w:tcBorders>
            <w:shd w:val="clear" w:color="auto" w:fill="auto"/>
            <w:noWrap/>
            <w:vAlign w:val="center"/>
            <w:hideMark/>
          </w:tcPr>
          <w:p w14:paraId="35639D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£1,617</w:t>
            </w:r>
          </w:p>
        </w:tc>
        <w:tc>
          <w:tcPr>
            <w:tcW w:w="1500" w:type="dxa"/>
            <w:tcBorders>
              <w:top w:val="nil"/>
              <w:left w:val="nil"/>
              <w:bottom w:val="single" w:sz="4" w:space="0" w:color="auto"/>
              <w:right w:val="single" w:sz="4" w:space="0" w:color="auto"/>
            </w:tcBorders>
            <w:shd w:val="clear" w:color="auto" w:fill="auto"/>
            <w:noWrap/>
            <w:vAlign w:val="center"/>
            <w:hideMark/>
          </w:tcPr>
          <w:p w14:paraId="49AF51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£1,603</w:t>
            </w:r>
          </w:p>
        </w:tc>
        <w:tc>
          <w:tcPr>
            <w:tcW w:w="1843" w:type="dxa"/>
            <w:tcBorders>
              <w:top w:val="nil"/>
              <w:left w:val="nil"/>
              <w:bottom w:val="single" w:sz="4" w:space="0" w:color="auto"/>
              <w:right w:val="single" w:sz="4" w:space="0" w:color="auto"/>
            </w:tcBorders>
            <w:shd w:val="clear" w:color="auto" w:fill="auto"/>
            <w:noWrap/>
            <w:vAlign w:val="center"/>
            <w:hideMark/>
          </w:tcPr>
          <w:p w14:paraId="65D222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£6,460</w:t>
            </w:r>
          </w:p>
        </w:tc>
      </w:tr>
      <w:tr w:rsidR="004433D7" w:rsidRPr="004433D7" w14:paraId="6BC82734"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E9108B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Orsted</w:t>
            </w:r>
            <w:proofErr w:type="spellEnd"/>
            <w:r w:rsidRPr="004433D7">
              <w:rPr>
                <w:rFonts w:eastAsia="Times New Roman" w:cs="Times New Roman"/>
                <w:color w:val="000000"/>
                <w:sz w:val="16"/>
                <w:szCs w:val="16"/>
              </w:rPr>
              <w:t xml:space="preserve"> Power Sales (UK) Limited</w:t>
            </w:r>
          </w:p>
        </w:tc>
        <w:tc>
          <w:tcPr>
            <w:tcW w:w="1499" w:type="dxa"/>
            <w:tcBorders>
              <w:top w:val="nil"/>
              <w:left w:val="nil"/>
              <w:bottom w:val="single" w:sz="4" w:space="0" w:color="auto"/>
              <w:right w:val="single" w:sz="4" w:space="0" w:color="auto"/>
            </w:tcBorders>
            <w:shd w:val="clear" w:color="auto" w:fill="auto"/>
            <w:noWrap/>
            <w:vAlign w:val="center"/>
            <w:hideMark/>
          </w:tcPr>
          <w:p w14:paraId="4D094A3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£364,338</w:t>
            </w:r>
          </w:p>
        </w:tc>
        <w:tc>
          <w:tcPr>
            <w:tcW w:w="1499" w:type="dxa"/>
            <w:tcBorders>
              <w:top w:val="nil"/>
              <w:left w:val="nil"/>
              <w:bottom w:val="single" w:sz="4" w:space="0" w:color="auto"/>
              <w:right w:val="single" w:sz="4" w:space="0" w:color="auto"/>
            </w:tcBorders>
            <w:shd w:val="clear" w:color="auto" w:fill="auto"/>
            <w:noWrap/>
            <w:vAlign w:val="center"/>
            <w:hideMark/>
          </w:tcPr>
          <w:p w14:paraId="787147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£361,169</w:t>
            </w:r>
          </w:p>
        </w:tc>
        <w:tc>
          <w:tcPr>
            <w:tcW w:w="1499" w:type="dxa"/>
            <w:tcBorders>
              <w:top w:val="nil"/>
              <w:left w:val="nil"/>
              <w:bottom w:val="single" w:sz="4" w:space="0" w:color="auto"/>
              <w:right w:val="single" w:sz="4" w:space="0" w:color="auto"/>
            </w:tcBorders>
            <w:shd w:val="clear" w:color="auto" w:fill="auto"/>
            <w:noWrap/>
            <w:vAlign w:val="center"/>
            <w:hideMark/>
          </w:tcPr>
          <w:p w14:paraId="2CCEB8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£362,084</w:t>
            </w:r>
          </w:p>
        </w:tc>
        <w:tc>
          <w:tcPr>
            <w:tcW w:w="1500" w:type="dxa"/>
            <w:tcBorders>
              <w:top w:val="nil"/>
              <w:left w:val="nil"/>
              <w:bottom w:val="single" w:sz="4" w:space="0" w:color="auto"/>
              <w:right w:val="single" w:sz="4" w:space="0" w:color="auto"/>
            </w:tcBorders>
            <w:shd w:val="clear" w:color="auto" w:fill="auto"/>
            <w:noWrap/>
            <w:vAlign w:val="center"/>
            <w:hideMark/>
          </w:tcPr>
          <w:p w14:paraId="119B43A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£359,080</w:t>
            </w:r>
          </w:p>
        </w:tc>
        <w:tc>
          <w:tcPr>
            <w:tcW w:w="1843" w:type="dxa"/>
            <w:tcBorders>
              <w:top w:val="nil"/>
              <w:left w:val="nil"/>
              <w:bottom w:val="single" w:sz="4" w:space="0" w:color="auto"/>
              <w:right w:val="single" w:sz="4" w:space="0" w:color="auto"/>
            </w:tcBorders>
            <w:shd w:val="clear" w:color="auto" w:fill="auto"/>
            <w:noWrap/>
            <w:vAlign w:val="center"/>
            <w:hideMark/>
          </w:tcPr>
          <w:p w14:paraId="0C7E7E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£1,446,671</w:t>
            </w:r>
          </w:p>
        </w:tc>
      </w:tr>
      <w:tr w:rsidR="004433D7" w:rsidRPr="004433D7" w14:paraId="101C9CE1"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894D7E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499" w:type="dxa"/>
            <w:tcBorders>
              <w:top w:val="nil"/>
              <w:left w:val="nil"/>
              <w:bottom w:val="single" w:sz="4" w:space="0" w:color="auto"/>
              <w:right w:val="single" w:sz="4" w:space="0" w:color="auto"/>
            </w:tcBorders>
            <w:shd w:val="clear" w:color="auto" w:fill="auto"/>
            <w:noWrap/>
            <w:vAlign w:val="center"/>
            <w:hideMark/>
          </w:tcPr>
          <w:p w14:paraId="012B5C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£185,396</w:t>
            </w:r>
          </w:p>
        </w:tc>
        <w:tc>
          <w:tcPr>
            <w:tcW w:w="1499" w:type="dxa"/>
            <w:tcBorders>
              <w:top w:val="nil"/>
              <w:left w:val="nil"/>
              <w:bottom w:val="single" w:sz="4" w:space="0" w:color="auto"/>
              <w:right w:val="single" w:sz="4" w:space="0" w:color="auto"/>
            </w:tcBorders>
            <w:shd w:val="clear" w:color="auto" w:fill="auto"/>
            <w:noWrap/>
            <w:vAlign w:val="center"/>
            <w:hideMark/>
          </w:tcPr>
          <w:p w14:paraId="7788CB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£183,783</w:t>
            </w:r>
          </w:p>
        </w:tc>
        <w:tc>
          <w:tcPr>
            <w:tcW w:w="1499" w:type="dxa"/>
            <w:tcBorders>
              <w:top w:val="nil"/>
              <w:left w:val="nil"/>
              <w:bottom w:val="single" w:sz="4" w:space="0" w:color="auto"/>
              <w:right w:val="single" w:sz="4" w:space="0" w:color="auto"/>
            </w:tcBorders>
            <w:shd w:val="clear" w:color="auto" w:fill="auto"/>
            <w:noWrap/>
            <w:vAlign w:val="center"/>
            <w:hideMark/>
          </w:tcPr>
          <w:p w14:paraId="560168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£184,249</w:t>
            </w:r>
          </w:p>
        </w:tc>
        <w:tc>
          <w:tcPr>
            <w:tcW w:w="1500" w:type="dxa"/>
            <w:tcBorders>
              <w:top w:val="nil"/>
              <w:left w:val="nil"/>
              <w:bottom w:val="single" w:sz="4" w:space="0" w:color="auto"/>
              <w:right w:val="single" w:sz="4" w:space="0" w:color="auto"/>
            </w:tcBorders>
            <w:shd w:val="clear" w:color="auto" w:fill="auto"/>
            <w:noWrap/>
            <w:vAlign w:val="center"/>
            <w:hideMark/>
          </w:tcPr>
          <w:p w14:paraId="0F084C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£182,720</w:t>
            </w:r>
          </w:p>
        </w:tc>
        <w:tc>
          <w:tcPr>
            <w:tcW w:w="1843" w:type="dxa"/>
            <w:tcBorders>
              <w:top w:val="nil"/>
              <w:left w:val="nil"/>
              <w:bottom w:val="single" w:sz="4" w:space="0" w:color="auto"/>
              <w:right w:val="single" w:sz="4" w:space="0" w:color="auto"/>
            </w:tcBorders>
            <w:shd w:val="clear" w:color="auto" w:fill="auto"/>
            <w:noWrap/>
            <w:vAlign w:val="center"/>
            <w:hideMark/>
          </w:tcPr>
          <w:p w14:paraId="4C59123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£736,148</w:t>
            </w:r>
          </w:p>
        </w:tc>
      </w:tr>
      <w:tr w:rsidR="004433D7" w:rsidRPr="004433D7" w14:paraId="332EACC9"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4BB0F7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499" w:type="dxa"/>
            <w:tcBorders>
              <w:top w:val="nil"/>
              <w:left w:val="nil"/>
              <w:bottom w:val="single" w:sz="4" w:space="0" w:color="auto"/>
              <w:right w:val="single" w:sz="4" w:space="0" w:color="auto"/>
            </w:tcBorders>
            <w:shd w:val="clear" w:color="auto" w:fill="auto"/>
            <w:noWrap/>
            <w:vAlign w:val="center"/>
            <w:hideMark/>
          </w:tcPr>
          <w:p w14:paraId="074E57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£6,179</w:t>
            </w:r>
          </w:p>
        </w:tc>
        <w:tc>
          <w:tcPr>
            <w:tcW w:w="1499" w:type="dxa"/>
            <w:tcBorders>
              <w:top w:val="nil"/>
              <w:left w:val="nil"/>
              <w:bottom w:val="single" w:sz="4" w:space="0" w:color="auto"/>
              <w:right w:val="single" w:sz="4" w:space="0" w:color="auto"/>
            </w:tcBorders>
            <w:shd w:val="clear" w:color="auto" w:fill="auto"/>
            <w:noWrap/>
            <w:vAlign w:val="center"/>
            <w:hideMark/>
          </w:tcPr>
          <w:p w14:paraId="6391C7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£6,126</w:t>
            </w:r>
          </w:p>
        </w:tc>
        <w:tc>
          <w:tcPr>
            <w:tcW w:w="1499" w:type="dxa"/>
            <w:tcBorders>
              <w:top w:val="nil"/>
              <w:left w:val="nil"/>
              <w:bottom w:val="single" w:sz="4" w:space="0" w:color="auto"/>
              <w:right w:val="single" w:sz="4" w:space="0" w:color="auto"/>
            </w:tcBorders>
            <w:shd w:val="clear" w:color="auto" w:fill="auto"/>
            <w:noWrap/>
            <w:vAlign w:val="center"/>
            <w:hideMark/>
          </w:tcPr>
          <w:p w14:paraId="6A9862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£6,141</w:t>
            </w:r>
          </w:p>
        </w:tc>
        <w:tc>
          <w:tcPr>
            <w:tcW w:w="1500" w:type="dxa"/>
            <w:tcBorders>
              <w:top w:val="nil"/>
              <w:left w:val="nil"/>
              <w:bottom w:val="single" w:sz="4" w:space="0" w:color="auto"/>
              <w:right w:val="single" w:sz="4" w:space="0" w:color="auto"/>
            </w:tcBorders>
            <w:shd w:val="clear" w:color="auto" w:fill="auto"/>
            <w:noWrap/>
            <w:vAlign w:val="center"/>
            <w:hideMark/>
          </w:tcPr>
          <w:p w14:paraId="7312BC9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£6,090</w:t>
            </w:r>
          </w:p>
        </w:tc>
        <w:tc>
          <w:tcPr>
            <w:tcW w:w="1843" w:type="dxa"/>
            <w:tcBorders>
              <w:top w:val="nil"/>
              <w:left w:val="nil"/>
              <w:bottom w:val="single" w:sz="4" w:space="0" w:color="auto"/>
              <w:right w:val="single" w:sz="4" w:space="0" w:color="auto"/>
            </w:tcBorders>
            <w:shd w:val="clear" w:color="auto" w:fill="auto"/>
            <w:noWrap/>
            <w:vAlign w:val="center"/>
            <w:hideMark/>
          </w:tcPr>
          <w:p w14:paraId="30D9EB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£24,536</w:t>
            </w:r>
          </w:p>
        </w:tc>
      </w:tr>
      <w:tr w:rsidR="004433D7" w:rsidRPr="004433D7" w14:paraId="2627FB91"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0A75AB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 NI</w:t>
            </w:r>
          </w:p>
        </w:tc>
        <w:tc>
          <w:tcPr>
            <w:tcW w:w="1499" w:type="dxa"/>
            <w:tcBorders>
              <w:top w:val="nil"/>
              <w:left w:val="nil"/>
              <w:bottom w:val="single" w:sz="4" w:space="0" w:color="auto"/>
              <w:right w:val="single" w:sz="4" w:space="0" w:color="auto"/>
            </w:tcBorders>
            <w:shd w:val="clear" w:color="auto" w:fill="auto"/>
            <w:noWrap/>
            <w:vAlign w:val="center"/>
            <w:hideMark/>
          </w:tcPr>
          <w:p w14:paraId="4F4FBA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£91,481</w:t>
            </w:r>
          </w:p>
        </w:tc>
        <w:tc>
          <w:tcPr>
            <w:tcW w:w="1499" w:type="dxa"/>
            <w:tcBorders>
              <w:top w:val="nil"/>
              <w:left w:val="nil"/>
              <w:bottom w:val="single" w:sz="4" w:space="0" w:color="auto"/>
              <w:right w:val="single" w:sz="4" w:space="0" w:color="auto"/>
            </w:tcBorders>
            <w:shd w:val="clear" w:color="auto" w:fill="auto"/>
            <w:noWrap/>
            <w:vAlign w:val="center"/>
            <w:hideMark/>
          </w:tcPr>
          <w:p w14:paraId="40BB5D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£90,685</w:t>
            </w:r>
          </w:p>
        </w:tc>
        <w:tc>
          <w:tcPr>
            <w:tcW w:w="1499" w:type="dxa"/>
            <w:tcBorders>
              <w:top w:val="nil"/>
              <w:left w:val="nil"/>
              <w:bottom w:val="single" w:sz="4" w:space="0" w:color="auto"/>
              <w:right w:val="single" w:sz="4" w:space="0" w:color="auto"/>
            </w:tcBorders>
            <w:shd w:val="clear" w:color="auto" w:fill="auto"/>
            <w:noWrap/>
            <w:vAlign w:val="center"/>
            <w:hideMark/>
          </w:tcPr>
          <w:p w14:paraId="6F090D2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£90,915</w:t>
            </w:r>
          </w:p>
        </w:tc>
        <w:tc>
          <w:tcPr>
            <w:tcW w:w="1500" w:type="dxa"/>
            <w:tcBorders>
              <w:top w:val="nil"/>
              <w:left w:val="nil"/>
              <w:bottom w:val="single" w:sz="4" w:space="0" w:color="auto"/>
              <w:right w:val="single" w:sz="4" w:space="0" w:color="auto"/>
            </w:tcBorders>
            <w:shd w:val="clear" w:color="auto" w:fill="auto"/>
            <w:noWrap/>
            <w:vAlign w:val="center"/>
            <w:hideMark/>
          </w:tcPr>
          <w:p w14:paraId="49499E8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£90,160</w:t>
            </w:r>
          </w:p>
        </w:tc>
        <w:tc>
          <w:tcPr>
            <w:tcW w:w="1843" w:type="dxa"/>
            <w:tcBorders>
              <w:top w:val="nil"/>
              <w:left w:val="nil"/>
              <w:bottom w:val="single" w:sz="4" w:space="0" w:color="auto"/>
              <w:right w:val="single" w:sz="4" w:space="0" w:color="auto"/>
            </w:tcBorders>
            <w:shd w:val="clear" w:color="auto" w:fill="auto"/>
            <w:noWrap/>
            <w:vAlign w:val="center"/>
            <w:hideMark/>
          </w:tcPr>
          <w:p w14:paraId="28537E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£363,241</w:t>
            </w:r>
          </w:p>
        </w:tc>
      </w:tr>
      <w:tr w:rsidR="004433D7" w:rsidRPr="004433D7" w14:paraId="6239B2CC"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6EABD1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499" w:type="dxa"/>
            <w:tcBorders>
              <w:top w:val="nil"/>
              <w:left w:val="nil"/>
              <w:bottom w:val="single" w:sz="4" w:space="0" w:color="auto"/>
              <w:right w:val="single" w:sz="4" w:space="0" w:color="auto"/>
            </w:tcBorders>
            <w:shd w:val="clear" w:color="auto" w:fill="auto"/>
            <w:noWrap/>
            <w:vAlign w:val="center"/>
            <w:hideMark/>
          </w:tcPr>
          <w:p w14:paraId="56643BB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£29,427</w:t>
            </w:r>
          </w:p>
        </w:tc>
        <w:tc>
          <w:tcPr>
            <w:tcW w:w="1499" w:type="dxa"/>
            <w:tcBorders>
              <w:top w:val="nil"/>
              <w:left w:val="nil"/>
              <w:bottom w:val="single" w:sz="4" w:space="0" w:color="auto"/>
              <w:right w:val="single" w:sz="4" w:space="0" w:color="auto"/>
            </w:tcBorders>
            <w:shd w:val="clear" w:color="auto" w:fill="auto"/>
            <w:noWrap/>
            <w:vAlign w:val="center"/>
            <w:hideMark/>
          </w:tcPr>
          <w:p w14:paraId="5E54F0E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£29,171</w:t>
            </w:r>
          </w:p>
        </w:tc>
        <w:tc>
          <w:tcPr>
            <w:tcW w:w="1499" w:type="dxa"/>
            <w:tcBorders>
              <w:top w:val="nil"/>
              <w:left w:val="nil"/>
              <w:bottom w:val="single" w:sz="4" w:space="0" w:color="auto"/>
              <w:right w:val="single" w:sz="4" w:space="0" w:color="auto"/>
            </w:tcBorders>
            <w:shd w:val="clear" w:color="auto" w:fill="auto"/>
            <w:noWrap/>
            <w:vAlign w:val="center"/>
            <w:hideMark/>
          </w:tcPr>
          <w:p w14:paraId="7BAB3BB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£29,245</w:t>
            </w:r>
          </w:p>
        </w:tc>
        <w:tc>
          <w:tcPr>
            <w:tcW w:w="1500" w:type="dxa"/>
            <w:tcBorders>
              <w:top w:val="nil"/>
              <w:left w:val="nil"/>
              <w:bottom w:val="single" w:sz="4" w:space="0" w:color="auto"/>
              <w:right w:val="single" w:sz="4" w:space="0" w:color="auto"/>
            </w:tcBorders>
            <w:shd w:val="clear" w:color="auto" w:fill="auto"/>
            <w:noWrap/>
            <w:vAlign w:val="center"/>
            <w:hideMark/>
          </w:tcPr>
          <w:p w14:paraId="731FAF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£29,002</w:t>
            </w:r>
          </w:p>
        </w:tc>
        <w:tc>
          <w:tcPr>
            <w:tcW w:w="1843" w:type="dxa"/>
            <w:tcBorders>
              <w:top w:val="nil"/>
              <w:left w:val="nil"/>
              <w:bottom w:val="single" w:sz="4" w:space="0" w:color="auto"/>
              <w:right w:val="single" w:sz="4" w:space="0" w:color="auto"/>
            </w:tcBorders>
            <w:shd w:val="clear" w:color="auto" w:fill="auto"/>
            <w:noWrap/>
            <w:vAlign w:val="center"/>
            <w:hideMark/>
          </w:tcPr>
          <w:p w14:paraId="21A56C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£116,845</w:t>
            </w:r>
          </w:p>
        </w:tc>
      </w:tr>
      <w:tr w:rsidR="004433D7" w:rsidRPr="004433D7" w14:paraId="33382921"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A8D259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499" w:type="dxa"/>
            <w:tcBorders>
              <w:top w:val="nil"/>
              <w:left w:val="nil"/>
              <w:bottom w:val="single" w:sz="4" w:space="0" w:color="auto"/>
              <w:right w:val="single" w:sz="4" w:space="0" w:color="auto"/>
            </w:tcBorders>
            <w:shd w:val="clear" w:color="auto" w:fill="auto"/>
            <w:noWrap/>
            <w:vAlign w:val="center"/>
            <w:hideMark/>
          </w:tcPr>
          <w:p w14:paraId="73E8A1E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£1,858,667</w:t>
            </w:r>
          </w:p>
        </w:tc>
        <w:tc>
          <w:tcPr>
            <w:tcW w:w="1499" w:type="dxa"/>
            <w:tcBorders>
              <w:top w:val="nil"/>
              <w:left w:val="nil"/>
              <w:bottom w:val="single" w:sz="4" w:space="0" w:color="auto"/>
              <w:right w:val="single" w:sz="4" w:space="0" w:color="auto"/>
            </w:tcBorders>
            <w:shd w:val="clear" w:color="auto" w:fill="auto"/>
            <w:noWrap/>
            <w:vAlign w:val="center"/>
            <w:hideMark/>
          </w:tcPr>
          <w:p w14:paraId="3E98A2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£1,842,497</w:t>
            </w:r>
          </w:p>
        </w:tc>
        <w:tc>
          <w:tcPr>
            <w:tcW w:w="1499" w:type="dxa"/>
            <w:tcBorders>
              <w:top w:val="nil"/>
              <w:left w:val="nil"/>
              <w:bottom w:val="single" w:sz="4" w:space="0" w:color="auto"/>
              <w:right w:val="single" w:sz="4" w:space="0" w:color="auto"/>
            </w:tcBorders>
            <w:shd w:val="clear" w:color="auto" w:fill="auto"/>
            <w:noWrap/>
            <w:vAlign w:val="center"/>
            <w:hideMark/>
          </w:tcPr>
          <w:p w14:paraId="00AAFB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£1,847,166</w:t>
            </w:r>
          </w:p>
        </w:tc>
        <w:tc>
          <w:tcPr>
            <w:tcW w:w="1500" w:type="dxa"/>
            <w:tcBorders>
              <w:top w:val="nil"/>
              <w:left w:val="nil"/>
              <w:bottom w:val="single" w:sz="4" w:space="0" w:color="auto"/>
              <w:right w:val="single" w:sz="4" w:space="0" w:color="auto"/>
            </w:tcBorders>
            <w:shd w:val="clear" w:color="auto" w:fill="auto"/>
            <w:noWrap/>
            <w:vAlign w:val="center"/>
            <w:hideMark/>
          </w:tcPr>
          <w:p w14:paraId="3A8D92F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£1,831,839</w:t>
            </w:r>
          </w:p>
        </w:tc>
        <w:tc>
          <w:tcPr>
            <w:tcW w:w="1843" w:type="dxa"/>
            <w:tcBorders>
              <w:top w:val="nil"/>
              <w:left w:val="nil"/>
              <w:bottom w:val="single" w:sz="4" w:space="0" w:color="auto"/>
              <w:right w:val="single" w:sz="4" w:space="0" w:color="auto"/>
            </w:tcBorders>
            <w:shd w:val="clear" w:color="auto" w:fill="auto"/>
            <w:noWrap/>
            <w:vAlign w:val="center"/>
            <w:hideMark/>
          </w:tcPr>
          <w:p w14:paraId="644B2E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£7,380,169</w:t>
            </w:r>
          </w:p>
        </w:tc>
      </w:tr>
      <w:tr w:rsidR="004433D7" w:rsidRPr="004433D7" w14:paraId="278628A7"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C8E9F3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Retail Limited</w:t>
            </w:r>
          </w:p>
        </w:tc>
        <w:tc>
          <w:tcPr>
            <w:tcW w:w="1499" w:type="dxa"/>
            <w:tcBorders>
              <w:top w:val="nil"/>
              <w:left w:val="nil"/>
              <w:bottom w:val="single" w:sz="4" w:space="0" w:color="auto"/>
              <w:right w:val="single" w:sz="4" w:space="0" w:color="auto"/>
            </w:tcBorders>
            <w:shd w:val="clear" w:color="auto" w:fill="auto"/>
            <w:noWrap/>
            <w:vAlign w:val="center"/>
            <w:hideMark/>
          </w:tcPr>
          <w:p w14:paraId="567F05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£238,874</w:t>
            </w:r>
          </w:p>
        </w:tc>
        <w:tc>
          <w:tcPr>
            <w:tcW w:w="1499" w:type="dxa"/>
            <w:tcBorders>
              <w:top w:val="nil"/>
              <w:left w:val="nil"/>
              <w:bottom w:val="single" w:sz="4" w:space="0" w:color="auto"/>
              <w:right w:val="single" w:sz="4" w:space="0" w:color="auto"/>
            </w:tcBorders>
            <w:shd w:val="clear" w:color="auto" w:fill="auto"/>
            <w:noWrap/>
            <w:vAlign w:val="center"/>
            <w:hideMark/>
          </w:tcPr>
          <w:p w14:paraId="61F2B3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£236,796</w:t>
            </w:r>
          </w:p>
        </w:tc>
        <w:tc>
          <w:tcPr>
            <w:tcW w:w="1499" w:type="dxa"/>
            <w:tcBorders>
              <w:top w:val="nil"/>
              <w:left w:val="nil"/>
              <w:bottom w:val="single" w:sz="4" w:space="0" w:color="auto"/>
              <w:right w:val="single" w:sz="4" w:space="0" w:color="auto"/>
            </w:tcBorders>
            <w:shd w:val="clear" w:color="auto" w:fill="auto"/>
            <w:noWrap/>
            <w:vAlign w:val="center"/>
            <w:hideMark/>
          </w:tcPr>
          <w:p w14:paraId="36CAB0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£237,396</w:t>
            </w:r>
          </w:p>
        </w:tc>
        <w:tc>
          <w:tcPr>
            <w:tcW w:w="1500" w:type="dxa"/>
            <w:tcBorders>
              <w:top w:val="nil"/>
              <w:left w:val="nil"/>
              <w:bottom w:val="single" w:sz="4" w:space="0" w:color="auto"/>
              <w:right w:val="single" w:sz="4" w:space="0" w:color="auto"/>
            </w:tcBorders>
            <w:shd w:val="clear" w:color="auto" w:fill="auto"/>
            <w:noWrap/>
            <w:vAlign w:val="center"/>
            <w:hideMark/>
          </w:tcPr>
          <w:p w14:paraId="18D244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£235,427</w:t>
            </w:r>
          </w:p>
        </w:tc>
        <w:tc>
          <w:tcPr>
            <w:tcW w:w="1843" w:type="dxa"/>
            <w:tcBorders>
              <w:top w:val="nil"/>
              <w:left w:val="nil"/>
              <w:bottom w:val="single" w:sz="4" w:space="0" w:color="auto"/>
              <w:right w:val="single" w:sz="4" w:space="0" w:color="auto"/>
            </w:tcBorders>
            <w:shd w:val="clear" w:color="auto" w:fill="auto"/>
            <w:noWrap/>
            <w:vAlign w:val="center"/>
            <w:hideMark/>
          </w:tcPr>
          <w:p w14:paraId="5589EE4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£948,493</w:t>
            </w:r>
          </w:p>
        </w:tc>
      </w:tr>
      <w:tr w:rsidR="004433D7" w:rsidRPr="004433D7" w14:paraId="5288DC3A"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0D25DD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Shell Energy Supply UK Ltd. </w:t>
            </w:r>
          </w:p>
        </w:tc>
        <w:tc>
          <w:tcPr>
            <w:tcW w:w="1499" w:type="dxa"/>
            <w:tcBorders>
              <w:top w:val="nil"/>
              <w:left w:val="nil"/>
              <w:bottom w:val="single" w:sz="4" w:space="0" w:color="auto"/>
              <w:right w:val="single" w:sz="4" w:space="0" w:color="auto"/>
            </w:tcBorders>
            <w:shd w:val="clear" w:color="auto" w:fill="auto"/>
            <w:noWrap/>
            <w:vAlign w:val="center"/>
            <w:hideMark/>
          </w:tcPr>
          <w:p w14:paraId="0167E7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£51,578</w:t>
            </w:r>
          </w:p>
        </w:tc>
        <w:tc>
          <w:tcPr>
            <w:tcW w:w="1499" w:type="dxa"/>
            <w:tcBorders>
              <w:top w:val="nil"/>
              <w:left w:val="nil"/>
              <w:bottom w:val="single" w:sz="4" w:space="0" w:color="auto"/>
              <w:right w:val="single" w:sz="4" w:space="0" w:color="auto"/>
            </w:tcBorders>
            <w:shd w:val="clear" w:color="auto" w:fill="auto"/>
            <w:noWrap/>
            <w:vAlign w:val="center"/>
            <w:hideMark/>
          </w:tcPr>
          <w:p w14:paraId="0A1FD8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£51,129</w:t>
            </w:r>
          </w:p>
        </w:tc>
        <w:tc>
          <w:tcPr>
            <w:tcW w:w="1499" w:type="dxa"/>
            <w:tcBorders>
              <w:top w:val="nil"/>
              <w:left w:val="nil"/>
              <w:bottom w:val="single" w:sz="4" w:space="0" w:color="auto"/>
              <w:right w:val="single" w:sz="4" w:space="0" w:color="auto"/>
            </w:tcBorders>
            <w:shd w:val="clear" w:color="auto" w:fill="auto"/>
            <w:noWrap/>
            <w:vAlign w:val="center"/>
            <w:hideMark/>
          </w:tcPr>
          <w:p w14:paraId="02C059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£51,259</w:t>
            </w:r>
          </w:p>
        </w:tc>
        <w:tc>
          <w:tcPr>
            <w:tcW w:w="1500" w:type="dxa"/>
            <w:tcBorders>
              <w:top w:val="nil"/>
              <w:left w:val="nil"/>
              <w:bottom w:val="single" w:sz="4" w:space="0" w:color="auto"/>
              <w:right w:val="single" w:sz="4" w:space="0" w:color="auto"/>
            </w:tcBorders>
            <w:shd w:val="clear" w:color="auto" w:fill="auto"/>
            <w:noWrap/>
            <w:vAlign w:val="center"/>
            <w:hideMark/>
          </w:tcPr>
          <w:p w14:paraId="283083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£50,833</w:t>
            </w:r>
          </w:p>
        </w:tc>
        <w:tc>
          <w:tcPr>
            <w:tcW w:w="1843" w:type="dxa"/>
            <w:tcBorders>
              <w:top w:val="nil"/>
              <w:left w:val="nil"/>
              <w:bottom w:val="single" w:sz="4" w:space="0" w:color="auto"/>
              <w:right w:val="single" w:sz="4" w:space="0" w:color="auto"/>
            </w:tcBorders>
            <w:shd w:val="clear" w:color="auto" w:fill="auto"/>
            <w:noWrap/>
            <w:vAlign w:val="center"/>
            <w:hideMark/>
          </w:tcPr>
          <w:p w14:paraId="68424C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£204,799</w:t>
            </w:r>
          </w:p>
        </w:tc>
      </w:tr>
      <w:tr w:rsidR="004433D7" w:rsidRPr="004433D7" w14:paraId="27A33686"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775825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499" w:type="dxa"/>
            <w:tcBorders>
              <w:top w:val="nil"/>
              <w:left w:val="nil"/>
              <w:bottom w:val="single" w:sz="4" w:space="0" w:color="auto"/>
              <w:right w:val="single" w:sz="4" w:space="0" w:color="auto"/>
            </w:tcBorders>
            <w:shd w:val="clear" w:color="auto" w:fill="auto"/>
            <w:noWrap/>
            <w:vAlign w:val="center"/>
            <w:hideMark/>
          </w:tcPr>
          <w:p w14:paraId="221766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£687,892</w:t>
            </w:r>
          </w:p>
        </w:tc>
        <w:tc>
          <w:tcPr>
            <w:tcW w:w="1499" w:type="dxa"/>
            <w:tcBorders>
              <w:top w:val="nil"/>
              <w:left w:val="nil"/>
              <w:bottom w:val="single" w:sz="4" w:space="0" w:color="auto"/>
              <w:right w:val="single" w:sz="4" w:space="0" w:color="auto"/>
            </w:tcBorders>
            <w:shd w:val="clear" w:color="auto" w:fill="auto"/>
            <w:noWrap/>
            <w:vAlign w:val="center"/>
            <w:hideMark/>
          </w:tcPr>
          <w:p w14:paraId="76C538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£681,908</w:t>
            </w:r>
          </w:p>
        </w:tc>
        <w:tc>
          <w:tcPr>
            <w:tcW w:w="1499" w:type="dxa"/>
            <w:tcBorders>
              <w:top w:val="nil"/>
              <w:left w:val="nil"/>
              <w:bottom w:val="single" w:sz="4" w:space="0" w:color="auto"/>
              <w:right w:val="single" w:sz="4" w:space="0" w:color="auto"/>
            </w:tcBorders>
            <w:shd w:val="clear" w:color="auto" w:fill="auto"/>
            <w:noWrap/>
            <w:vAlign w:val="center"/>
            <w:hideMark/>
          </w:tcPr>
          <w:p w14:paraId="070585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£683,636</w:t>
            </w:r>
          </w:p>
        </w:tc>
        <w:tc>
          <w:tcPr>
            <w:tcW w:w="1500" w:type="dxa"/>
            <w:tcBorders>
              <w:top w:val="nil"/>
              <w:left w:val="nil"/>
              <w:bottom w:val="single" w:sz="4" w:space="0" w:color="auto"/>
              <w:right w:val="single" w:sz="4" w:space="0" w:color="auto"/>
            </w:tcBorders>
            <w:shd w:val="clear" w:color="auto" w:fill="auto"/>
            <w:noWrap/>
            <w:vAlign w:val="center"/>
            <w:hideMark/>
          </w:tcPr>
          <w:p w14:paraId="79D2D9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£677,964</w:t>
            </w:r>
          </w:p>
        </w:tc>
        <w:tc>
          <w:tcPr>
            <w:tcW w:w="1843" w:type="dxa"/>
            <w:tcBorders>
              <w:top w:val="nil"/>
              <w:left w:val="nil"/>
              <w:bottom w:val="single" w:sz="4" w:space="0" w:color="auto"/>
              <w:right w:val="single" w:sz="4" w:space="0" w:color="auto"/>
            </w:tcBorders>
            <w:shd w:val="clear" w:color="auto" w:fill="auto"/>
            <w:noWrap/>
            <w:vAlign w:val="center"/>
            <w:hideMark/>
          </w:tcPr>
          <w:p w14:paraId="28ED03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£2,731,400</w:t>
            </w:r>
          </w:p>
        </w:tc>
      </w:tr>
      <w:tr w:rsidR="004433D7" w:rsidRPr="004433D7" w14:paraId="1350F548"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B6F7EF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3F6653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£11,581</w:t>
            </w:r>
          </w:p>
        </w:tc>
        <w:tc>
          <w:tcPr>
            <w:tcW w:w="1499" w:type="dxa"/>
            <w:tcBorders>
              <w:top w:val="nil"/>
              <w:left w:val="nil"/>
              <w:bottom w:val="single" w:sz="4" w:space="0" w:color="auto"/>
              <w:right w:val="single" w:sz="4" w:space="0" w:color="auto"/>
            </w:tcBorders>
            <w:shd w:val="clear" w:color="auto" w:fill="auto"/>
            <w:noWrap/>
            <w:vAlign w:val="center"/>
            <w:hideMark/>
          </w:tcPr>
          <w:p w14:paraId="539A34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£11,480</w:t>
            </w:r>
          </w:p>
        </w:tc>
        <w:tc>
          <w:tcPr>
            <w:tcW w:w="1499" w:type="dxa"/>
            <w:tcBorders>
              <w:top w:val="nil"/>
              <w:left w:val="nil"/>
              <w:bottom w:val="single" w:sz="4" w:space="0" w:color="auto"/>
              <w:right w:val="single" w:sz="4" w:space="0" w:color="auto"/>
            </w:tcBorders>
            <w:shd w:val="clear" w:color="auto" w:fill="auto"/>
            <w:noWrap/>
            <w:vAlign w:val="center"/>
            <w:hideMark/>
          </w:tcPr>
          <w:p w14:paraId="5DCD2D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£11,509</w:t>
            </w:r>
          </w:p>
        </w:tc>
        <w:tc>
          <w:tcPr>
            <w:tcW w:w="1500" w:type="dxa"/>
            <w:tcBorders>
              <w:top w:val="nil"/>
              <w:left w:val="nil"/>
              <w:bottom w:val="single" w:sz="4" w:space="0" w:color="auto"/>
              <w:right w:val="single" w:sz="4" w:space="0" w:color="auto"/>
            </w:tcBorders>
            <w:shd w:val="clear" w:color="auto" w:fill="auto"/>
            <w:noWrap/>
            <w:vAlign w:val="center"/>
            <w:hideMark/>
          </w:tcPr>
          <w:p w14:paraId="235744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£11,414</w:t>
            </w:r>
          </w:p>
        </w:tc>
        <w:tc>
          <w:tcPr>
            <w:tcW w:w="1843" w:type="dxa"/>
            <w:tcBorders>
              <w:top w:val="nil"/>
              <w:left w:val="nil"/>
              <w:bottom w:val="single" w:sz="4" w:space="0" w:color="auto"/>
              <w:right w:val="single" w:sz="4" w:space="0" w:color="auto"/>
            </w:tcBorders>
            <w:shd w:val="clear" w:color="auto" w:fill="auto"/>
            <w:noWrap/>
            <w:vAlign w:val="center"/>
            <w:hideMark/>
          </w:tcPr>
          <w:p w14:paraId="65EB6A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£45,984</w:t>
            </w:r>
          </w:p>
        </w:tc>
      </w:tr>
      <w:tr w:rsidR="004433D7" w:rsidRPr="004433D7" w14:paraId="73030145"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3DE7C3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SSE Airtricity Energy Supply Limited </w:t>
            </w:r>
          </w:p>
        </w:tc>
        <w:tc>
          <w:tcPr>
            <w:tcW w:w="1499" w:type="dxa"/>
            <w:tcBorders>
              <w:top w:val="nil"/>
              <w:left w:val="nil"/>
              <w:bottom w:val="single" w:sz="4" w:space="0" w:color="auto"/>
              <w:right w:val="single" w:sz="4" w:space="0" w:color="auto"/>
            </w:tcBorders>
            <w:shd w:val="clear" w:color="auto" w:fill="auto"/>
            <w:noWrap/>
            <w:vAlign w:val="center"/>
            <w:hideMark/>
          </w:tcPr>
          <w:p w14:paraId="2950E2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£56,517</w:t>
            </w:r>
          </w:p>
        </w:tc>
        <w:tc>
          <w:tcPr>
            <w:tcW w:w="1499" w:type="dxa"/>
            <w:tcBorders>
              <w:top w:val="nil"/>
              <w:left w:val="nil"/>
              <w:bottom w:val="single" w:sz="4" w:space="0" w:color="auto"/>
              <w:right w:val="single" w:sz="4" w:space="0" w:color="auto"/>
            </w:tcBorders>
            <w:shd w:val="clear" w:color="auto" w:fill="auto"/>
            <w:noWrap/>
            <w:vAlign w:val="center"/>
            <w:hideMark/>
          </w:tcPr>
          <w:p w14:paraId="1F14579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£56,026</w:t>
            </w:r>
          </w:p>
        </w:tc>
        <w:tc>
          <w:tcPr>
            <w:tcW w:w="1499" w:type="dxa"/>
            <w:tcBorders>
              <w:top w:val="nil"/>
              <w:left w:val="nil"/>
              <w:bottom w:val="single" w:sz="4" w:space="0" w:color="auto"/>
              <w:right w:val="single" w:sz="4" w:space="0" w:color="auto"/>
            </w:tcBorders>
            <w:shd w:val="clear" w:color="auto" w:fill="auto"/>
            <w:noWrap/>
            <w:vAlign w:val="center"/>
            <w:hideMark/>
          </w:tcPr>
          <w:p w14:paraId="6A703E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£56,168</w:t>
            </w:r>
          </w:p>
        </w:tc>
        <w:tc>
          <w:tcPr>
            <w:tcW w:w="1500" w:type="dxa"/>
            <w:tcBorders>
              <w:top w:val="nil"/>
              <w:left w:val="nil"/>
              <w:bottom w:val="single" w:sz="4" w:space="0" w:color="auto"/>
              <w:right w:val="single" w:sz="4" w:space="0" w:color="auto"/>
            </w:tcBorders>
            <w:shd w:val="clear" w:color="auto" w:fill="auto"/>
            <w:noWrap/>
            <w:vAlign w:val="center"/>
            <w:hideMark/>
          </w:tcPr>
          <w:p w14:paraId="6F11F3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£55,702</w:t>
            </w:r>
          </w:p>
        </w:tc>
        <w:tc>
          <w:tcPr>
            <w:tcW w:w="1843" w:type="dxa"/>
            <w:tcBorders>
              <w:top w:val="nil"/>
              <w:left w:val="nil"/>
              <w:bottom w:val="single" w:sz="4" w:space="0" w:color="auto"/>
              <w:right w:val="single" w:sz="4" w:space="0" w:color="auto"/>
            </w:tcBorders>
            <w:shd w:val="clear" w:color="auto" w:fill="auto"/>
            <w:noWrap/>
            <w:vAlign w:val="center"/>
            <w:hideMark/>
          </w:tcPr>
          <w:p w14:paraId="1EA9CB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£224,413</w:t>
            </w:r>
          </w:p>
        </w:tc>
      </w:tr>
      <w:tr w:rsidR="004433D7" w:rsidRPr="004433D7" w14:paraId="659071D8"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554B0E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Electricity Limited</w:t>
            </w:r>
          </w:p>
        </w:tc>
        <w:tc>
          <w:tcPr>
            <w:tcW w:w="1499" w:type="dxa"/>
            <w:tcBorders>
              <w:top w:val="nil"/>
              <w:left w:val="nil"/>
              <w:bottom w:val="single" w:sz="4" w:space="0" w:color="auto"/>
              <w:right w:val="single" w:sz="4" w:space="0" w:color="auto"/>
            </w:tcBorders>
            <w:shd w:val="clear" w:color="auto" w:fill="auto"/>
            <w:noWrap/>
            <w:vAlign w:val="center"/>
            <w:hideMark/>
          </w:tcPr>
          <w:p w14:paraId="2D1332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£1,231,654</w:t>
            </w:r>
          </w:p>
        </w:tc>
        <w:tc>
          <w:tcPr>
            <w:tcW w:w="1499" w:type="dxa"/>
            <w:tcBorders>
              <w:top w:val="nil"/>
              <w:left w:val="nil"/>
              <w:bottom w:val="single" w:sz="4" w:space="0" w:color="auto"/>
              <w:right w:val="single" w:sz="4" w:space="0" w:color="auto"/>
            </w:tcBorders>
            <w:shd w:val="clear" w:color="auto" w:fill="auto"/>
            <w:noWrap/>
            <w:vAlign w:val="center"/>
            <w:hideMark/>
          </w:tcPr>
          <w:p w14:paraId="548D2A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£1,220,939</w:t>
            </w:r>
          </w:p>
        </w:tc>
        <w:tc>
          <w:tcPr>
            <w:tcW w:w="1499" w:type="dxa"/>
            <w:tcBorders>
              <w:top w:val="nil"/>
              <w:left w:val="nil"/>
              <w:bottom w:val="single" w:sz="4" w:space="0" w:color="auto"/>
              <w:right w:val="single" w:sz="4" w:space="0" w:color="auto"/>
            </w:tcBorders>
            <w:shd w:val="clear" w:color="auto" w:fill="auto"/>
            <w:noWrap/>
            <w:vAlign w:val="center"/>
            <w:hideMark/>
          </w:tcPr>
          <w:p w14:paraId="46AC639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£1,224,033</w:t>
            </w:r>
          </w:p>
        </w:tc>
        <w:tc>
          <w:tcPr>
            <w:tcW w:w="1500" w:type="dxa"/>
            <w:tcBorders>
              <w:top w:val="nil"/>
              <w:left w:val="nil"/>
              <w:bottom w:val="single" w:sz="4" w:space="0" w:color="auto"/>
              <w:right w:val="single" w:sz="4" w:space="0" w:color="auto"/>
            </w:tcBorders>
            <w:shd w:val="clear" w:color="auto" w:fill="auto"/>
            <w:noWrap/>
            <w:vAlign w:val="center"/>
            <w:hideMark/>
          </w:tcPr>
          <w:p w14:paraId="5E7602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£1,213,876</w:t>
            </w:r>
          </w:p>
        </w:tc>
        <w:tc>
          <w:tcPr>
            <w:tcW w:w="1843" w:type="dxa"/>
            <w:tcBorders>
              <w:top w:val="nil"/>
              <w:left w:val="nil"/>
              <w:bottom w:val="single" w:sz="4" w:space="0" w:color="auto"/>
              <w:right w:val="single" w:sz="4" w:space="0" w:color="auto"/>
            </w:tcBorders>
            <w:shd w:val="clear" w:color="auto" w:fill="auto"/>
            <w:noWrap/>
            <w:vAlign w:val="center"/>
            <w:hideMark/>
          </w:tcPr>
          <w:p w14:paraId="705770D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£4,890,502</w:t>
            </w:r>
          </w:p>
        </w:tc>
      </w:tr>
      <w:tr w:rsidR="004433D7" w:rsidRPr="004433D7" w14:paraId="289FDC82"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16C5CF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499" w:type="dxa"/>
            <w:tcBorders>
              <w:top w:val="nil"/>
              <w:left w:val="nil"/>
              <w:bottom w:val="single" w:sz="4" w:space="0" w:color="auto"/>
              <w:right w:val="single" w:sz="4" w:space="0" w:color="auto"/>
            </w:tcBorders>
            <w:shd w:val="clear" w:color="auto" w:fill="auto"/>
            <w:noWrap/>
            <w:vAlign w:val="center"/>
            <w:hideMark/>
          </w:tcPr>
          <w:p w14:paraId="653810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£1,841,065</w:t>
            </w:r>
          </w:p>
        </w:tc>
        <w:tc>
          <w:tcPr>
            <w:tcW w:w="1499" w:type="dxa"/>
            <w:tcBorders>
              <w:top w:val="nil"/>
              <w:left w:val="nil"/>
              <w:bottom w:val="single" w:sz="4" w:space="0" w:color="auto"/>
              <w:right w:val="single" w:sz="4" w:space="0" w:color="auto"/>
            </w:tcBorders>
            <w:shd w:val="clear" w:color="auto" w:fill="auto"/>
            <w:noWrap/>
            <w:vAlign w:val="center"/>
            <w:hideMark/>
          </w:tcPr>
          <w:p w14:paraId="32DE00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£1,825,049</w:t>
            </w:r>
          </w:p>
        </w:tc>
        <w:tc>
          <w:tcPr>
            <w:tcW w:w="1499" w:type="dxa"/>
            <w:tcBorders>
              <w:top w:val="nil"/>
              <w:left w:val="nil"/>
              <w:bottom w:val="single" w:sz="4" w:space="0" w:color="auto"/>
              <w:right w:val="single" w:sz="4" w:space="0" w:color="auto"/>
            </w:tcBorders>
            <w:shd w:val="clear" w:color="auto" w:fill="auto"/>
            <w:noWrap/>
            <w:vAlign w:val="center"/>
            <w:hideMark/>
          </w:tcPr>
          <w:p w14:paraId="09C60D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£1,829,673</w:t>
            </w:r>
          </w:p>
        </w:tc>
        <w:tc>
          <w:tcPr>
            <w:tcW w:w="1500" w:type="dxa"/>
            <w:tcBorders>
              <w:top w:val="nil"/>
              <w:left w:val="nil"/>
              <w:bottom w:val="single" w:sz="4" w:space="0" w:color="auto"/>
              <w:right w:val="single" w:sz="4" w:space="0" w:color="auto"/>
            </w:tcBorders>
            <w:shd w:val="clear" w:color="auto" w:fill="auto"/>
            <w:noWrap/>
            <w:vAlign w:val="center"/>
            <w:hideMark/>
          </w:tcPr>
          <w:p w14:paraId="0E12599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£1,814,492</w:t>
            </w:r>
          </w:p>
        </w:tc>
        <w:tc>
          <w:tcPr>
            <w:tcW w:w="1843" w:type="dxa"/>
            <w:tcBorders>
              <w:top w:val="nil"/>
              <w:left w:val="nil"/>
              <w:bottom w:val="single" w:sz="4" w:space="0" w:color="auto"/>
              <w:right w:val="single" w:sz="4" w:space="0" w:color="auto"/>
            </w:tcBorders>
            <w:shd w:val="clear" w:color="auto" w:fill="auto"/>
            <w:noWrap/>
            <w:vAlign w:val="center"/>
            <w:hideMark/>
          </w:tcPr>
          <w:p w14:paraId="710359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£7,310,279</w:t>
            </w:r>
          </w:p>
        </w:tc>
      </w:tr>
      <w:tr w:rsidR="004433D7" w:rsidRPr="004433D7" w14:paraId="748F1F22"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7DB377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499" w:type="dxa"/>
            <w:tcBorders>
              <w:top w:val="nil"/>
              <w:left w:val="nil"/>
              <w:bottom w:val="single" w:sz="4" w:space="0" w:color="auto"/>
              <w:right w:val="single" w:sz="4" w:space="0" w:color="auto"/>
            </w:tcBorders>
            <w:shd w:val="clear" w:color="auto" w:fill="auto"/>
            <w:noWrap/>
            <w:vAlign w:val="center"/>
            <w:hideMark/>
          </w:tcPr>
          <w:p w14:paraId="4FEC0B6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£86,159</w:t>
            </w:r>
          </w:p>
        </w:tc>
        <w:tc>
          <w:tcPr>
            <w:tcW w:w="1499" w:type="dxa"/>
            <w:tcBorders>
              <w:top w:val="nil"/>
              <w:left w:val="nil"/>
              <w:bottom w:val="single" w:sz="4" w:space="0" w:color="auto"/>
              <w:right w:val="single" w:sz="4" w:space="0" w:color="auto"/>
            </w:tcBorders>
            <w:shd w:val="clear" w:color="auto" w:fill="auto"/>
            <w:noWrap/>
            <w:vAlign w:val="center"/>
            <w:hideMark/>
          </w:tcPr>
          <w:p w14:paraId="2D7E3E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£85,409</w:t>
            </w:r>
          </w:p>
        </w:tc>
        <w:tc>
          <w:tcPr>
            <w:tcW w:w="1499" w:type="dxa"/>
            <w:tcBorders>
              <w:top w:val="nil"/>
              <w:left w:val="nil"/>
              <w:bottom w:val="single" w:sz="4" w:space="0" w:color="auto"/>
              <w:right w:val="single" w:sz="4" w:space="0" w:color="auto"/>
            </w:tcBorders>
            <w:shd w:val="clear" w:color="auto" w:fill="auto"/>
            <w:noWrap/>
            <w:vAlign w:val="center"/>
            <w:hideMark/>
          </w:tcPr>
          <w:p w14:paraId="5F25AEF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£85,626</w:t>
            </w:r>
          </w:p>
        </w:tc>
        <w:tc>
          <w:tcPr>
            <w:tcW w:w="1500" w:type="dxa"/>
            <w:tcBorders>
              <w:top w:val="nil"/>
              <w:left w:val="nil"/>
              <w:bottom w:val="single" w:sz="4" w:space="0" w:color="auto"/>
              <w:right w:val="single" w:sz="4" w:space="0" w:color="auto"/>
            </w:tcBorders>
            <w:shd w:val="clear" w:color="auto" w:fill="auto"/>
            <w:noWrap/>
            <w:vAlign w:val="center"/>
            <w:hideMark/>
          </w:tcPr>
          <w:p w14:paraId="43B695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£84,915</w:t>
            </w:r>
          </w:p>
        </w:tc>
        <w:tc>
          <w:tcPr>
            <w:tcW w:w="1843" w:type="dxa"/>
            <w:tcBorders>
              <w:top w:val="nil"/>
              <w:left w:val="nil"/>
              <w:bottom w:val="single" w:sz="4" w:space="0" w:color="auto"/>
              <w:right w:val="single" w:sz="4" w:space="0" w:color="auto"/>
            </w:tcBorders>
            <w:shd w:val="clear" w:color="auto" w:fill="auto"/>
            <w:noWrap/>
            <w:vAlign w:val="center"/>
            <w:hideMark/>
          </w:tcPr>
          <w:p w14:paraId="4E8C39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£342,109</w:t>
            </w:r>
          </w:p>
        </w:tc>
      </w:tr>
      <w:tr w:rsidR="004433D7" w:rsidRPr="004433D7" w14:paraId="705FE48A"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1AA4CA5"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499" w:type="dxa"/>
            <w:tcBorders>
              <w:top w:val="nil"/>
              <w:left w:val="nil"/>
              <w:bottom w:val="single" w:sz="4" w:space="0" w:color="auto"/>
              <w:right w:val="single" w:sz="4" w:space="0" w:color="auto"/>
            </w:tcBorders>
            <w:shd w:val="clear" w:color="auto" w:fill="auto"/>
            <w:noWrap/>
            <w:vAlign w:val="center"/>
            <w:hideMark/>
          </w:tcPr>
          <w:p w14:paraId="6D4B21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£28,248</w:t>
            </w:r>
          </w:p>
        </w:tc>
        <w:tc>
          <w:tcPr>
            <w:tcW w:w="1499" w:type="dxa"/>
            <w:tcBorders>
              <w:top w:val="nil"/>
              <w:left w:val="nil"/>
              <w:bottom w:val="single" w:sz="4" w:space="0" w:color="auto"/>
              <w:right w:val="single" w:sz="4" w:space="0" w:color="auto"/>
            </w:tcBorders>
            <w:shd w:val="clear" w:color="auto" w:fill="auto"/>
            <w:noWrap/>
            <w:vAlign w:val="center"/>
            <w:hideMark/>
          </w:tcPr>
          <w:p w14:paraId="7663F5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499" w:type="dxa"/>
            <w:tcBorders>
              <w:top w:val="nil"/>
              <w:left w:val="nil"/>
              <w:bottom w:val="single" w:sz="4" w:space="0" w:color="auto"/>
              <w:right w:val="single" w:sz="4" w:space="0" w:color="auto"/>
            </w:tcBorders>
            <w:shd w:val="clear" w:color="auto" w:fill="auto"/>
            <w:noWrap/>
            <w:vAlign w:val="center"/>
            <w:hideMark/>
          </w:tcPr>
          <w:p w14:paraId="73BF9D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500" w:type="dxa"/>
            <w:tcBorders>
              <w:top w:val="nil"/>
              <w:left w:val="nil"/>
              <w:bottom w:val="single" w:sz="4" w:space="0" w:color="auto"/>
              <w:right w:val="single" w:sz="4" w:space="0" w:color="auto"/>
            </w:tcBorders>
            <w:shd w:val="clear" w:color="auto" w:fill="auto"/>
            <w:noWrap/>
            <w:vAlign w:val="center"/>
            <w:hideMark/>
          </w:tcPr>
          <w:p w14:paraId="18FD85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843" w:type="dxa"/>
            <w:tcBorders>
              <w:top w:val="nil"/>
              <w:left w:val="nil"/>
              <w:bottom w:val="single" w:sz="4" w:space="0" w:color="auto"/>
              <w:right w:val="single" w:sz="4" w:space="0" w:color="auto"/>
            </w:tcBorders>
            <w:shd w:val="clear" w:color="auto" w:fill="auto"/>
            <w:noWrap/>
            <w:vAlign w:val="center"/>
            <w:hideMark/>
          </w:tcPr>
          <w:p w14:paraId="50E4B0C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£28,248</w:t>
            </w:r>
          </w:p>
        </w:tc>
      </w:tr>
      <w:tr w:rsidR="004433D7" w:rsidRPr="004433D7" w14:paraId="30A95F11"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9CF7F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499" w:type="dxa"/>
            <w:tcBorders>
              <w:top w:val="nil"/>
              <w:left w:val="nil"/>
              <w:bottom w:val="single" w:sz="4" w:space="0" w:color="auto"/>
              <w:right w:val="single" w:sz="4" w:space="0" w:color="auto"/>
            </w:tcBorders>
            <w:shd w:val="clear" w:color="auto" w:fill="auto"/>
            <w:noWrap/>
            <w:vAlign w:val="center"/>
            <w:hideMark/>
          </w:tcPr>
          <w:p w14:paraId="184F34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£986,363</w:t>
            </w:r>
          </w:p>
        </w:tc>
        <w:tc>
          <w:tcPr>
            <w:tcW w:w="1499" w:type="dxa"/>
            <w:tcBorders>
              <w:top w:val="nil"/>
              <w:left w:val="nil"/>
              <w:bottom w:val="single" w:sz="4" w:space="0" w:color="auto"/>
              <w:right w:val="single" w:sz="4" w:space="0" w:color="auto"/>
            </w:tcBorders>
            <w:shd w:val="clear" w:color="auto" w:fill="auto"/>
            <w:noWrap/>
            <w:vAlign w:val="center"/>
            <w:hideMark/>
          </w:tcPr>
          <w:p w14:paraId="319AE0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£977,782</w:t>
            </w:r>
          </w:p>
        </w:tc>
        <w:tc>
          <w:tcPr>
            <w:tcW w:w="1499" w:type="dxa"/>
            <w:tcBorders>
              <w:top w:val="nil"/>
              <w:left w:val="nil"/>
              <w:bottom w:val="single" w:sz="4" w:space="0" w:color="auto"/>
              <w:right w:val="single" w:sz="4" w:space="0" w:color="auto"/>
            </w:tcBorders>
            <w:shd w:val="clear" w:color="auto" w:fill="auto"/>
            <w:noWrap/>
            <w:vAlign w:val="center"/>
            <w:hideMark/>
          </w:tcPr>
          <w:p w14:paraId="1DB138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£980,260</w:t>
            </w:r>
          </w:p>
        </w:tc>
        <w:tc>
          <w:tcPr>
            <w:tcW w:w="1500" w:type="dxa"/>
            <w:tcBorders>
              <w:top w:val="nil"/>
              <w:left w:val="nil"/>
              <w:bottom w:val="single" w:sz="4" w:space="0" w:color="auto"/>
              <w:right w:val="single" w:sz="4" w:space="0" w:color="auto"/>
            </w:tcBorders>
            <w:shd w:val="clear" w:color="auto" w:fill="auto"/>
            <w:noWrap/>
            <w:vAlign w:val="center"/>
            <w:hideMark/>
          </w:tcPr>
          <w:p w14:paraId="32D74B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£972,126</w:t>
            </w:r>
          </w:p>
        </w:tc>
        <w:tc>
          <w:tcPr>
            <w:tcW w:w="1843" w:type="dxa"/>
            <w:tcBorders>
              <w:top w:val="nil"/>
              <w:left w:val="nil"/>
              <w:bottom w:val="single" w:sz="4" w:space="0" w:color="auto"/>
              <w:right w:val="single" w:sz="4" w:space="0" w:color="auto"/>
            </w:tcBorders>
            <w:shd w:val="clear" w:color="auto" w:fill="auto"/>
            <w:noWrap/>
            <w:vAlign w:val="center"/>
            <w:hideMark/>
          </w:tcPr>
          <w:p w14:paraId="087CA3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£3,916,531</w:t>
            </w:r>
          </w:p>
        </w:tc>
      </w:tr>
      <w:tr w:rsidR="004433D7" w:rsidRPr="004433D7" w14:paraId="510A781F"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CB0C9D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499" w:type="dxa"/>
            <w:tcBorders>
              <w:top w:val="nil"/>
              <w:left w:val="nil"/>
              <w:bottom w:val="single" w:sz="4" w:space="0" w:color="auto"/>
              <w:right w:val="single" w:sz="4" w:space="0" w:color="auto"/>
            </w:tcBorders>
            <w:shd w:val="clear" w:color="auto" w:fill="auto"/>
            <w:noWrap/>
            <w:vAlign w:val="center"/>
            <w:hideMark/>
          </w:tcPr>
          <w:p w14:paraId="553C45E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w:t>
            </w:r>
          </w:p>
        </w:tc>
        <w:tc>
          <w:tcPr>
            <w:tcW w:w="1499" w:type="dxa"/>
            <w:tcBorders>
              <w:top w:val="nil"/>
              <w:left w:val="nil"/>
              <w:bottom w:val="single" w:sz="4" w:space="0" w:color="auto"/>
              <w:right w:val="single" w:sz="4" w:space="0" w:color="auto"/>
            </w:tcBorders>
            <w:shd w:val="clear" w:color="auto" w:fill="auto"/>
            <w:noWrap/>
            <w:vAlign w:val="center"/>
            <w:hideMark/>
          </w:tcPr>
          <w:p w14:paraId="045362A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w:t>
            </w:r>
          </w:p>
        </w:tc>
        <w:tc>
          <w:tcPr>
            <w:tcW w:w="1499" w:type="dxa"/>
            <w:tcBorders>
              <w:top w:val="nil"/>
              <w:left w:val="nil"/>
              <w:bottom w:val="single" w:sz="4" w:space="0" w:color="auto"/>
              <w:right w:val="single" w:sz="4" w:space="0" w:color="auto"/>
            </w:tcBorders>
            <w:shd w:val="clear" w:color="auto" w:fill="auto"/>
            <w:noWrap/>
            <w:vAlign w:val="center"/>
            <w:hideMark/>
          </w:tcPr>
          <w:p w14:paraId="0DFC54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£63</w:t>
            </w:r>
          </w:p>
        </w:tc>
        <w:tc>
          <w:tcPr>
            <w:tcW w:w="1500" w:type="dxa"/>
            <w:tcBorders>
              <w:top w:val="nil"/>
              <w:left w:val="nil"/>
              <w:bottom w:val="single" w:sz="4" w:space="0" w:color="auto"/>
              <w:right w:val="single" w:sz="4" w:space="0" w:color="auto"/>
            </w:tcBorders>
            <w:shd w:val="clear" w:color="auto" w:fill="auto"/>
            <w:noWrap/>
            <w:vAlign w:val="center"/>
            <w:hideMark/>
          </w:tcPr>
          <w:p w14:paraId="243201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w:t>
            </w:r>
          </w:p>
        </w:tc>
        <w:tc>
          <w:tcPr>
            <w:tcW w:w="1843" w:type="dxa"/>
            <w:tcBorders>
              <w:top w:val="nil"/>
              <w:left w:val="nil"/>
              <w:bottom w:val="single" w:sz="4" w:space="0" w:color="auto"/>
              <w:right w:val="single" w:sz="4" w:space="0" w:color="auto"/>
            </w:tcBorders>
            <w:shd w:val="clear" w:color="auto" w:fill="auto"/>
            <w:noWrap/>
            <w:vAlign w:val="center"/>
            <w:hideMark/>
          </w:tcPr>
          <w:p w14:paraId="2D6685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£250</w:t>
            </w:r>
          </w:p>
        </w:tc>
      </w:tr>
      <w:tr w:rsidR="004433D7" w:rsidRPr="004433D7" w14:paraId="5EC59401"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9AF0C8A"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 </w:t>
            </w:r>
          </w:p>
        </w:tc>
        <w:tc>
          <w:tcPr>
            <w:tcW w:w="1499" w:type="dxa"/>
            <w:tcBorders>
              <w:top w:val="nil"/>
              <w:left w:val="nil"/>
              <w:bottom w:val="single" w:sz="4" w:space="0" w:color="auto"/>
              <w:right w:val="single" w:sz="4" w:space="0" w:color="auto"/>
            </w:tcBorders>
            <w:shd w:val="clear" w:color="auto" w:fill="auto"/>
            <w:noWrap/>
            <w:vAlign w:val="center"/>
            <w:hideMark/>
          </w:tcPr>
          <w:p w14:paraId="6B80C4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£218,150</w:t>
            </w:r>
          </w:p>
        </w:tc>
        <w:tc>
          <w:tcPr>
            <w:tcW w:w="1499" w:type="dxa"/>
            <w:tcBorders>
              <w:top w:val="nil"/>
              <w:left w:val="nil"/>
              <w:bottom w:val="single" w:sz="4" w:space="0" w:color="auto"/>
              <w:right w:val="single" w:sz="4" w:space="0" w:color="auto"/>
            </w:tcBorders>
            <w:shd w:val="clear" w:color="auto" w:fill="auto"/>
            <w:noWrap/>
            <w:vAlign w:val="center"/>
            <w:hideMark/>
          </w:tcPr>
          <w:p w14:paraId="45F98F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£216,252</w:t>
            </w:r>
          </w:p>
        </w:tc>
        <w:tc>
          <w:tcPr>
            <w:tcW w:w="1499" w:type="dxa"/>
            <w:tcBorders>
              <w:top w:val="nil"/>
              <w:left w:val="nil"/>
              <w:bottom w:val="single" w:sz="4" w:space="0" w:color="auto"/>
              <w:right w:val="single" w:sz="4" w:space="0" w:color="auto"/>
            </w:tcBorders>
            <w:shd w:val="clear" w:color="auto" w:fill="auto"/>
            <w:noWrap/>
            <w:vAlign w:val="center"/>
            <w:hideMark/>
          </w:tcPr>
          <w:p w14:paraId="120AD28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£216,800</w:t>
            </w:r>
          </w:p>
        </w:tc>
        <w:tc>
          <w:tcPr>
            <w:tcW w:w="1500" w:type="dxa"/>
            <w:tcBorders>
              <w:top w:val="nil"/>
              <w:left w:val="nil"/>
              <w:bottom w:val="single" w:sz="4" w:space="0" w:color="auto"/>
              <w:right w:val="single" w:sz="4" w:space="0" w:color="auto"/>
            </w:tcBorders>
            <w:shd w:val="clear" w:color="auto" w:fill="auto"/>
            <w:noWrap/>
            <w:vAlign w:val="center"/>
            <w:hideMark/>
          </w:tcPr>
          <w:p w14:paraId="443B01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£215,001</w:t>
            </w:r>
          </w:p>
        </w:tc>
        <w:tc>
          <w:tcPr>
            <w:tcW w:w="1843" w:type="dxa"/>
            <w:tcBorders>
              <w:top w:val="nil"/>
              <w:left w:val="nil"/>
              <w:bottom w:val="single" w:sz="4" w:space="0" w:color="auto"/>
              <w:right w:val="single" w:sz="4" w:space="0" w:color="auto"/>
            </w:tcBorders>
            <w:shd w:val="clear" w:color="auto" w:fill="auto"/>
            <w:noWrap/>
            <w:vAlign w:val="center"/>
            <w:hideMark/>
          </w:tcPr>
          <w:p w14:paraId="26C4964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£866,203</w:t>
            </w:r>
          </w:p>
        </w:tc>
      </w:tr>
      <w:tr w:rsidR="004433D7" w:rsidRPr="004433D7" w14:paraId="7A259F0A" w14:textId="77777777" w:rsidTr="00780608">
        <w:trPr>
          <w:trHeight w:val="42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CCBDA6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Vattenfall Energy Trading GmbH</w:t>
            </w:r>
          </w:p>
        </w:tc>
        <w:tc>
          <w:tcPr>
            <w:tcW w:w="1499" w:type="dxa"/>
            <w:tcBorders>
              <w:top w:val="nil"/>
              <w:left w:val="nil"/>
              <w:bottom w:val="single" w:sz="4" w:space="0" w:color="auto"/>
              <w:right w:val="single" w:sz="4" w:space="0" w:color="auto"/>
            </w:tcBorders>
            <w:shd w:val="clear" w:color="auto" w:fill="auto"/>
            <w:noWrap/>
            <w:vAlign w:val="center"/>
            <w:hideMark/>
          </w:tcPr>
          <w:p w14:paraId="1385AA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w:t>
            </w:r>
          </w:p>
        </w:tc>
        <w:tc>
          <w:tcPr>
            <w:tcW w:w="1499" w:type="dxa"/>
            <w:tcBorders>
              <w:top w:val="nil"/>
              <w:left w:val="nil"/>
              <w:bottom w:val="single" w:sz="4" w:space="0" w:color="auto"/>
              <w:right w:val="single" w:sz="4" w:space="0" w:color="auto"/>
            </w:tcBorders>
            <w:shd w:val="clear" w:color="auto" w:fill="auto"/>
            <w:noWrap/>
            <w:vAlign w:val="center"/>
            <w:hideMark/>
          </w:tcPr>
          <w:p w14:paraId="09E26D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w:t>
            </w:r>
          </w:p>
        </w:tc>
        <w:tc>
          <w:tcPr>
            <w:tcW w:w="1499" w:type="dxa"/>
            <w:tcBorders>
              <w:top w:val="nil"/>
              <w:left w:val="nil"/>
              <w:bottom w:val="single" w:sz="4" w:space="0" w:color="auto"/>
              <w:right w:val="single" w:sz="4" w:space="0" w:color="auto"/>
            </w:tcBorders>
            <w:shd w:val="clear" w:color="auto" w:fill="auto"/>
            <w:noWrap/>
            <w:vAlign w:val="center"/>
            <w:hideMark/>
          </w:tcPr>
          <w:p w14:paraId="4E896C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w:t>
            </w:r>
          </w:p>
        </w:tc>
        <w:tc>
          <w:tcPr>
            <w:tcW w:w="1500" w:type="dxa"/>
            <w:tcBorders>
              <w:top w:val="nil"/>
              <w:left w:val="nil"/>
              <w:bottom w:val="single" w:sz="4" w:space="0" w:color="auto"/>
              <w:right w:val="single" w:sz="4" w:space="0" w:color="auto"/>
            </w:tcBorders>
            <w:shd w:val="clear" w:color="auto" w:fill="auto"/>
            <w:noWrap/>
            <w:vAlign w:val="center"/>
            <w:hideMark/>
          </w:tcPr>
          <w:p w14:paraId="09196E6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w:t>
            </w:r>
          </w:p>
        </w:tc>
        <w:tc>
          <w:tcPr>
            <w:tcW w:w="1843" w:type="dxa"/>
            <w:tcBorders>
              <w:top w:val="nil"/>
              <w:left w:val="nil"/>
              <w:bottom w:val="single" w:sz="4" w:space="0" w:color="auto"/>
              <w:right w:val="single" w:sz="4" w:space="0" w:color="auto"/>
            </w:tcBorders>
            <w:shd w:val="clear" w:color="auto" w:fill="auto"/>
            <w:noWrap/>
            <w:vAlign w:val="center"/>
            <w:hideMark/>
          </w:tcPr>
          <w:p w14:paraId="2FAC257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w:t>
            </w:r>
          </w:p>
        </w:tc>
      </w:tr>
      <w:tr w:rsidR="004433D7" w:rsidRPr="004433D7" w14:paraId="26852F4D" w14:textId="77777777" w:rsidTr="00780608">
        <w:trPr>
          <w:trHeight w:val="270"/>
        </w:trPr>
        <w:tc>
          <w:tcPr>
            <w:tcW w:w="2220" w:type="dxa"/>
            <w:tcBorders>
              <w:top w:val="nil"/>
              <w:left w:val="single" w:sz="4" w:space="0" w:color="auto"/>
              <w:bottom w:val="single" w:sz="4" w:space="0" w:color="auto"/>
              <w:right w:val="single" w:sz="4" w:space="0" w:color="auto"/>
            </w:tcBorders>
            <w:shd w:val="clear" w:color="auto" w:fill="2363AF"/>
            <w:vAlign w:val="center"/>
            <w:hideMark/>
          </w:tcPr>
          <w:p w14:paraId="105342EA"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499" w:type="dxa"/>
            <w:tcBorders>
              <w:top w:val="nil"/>
              <w:left w:val="nil"/>
              <w:bottom w:val="single" w:sz="4" w:space="0" w:color="auto"/>
              <w:right w:val="single" w:sz="4" w:space="0" w:color="auto"/>
            </w:tcBorders>
            <w:shd w:val="clear" w:color="auto" w:fill="2363AF"/>
            <w:noWrap/>
            <w:vAlign w:val="center"/>
            <w:hideMark/>
          </w:tcPr>
          <w:p w14:paraId="653ABD4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£22,174,225</w:t>
            </w:r>
          </w:p>
        </w:tc>
        <w:tc>
          <w:tcPr>
            <w:tcW w:w="1499" w:type="dxa"/>
            <w:tcBorders>
              <w:top w:val="nil"/>
              <w:left w:val="nil"/>
              <w:bottom w:val="single" w:sz="4" w:space="0" w:color="auto"/>
              <w:right w:val="single" w:sz="4" w:space="0" w:color="auto"/>
            </w:tcBorders>
            <w:shd w:val="clear" w:color="auto" w:fill="2363AF"/>
            <w:noWrap/>
            <w:vAlign w:val="center"/>
            <w:hideMark/>
          </w:tcPr>
          <w:p w14:paraId="197C6EC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£21,953,321</w:t>
            </w:r>
          </w:p>
        </w:tc>
        <w:tc>
          <w:tcPr>
            <w:tcW w:w="1499" w:type="dxa"/>
            <w:tcBorders>
              <w:top w:val="nil"/>
              <w:left w:val="nil"/>
              <w:bottom w:val="single" w:sz="4" w:space="0" w:color="auto"/>
              <w:right w:val="single" w:sz="4" w:space="0" w:color="auto"/>
            </w:tcBorders>
            <w:shd w:val="clear" w:color="auto" w:fill="2363AF"/>
            <w:noWrap/>
            <w:vAlign w:val="center"/>
            <w:hideMark/>
          </w:tcPr>
          <w:p w14:paraId="55B309F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£21,941,999</w:t>
            </w:r>
          </w:p>
        </w:tc>
        <w:tc>
          <w:tcPr>
            <w:tcW w:w="1500" w:type="dxa"/>
            <w:tcBorders>
              <w:top w:val="nil"/>
              <w:left w:val="nil"/>
              <w:bottom w:val="single" w:sz="4" w:space="0" w:color="auto"/>
              <w:right w:val="single" w:sz="4" w:space="0" w:color="auto"/>
            </w:tcBorders>
            <w:shd w:val="clear" w:color="auto" w:fill="2363AF"/>
            <w:noWrap/>
            <w:vAlign w:val="center"/>
            <w:hideMark/>
          </w:tcPr>
          <w:p w14:paraId="5092D0C7"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£21,759,936</w:t>
            </w:r>
          </w:p>
        </w:tc>
        <w:tc>
          <w:tcPr>
            <w:tcW w:w="1843" w:type="dxa"/>
            <w:tcBorders>
              <w:top w:val="nil"/>
              <w:left w:val="nil"/>
              <w:bottom w:val="single" w:sz="4" w:space="0" w:color="auto"/>
              <w:right w:val="single" w:sz="4" w:space="0" w:color="auto"/>
            </w:tcBorders>
            <w:shd w:val="clear" w:color="auto" w:fill="2363AF"/>
            <w:noWrap/>
            <w:vAlign w:val="center"/>
            <w:hideMark/>
          </w:tcPr>
          <w:p w14:paraId="2B604008"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£87,829,481</w:t>
            </w:r>
          </w:p>
        </w:tc>
      </w:tr>
    </w:tbl>
    <w:p w14:paraId="7FC8F08C" w14:textId="77777777" w:rsidR="00017E6B" w:rsidRDefault="00017E6B">
      <w:pPr>
        <w:spacing w:line="276" w:lineRule="auto"/>
        <w:rPr>
          <w:rFonts w:cstheme="minorHAnsi"/>
        </w:rPr>
      </w:pPr>
    </w:p>
    <w:p w14:paraId="3F337B6B" w14:textId="77777777" w:rsidR="00017E6B" w:rsidRDefault="00017E6B">
      <w:pPr>
        <w:spacing w:line="276" w:lineRule="auto"/>
        <w:rPr>
          <w:rFonts w:cstheme="minorHAnsi"/>
        </w:rPr>
      </w:pPr>
      <w:r>
        <w:rPr>
          <w:rFonts w:cstheme="minorHAnsi"/>
        </w:rPr>
        <w:br w:type="page"/>
      </w:r>
    </w:p>
    <w:p w14:paraId="35129E39" w14:textId="292A9605" w:rsidR="00017E6B" w:rsidRDefault="00017E6B" w:rsidP="00017E6B">
      <w:pPr>
        <w:spacing w:line="288" w:lineRule="auto"/>
        <w:rPr>
          <w:rFonts w:eastAsiaTheme="minorEastAsia"/>
          <w:b/>
          <w:color w:val="000000" w:themeColor="text1"/>
        </w:rPr>
      </w:pPr>
      <w:r w:rsidRPr="006B3AC6">
        <w:rPr>
          <w:rFonts w:eastAsiaTheme="minorEastAsia"/>
          <w:b/>
          <w:color w:val="000000" w:themeColor="text1"/>
        </w:rPr>
        <w:lastRenderedPageBreak/>
        <w:t>Table A</w:t>
      </w:r>
      <w:r>
        <w:rPr>
          <w:rFonts w:eastAsiaTheme="minorEastAsia"/>
          <w:b/>
          <w:color w:val="000000" w:themeColor="text1"/>
        </w:rPr>
        <w:t>2</w:t>
      </w:r>
      <w:r w:rsidRPr="006B3AC6">
        <w:rPr>
          <w:rFonts w:eastAsiaTheme="minorEastAsia"/>
          <w:b/>
          <w:color w:val="000000" w:themeColor="text1"/>
        </w:rPr>
        <w:t>.</w:t>
      </w:r>
      <w:r>
        <w:rPr>
          <w:rFonts w:eastAsiaTheme="minorEastAsia"/>
          <w:b/>
          <w:color w:val="000000" w:themeColor="text1"/>
        </w:rPr>
        <w:t>8</w:t>
      </w:r>
      <w:r w:rsidRPr="006B3AC6">
        <w:rPr>
          <w:rFonts w:eastAsiaTheme="minorEastAsia"/>
          <w:b/>
          <w:color w:val="000000" w:themeColor="text1"/>
        </w:rPr>
        <w:t xml:space="preserve">: </w:t>
      </w:r>
      <w:r>
        <w:rPr>
          <w:rFonts w:eastAsiaTheme="minorEastAsia"/>
          <w:b/>
          <w:color w:val="000000" w:themeColor="text1"/>
        </w:rPr>
        <w:t>ROS mutualisation payment redistribution 2018-19</w:t>
      </w:r>
    </w:p>
    <w:tbl>
      <w:tblPr>
        <w:tblW w:w="9918" w:type="dxa"/>
        <w:tblLayout w:type="fixed"/>
        <w:tblLook w:val="04A0" w:firstRow="1" w:lastRow="0" w:firstColumn="1" w:lastColumn="0" w:noHBand="0" w:noVBand="1"/>
      </w:tblPr>
      <w:tblGrid>
        <w:gridCol w:w="2060"/>
        <w:gridCol w:w="1468"/>
        <w:gridCol w:w="1468"/>
        <w:gridCol w:w="1468"/>
        <w:gridCol w:w="1469"/>
        <w:gridCol w:w="1985"/>
      </w:tblGrid>
      <w:tr w:rsidR="004433D7" w:rsidRPr="004433D7" w14:paraId="7FE93AB7" w14:textId="77777777" w:rsidTr="00780608">
        <w:trPr>
          <w:trHeight w:val="420"/>
          <w:tblHeader/>
        </w:trPr>
        <w:tc>
          <w:tcPr>
            <w:tcW w:w="2060"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45A6E1CC"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Licence</w:t>
            </w:r>
          </w:p>
        </w:tc>
        <w:tc>
          <w:tcPr>
            <w:tcW w:w="1468" w:type="dxa"/>
            <w:tcBorders>
              <w:top w:val="single" w:sz="4" w:space="0" w:color="auto"/>
              <w:left w:val="nil"/>
              <w:bottom w:val="single" w:sz="4" w:space="0" w:color="auto"/>
              <w:right w:val="single" w:sz="4" w:space="0" w:color="auto"/>
            </w:tcBorders>
            <w:shd w:val="clear" w:color="auto" w:fill="2363AF"/>
            <w:vAlign w:val="center"/>
            <w:hideMark/>
          </w:tcPr>
          <w:p w14:paraId="2E31285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Q1</w:t>
            </w:r>
            <w:r w:rsidRPr="004433D7">
              <w:rPr>
                <w:rFonts w:eastAsia="Times New Roman" w:cs="Times New Roman"/>
                <w:color w:val="FFFFFF"/>
                <w:sz w:val="16"/>
                <w:szCs w:val="16"/>
              </w:rPr>
              <w:br/>
              <w:t>Redistributions</w:t>
            </w:r>
          </w:p>
        </w:tc>
        <w:tc>
          <w:tcPr>
            <w:tcW w:w="1468" w:type="dxa"/>
            <w:tcBorders>
              <w:top w:val="single" w:sz="4" w:space="0" w:color="auto"/>
              <w:left w:val="nil"/>
              <w:bottom w:val="single" w:sz="4" w:space="0" w:color="auto"/>
              <w:right w:val="single" w:sz="4" w:space="0" w:color="auto"/>
            </w:tcBorders>
            <w:shd w:val="clear" w:color="auto" w:fill="2363AF"/>
            <w:vAlign w:val="center"/>
            <w:hideMark/>
          </w:tcPr>
          <w:p w14:paraId="2EE5C4FC"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Q2</w:t>
            </w:r>
            <w:r w:rsidRPr="004433D7">
              <w:rPr>
                <w:rFonts w:eastAsia="Times New Roman" w:cs="Times New Roman"/>
                <w:color w:val="FFFFFF"/>
                <w:sz w:val="16"/>
                <w:szCs w:val="16"/>
              </w:rPr>
              <w:br/>
              <w:t>Redistributions</w:t>
            </w:r>
          </w:p>
        </w:tc>
        <w:tc>
          <w:tcPr>
            <w:tcW w:w="1468" w:type="dxa"/>
            <w:tcBorders>
              <w:top w:val="single" w:sz="4" w:space="0" w:color="auto"/>
              <w:left w:val="nil"/>
              <w:bottom w:val="single" w:sz="4" w:space="0" w:color="auto"/>
              <w:right w:val="single" w:sz="4" w:space="0" w:color="auto"/>
            </w:tcBorders>
            <w:shd w:val="clear" w:color="auto" w:fill="2363AF"/>
            <w:vAlign w:val="center"/>
            <w:hideMark/>
          </w:tcPr>
          <w:p w14:paraId="3FC2CB8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Q3</w:t>
            </w:r>
            <w:r w:rsidRPr="004433D7">
              <w:rPr>
                <w:rFonts w:eastAsia="Times New Roman" w:cs="Times New Roman"/>
                <w:color w:val="FFFFFF"/>
                <w:sz w:val="16"/>
                <w:szCs w:val="16"/>
              </w:rPr>
              <w:br/>
              <w:t>Redistributions</w:t>
            </w:r>
          </w:p>
        </w:tc>
        <w:tc>
          <w:tcPr>
            <w:tcW w:w="1469" w:type="dxa"/>
            <w:tcBorders>
              <w:top w:val="single" w:sz="4" w:space="0" w:color="auto"/>
              <w:left w:val="nil"/>
              <w:bottom w:val="single" w:sz="4" w:space="0" w:color="auto"/>
              <w:right w:val="single" w:sz="4" w:space="0" w:color="auto"/>
            </w:tcBorders>
            <w:shd w:val="clear" w:color="auto" w:fill="2363AF"/>
            <w:vAlign w:val="center"/>
            <w:hideMark/>
          </w:tcPr>
          <w:p w14:paraId="2F075EBA"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 Q4</w:t>
            </w:r>
            <w:r w:rsidRPr="004433D7">
              <w:rPr>
                <w:rFonts w:eastAsia="Times New Roman" w:cs="Times New Roman"/>
                <w:color w:val="FFFFFF"/>
                <w:sz w:val="16"/>
                <w:szCs w:val="16"/>
              </w:rPr>
              <w:br/>
              <w:t>Redistributions</w:t>
            </w:r>
          </w:p>
        </w:tc>
        <w:tc>
          <w:tcPr>
            <w:tcW w:w="1985" w:type="dxa"/>
            <w:tcBorders>
              <w:top w:val="single" w:sz="4" w:space="0" w:color="auto"/>
              <w:left w:val="nil"/>
              <w:bottom w:val="single" w:sz="4" w:space="0" w:color="auto"/>
              <w:right w:val="single" w:sz="4" w:space="0" w:color="auto"/>
            </w:tcBorders>
            <w:shd w:val="clear" w:color="auto" w:fill="2363AF"/>
            <w:vAlign w:val="center"/>
            <w:hideMark/>
          </w:tcPr>
          <w:p w14:paraId="48C9C722"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2018-19</w:t>
            </w:r>
            <w:r w:rsidRPr="004433D7">
              <w:rPr>
                <w:rFonts w:eastAsia="Times New Roman" w:cs="Times New Roman"/>
                <w:color w:val="FFFFFF"/>
                <w:sz w:val="16"/>
                <w:szCs w:val="16"/>
              </w:rPr>
              <w:br/>
              <w:t>Total redistributed</w:t>
            </w:r>
          </w:p>
        </w:tc>
      </w:tr>
      <w:tr w:rsidR="004433D7" w:rsidRPr="004433D7" w14:paraId="5ED549DE"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17E76B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3T Power Limited </w:t>
            </w:r>
          </w:p>
        </w:tc>
        <w:tc>
          <w:tcPr>
            <w:tcW w:w="1468" w:type="dxa"/>
            <w:tcBorders>
              <w:top w:val="nil"/>
              <w:left w:val="nil"/>
              <w:bottom w:val="single" w:sz="4" w:space="0" w:color="auto"/>
              <w:right w:val="single" w:sz="4" w:space="0" w:color="auto"/>
            </w:tcBorders>
            <w:shd w:val="clear" w:color="auto" w:fill="auto"/>
            <w:noWrap/>
            <w:vAlign w:val="center"/>
            <w:hideMark/>
          </w:tcPr>
          <w:p w14:paraId="5B9E1F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w:t>
            </w:r>
          </w:p>
        </w:tc>
        <w:tc>
          <w:tcPr>
            <w:tcW w:w="1468" w:type="dxa"/>
            <w:tcBorders>
              <w:top w:val="nil"/>
              <w:left w:val="nil"/>
              <w:bottom w:val="single" w:sz="4" w:space="0" w:color="auto"/>
              <w:right w:val="single" w:sz="4" w:space="0" w:color="auto"/>
            </w:tcBorders>
            <w:shd w:val="clear" w:color="auto" w:fill="auto"/>
            <w:noWrap/>
            <w:vAlign w:val="center"/>
            <w:hideMark/>
          </w:tcPr>
          <w:p w14:paraId="5C193E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£213</w:t>
            </w:r>
          </w:p>
        </w:tc>
        <w:tc>
          <w:tcPr>
            <w:tcW w:w="1468" w:type="dxa"/>
            <w:tcBorders>
              <w:top w:val="nil"/>
              <w:left w:val="nil"/>
              <w:bottom w:val="single" w:sz="4" w:space="0" w:color="auto"/>
              <w:right w:val="single" w:sz="4" w:space="0" w:color="auto"/>
            </w:tcBorders>
            <w:shd w:val="clear" w:color="auto" w:fill="auto"/>
            <w:noWrap/>
            <w:vAlign w:val="center"/>
            <w:hideMark/>
          </w:tcPr>
          <w:p w14:paraId="4F88A16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w:t>
            </w:r>
          </w:p>
        </w:tc>
        <w:tc>
          <w:tcPr>
            <w:tcW w:w="1469" w:type="dxa"/>
            <w:tcBorders>
              <w:top w:val="nil"/>
              <w:left w:val="nil"/>
              <w:bottom w:val="single" w:sz="4" w:space="0" w:color="auto"/>
              <w:right w:val="single" w:sz="4" w:space="0" w:color="auto"/>
            </w:tcBorders>
            <w:shd w:val="clear" w:color="auto" w:fill="auto"/>
            <w:noWrap/>
            <w:vAlign w:val="center"/>
            <w:hideMark/>
          </w:tcPr>
          <w:p w14:paraId="47A547A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£210</w:t>
            </w:r>
          </w:p>
        </w:tc>
        <w:tc>
          <w:tcPr>
            <w:tcW w:w="1985" w:type="dxa"/>
            <w:tcBorders>
              <w:top w:val="nil"/>
              <w:left w:val="nil"/>
              <w:bottom w:val="single" w:sz="4" w:space="0" w:color="auto"/>
              <w:right w:val="single" w:sz="4" w:space="0" w:color="auto"/>
            </w:tcBorders>
            <w:shd w:val="clear" w:color="auto" w:fill="auto"/>
            <w:noWrap/>
            <w:vAlign w:val="center"/>
            <w:hideMark/>
          </w:tcPr>
          <w:p w14:paraId="2ABAE44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£848</w:t>
            </w:r>
          </w:p>
        </w:tc>
      </w:tr>
      <w:tr w:rsidR="004433D7" w:rsidRPr="004433D7" w14:paraId="4F6B9BCE"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77FB91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AXPO UK Limited</w:t>
            </w:r>
          </w:p>
        </w:tc>
        <w:tc>
          <w:tcPr>
            <w:tcW w:w="1468" w:type="dxa"/>
            <w:tcBorders>
              <w:top w:val="nil"/>
              <w:left w:val="nil"/>
              <w:bottom w:val="single" w:sz="4" w:space="0" w:color="auto"/>
              <w:right w:val="single" w:sz="4" w:space="0" w:color="auto"/>
            </w:tcBorders>
            <w:shd w:val="clear" w:color="auto" w:fill="auto"/>
            <w:noWrap/>
            <w:vAlign w:val="center"/>
            <w:hideMark/>
          </w:tcPr>
          <w:p w14:paraId="39EB9E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£7,950</w:t>
            </w:r>
          </w:p>
        </w:tc>
        <w:tc>
          <w:tcPr>
            <w:tcW w:w="1468" w:type="dxa"/>
            <w:tcBorders>
              <w:top w:val="nil"/>
              <w:left w:val="nil"/>
              <w:bottom w:val="single" w:sz="4" w:space="0" w:color="auto"/>
              <w:right w:val="single" w:sz="4" w:space="0" w:color="auto"/>
            </w:tcBorders>
            <w:shd w:val="clear" w:color="auto" w:fill="auto"/>
            <w:noWrap/>
            <w:vAlign w:val="center"/>
            <w:hideMark/>
          </w:tcPr>
          <w:p w14:paraId="1F3953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£7,938</w:t>
            </w:r>
          </w:p>
        </w:tc>
        <w:tc>
          <w:tcPr>
            <w:tcW w:w="1468" w:type="dxa"/>
            <w:tcBorders>
              <w:top w:val="nil"/>
              <w:left w:val="nil"/>
              <w:bottom w:val="single" w:sz="4" w:space="0" w:color="auto"/>
              <w:right w:val="single" w:sz="4" w:space="0" w:color="auto"/>
            </w:tcBorders>
            <w:shd w:val="clear" w:color="auto" w:fill="auto"/>
            <w:noWrap/>
            <w:vAlign w:val="center"/>
            <w:hideMark/>
          </w:tcPr>
          <w:p w14:paraId="75464F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£7,931</w:t>
            </w:r>
          </w:p>
        </w:tc>
        <w:tc>
          <w:tcPr>
            <w:tcW w:w="1469" w:type="dxa"/>
            <w:tcBorders>
              <w:top w:val="nil"/>
              <w:left w:val="nil"/>
              <w:bottom w:val="single" w:sz="4" w:space="0" w:color="auto"/>
              <w:right w:val="single" w:sz="4" w:space="0" w:color="auto"/>
            </w:tcBorders>
            <w:shd w:val="clear" w:color="auto" w:fill="auto"/>
            <w:noWrap/>
            <w:vAlign w:val="center"/>
            <w:hideMark/>
          </w:tcPr>
          <w:p w14:paraId="25625D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£7,854</w:t>
            </w:r>
          </w:p>
        </w:tc>
        <w:tc>
          <w:tcPr>
            <w:tcW w:w="1985" w:type="dxa"/>
            <w:tcBorders>
              <w:top w:val="nil"/>
              <w:left w:val="nil"/>
              <w:bottom w:val="single" w:sz="4" w:space="0" w:color="auto"/>
              <w:right w:val="single" w:sz="4" w:space="0" w:color="auto"/>
            </w:tcBorders>
            <w:shd w:val="clear" w:color="auto" w:fill="auto"/>
            <w:noWrap/>
            <w:vAlign w:val="center"/>
            <w:hideMark/>
          </w:tcPr>
          <w:p w14:paraId="499760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£31,673</w:t>
            </w:r>
          </w:p>
        </w:tc>
      </w:tr>
      <w:tr w:rsidR="004433D7" w:rsidRPr="004433D7" w14:paraId="507C5536"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E451D6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BES Commercial Electricity Limited</w:t>
            </w:r>
          </w:p>
        </w:tc>
        <w:tc>
          <w:tcPr>
            <w:tcW w:w="1468" w:type="dxa"/>
            <w:tcBorders>
              <w:top w:val="nil"/>
              <w:left w:val="nil"/>
              <w:bottom w:val="single" w:sz="4" w:space="0" w:color="auto"/>
              <w:right w:val="single" w:sz="4" w:space="0" w:color="auto"/>
            </w:tcBorders>
            <w:shd w:val="clear" w:color="auto" w:fill="auto"/>
            <w:noWrap/>
            <w:vAlign w:val="center"/>
            <w:hideMark/>
          </w:tcPr>
          <w:p w14:paraId="6C85E4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£821</w:t>
            </w:r>
          </w:p>
        </w:tc>
        <w:tc>
          <w:tcPr>
            <w:tcW w:w="1468" w:type="dxa"/>
            <w:tcBorders>
              <w:top w:val="nil"/>
              <w:left w:val="nil"/>
              <w:bottom w:val="single" w:sz="4" w:space="0" w:color="auto"/>
              <w:right w:val="single" w:sz="4" w:space="0" w:color="auto"/>
            </w:tcBorders>
            <w:shd w:val="clear" w:color="auto" w:fill="auto"/>
            <w:noWrap/>
            <w:vAlign w:val="center"/>
            <w:hideMark/>
          </w:tcPr>
          <w:p w14:paraId="678940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£820</w:t>
            </w:r>
          </w:p>
        </w:tc>
        <w:tc>
          <w:tcPr>
            <w:tcW w:w="1468" w:type="dxa"/>
            <w:tcBorders>
              <w:top w:val="nil"/>
              <w:left w:val="nil"/>
              <w:bottom w:val="single" w:sz="4" w:space="0" w:color="auto"/>
              <w:right w:val="single" w:sz="4" w:space="0" w:color="auto"/>
            </w:tcBorders>
            <w:shd w:val="clear" w:color="auto" w:fill="auto"/>
            <w:noWrap/>
            <w:vAlign w:val="center"/>
            <w:hideMark/>
          </w:tcPr>
          <w:p w14:paraId="178F64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£819</w:t>
            </w:r>
          </w:p>
        </w:tc>
        <w:tc>
          <w:tcPr>
            <w:tcW w:w="1469" w:type="dxa"/>
            <w:tcBorders>
              <w:top w:val="nil"/>
              <w:left w:val="nil"/>
              <w:bottom w:val="single" w:sz="4" w:space="0" w:color="auto"/>
              <w:right w:val="single" w:sz="4" w:space="0" w:color="auto"/>
            </w:tcBorders>
            <w:shd w:val="clear" w:color="auto" w:fill="auto"/>
            <w:noWrap/>
            <w:vAlign w:val="center"/>
            <w:hideMark/>
          </w:tcPr>
          <w:p w14:paraId="731D06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£811</w:t>
            </w:r>
          </w:p>
        </w:tc>
        <w:tc>
          <w:tcPr>
            <w:tcW w:w="1985" w:type="dxa"/>
            <w:tcBorders>
              <w:top w:val="nil"/>
              <w:left w:val="nil"/>
              <w:bottom w:val="single" w:sz="4" w:space="0" w:color="auto"/>
              <w:right w:val="single" w:sz="4" w:space="0" w:color="auto"/>
            </w:tcBorders>
            <w:shd w:val="clear" w:color="auto" w:fill="auto"/>
            <w:noWrap/>
            <w:vAlign w:val="center"/>
            <w:hideMark/>
          </w:tcPr>
          <w:p w14:paraId="3B9B50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£3,271</w:t>
            </w:r>
          </w:p>
        </w:tc>
      </w:tr>
      <w:tr w:rsidR="004433D7" w:rsidRPr="004433D7" w14:paraId="0675F9E1" w14:textId="77777777" w:rsidTr="00780608">
        <w:trPr>
          <w:trHeight w:val="6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CDDCC8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Bristol Energy Technology &amp; Services (Supply) Limited</w:t>
            </w:r>
          </w:p>
        </w:tc>
        <w:tc>
          <w:tcPr>
            <w:tcW w:w="1468" w:type="dxa"/>
            <w:tcBorders>
              <w:top w:val="nil"/>
              <w:left w:val="nil"/>
              <w:bottom w:val="single" w:sz="4" w:space="0" w:color="auto"/>
              <w:right w:val="single" w:sz="4" w:space="0" w:color="auto"/>
            </w:tcBorders>
            <w:shd w:val="clear" w:color="auto" w:fill="auto"/>
            <w:noWrap/>
            <w:vAlign w:val="center"/>
            <w:hideMark/>
          </w:tcPr>
          <w:p w14:paraId="73FC8E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w:t>
            </w:r>
          </w:p>
        </w:tc>
        <w:tc>
          <w:tcPr>
            <w:tcW w:w="1468" w:type="dxa"/>
            <w:tcBorders>
              <w:top w:val="nil"/>
              <w:left w:val="nil"/>
              <w:bottom w:val="single" w:sz="4" w:space="0" w:color="auto"/>
              <w:right w:val="single" w:sz="4" w:space="0" w:color="auto"/>
            </w:tcBorders>
            <w:shd w:val="clear" w:color="auto" w:fill="auto"/>
            <w:noWrap/>
            <w:vAlign w:val="center"/>
            <w:hideMark/>
          </w:tcPr>
          <w:p w14:paraId="3AEF7E6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w:t>
            </w:r>
          </w:p>
        </w:tc>
        <w:tc>
          <w:tcPr>
            <w:tcW w:w="1468" w:type="dxa"/>
            <w:tcBorders>
              <w:top w:val="nil"/>
              <w:left w:val="nil"/>
              <w:bottom w:val="single" w:sz="4" w:space="0" w:color="auto"/>
              <w:right w:val="single" w:sz="4" w:space="0" w:color="auto"/>
            </w:tcBorders>
            <w:shd w:val="clear" w:color="auto" w:fill="auto"/>
            <w:noWrap/>
            <w:vAlign w:val="center"/>
            <w:hideMark/>
          </w:tcPr>
          <w:p w14:paraId="10D0000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w:t>
            </w:r>
          </w:p>
        </w:tc>
        <w:tc>
          <w:tcPr>
            <w:tcW w:w="1469" w:type="dxa"/>
            <w:tcBorders>
              <w:top w:val="nil"/>
              <w:left w:val="nil"/>
              <w:bottom w:val="single" w:sz="4" w:space="0" w:color="auto"/>
              <w:right w:val="single" w:sz="4" w:space="0" w:color="auto"/>
            </w:tcBorders>
            <w:shd w:val="clear" w:color="auto" w:fill="auto"/>
            <w:noWrap/>
            <w:vAlign w:val="center"/>
            <w:hideMark/>
          </w:tcPr>
          <w:p w14:paraId="169D7C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w:t>
            </w:r>
          </w:p>
        </w:tc>
        <w:tc>
          <w:tcPr>
            <w:tcW w:w="1985" w:type="dxa"/>
            <w:tcBorders>
              <w:top w:val="nil"/>
              <w:left w:val="nil"/>
              <w:bottom w:val="single" w:sz="4" w:space="0" w:color="auto"/>
              <w:right w:val="single" w:sz="4" w:space="0" w:color="auto"/>
            </w:tcBorders>
            <w:shd w:val="clear" w:color="auto" w:fill="auto"/>
            <w:noWrap/>
            <w:vAlign w:val="center"/>
            <w:hideMark/>
          </w:tcPr>
          <w:p w14:paraId="32C9E57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£216</w:t>
            </w:r>
          </w:p>
        </w:tc>
      </w:tr>
      <w:tr w:rsidR="004433D7" w:rsidRPr="004433D7" w14:paraId="2C39476A"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6FFDDD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British Gas Trading Limited</w:t>
            </w:r>
          </w:p>
        </w:tc>
        <w:tc>
          <w:tcPr>
            <w:tcW w:w="1468" w:type="dxa"/>
            <w:tcBorders>
              <w:top w:val="nil"/>
              <w:left w:val="nil"/>
              <w:bottom w:val="single" w:sz="4" w:space="0" w:color="auto"/>
              <w:right w:val="single" w:sz="4" w:space="0" w:color="auto"/>
            </w:tcBorders>
            <w:shd w:val="clear" w:color="auto" w:fill="auto"/>
            <w:noWrap/>
            <w:vAlign w:val="center"/>
            <w:hideMark/>
          </w:tcPr>
          <w:p w14:paraId="50ED73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£231,398</w:t>
            </w:r>
          </w:p>
        </w:tc>
        <w:tc>
          <w:tcPr>
            <w:tcW w:w="1468" w:type="dxa"/>
            <w:tcBorders>
              <w:top w:val="nil"/>
              <w:left w:val="nil"/>
              <w:bottom w:val="single" w:sz="4" w:space="0" w:color="auto"/>
              <w:right w:val="single" w:sz="4" w:space="0" w:color="auto"/>
            </w:tcBorders>
            <w:shd w:val="clear" w:color="auto" w:fill="auto"/>
            <w:noWrap/>
            <w:vAlign w:val="center"/>
            <w:hideMark/>
          </w:tcPr>
          <w:p w14:paraId="407FF6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£231,054</w:t>
            </w:r>
          </w:p>
        </w:tc>
        <w:tc>
          <w:tcPr>
            <w:tcW w:w="1468" w:type="dxa"/>
            <w:tcBorders>
              <w:top w:val="nil"/>
              <w:left w:val="nil"/>
              <w:bottom w:val="single" w:sz="4" w:space="0" w:color="auto"/>
              <w:right w:val="single" w:sz="4" w:space="0" w:color="auto"/>
            </w:tcBorders>
            <w:shd w:val="clear" w:color="auto" w:fill="auto"/>
            <w:noWrap/>
            <w:vAlign w:val="center"/>
            <w:hideMark/>
          </w:tcPr>
          <w:p w14:paraId="08284DE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£230,842</w:t>
            </w:r>
          </w:p>
        </w:tc>
        <w:tc>
          <w:tcPr>
            <w:tcW w:w="1469" w:type="dxa"/>
            <w:tcBorders>
              <w:top w:val="nil"/>
              <w:left w:val="nil"/>
              <w:bottom w:val="single" w:sz="4" w:space="0" w:color="auto"/>
              <w:right w:val="single" w:sz="4" w:space="0" w:color="auto"/>
            </w:tcBorders>
            <w:shd w:val="clear" w:color="auto" w:fill="auto"/>
            <w:noWrap/>
            <w:vAlign w:val="center"/>
            <w:hideMark/>
          </w:tcPr>
          <w:p w14:paraId="0D4264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£228,608</w:t>
            </w:r>
          </w:p>
        </w:tc>
        <w:tc>
          <w:tcPr>
            <w:tcW w:w="1985" w:type="dxa"/>
            <w:tcBorders>
              <w:top w:val="nil"/>
              <w:left w:val="nil"/>
              <w:bottom w:val="single" w:sz="4" w:space="0" w:color="auto"/>
              <w:right w:val="single" w:sz="4" w:space="0" w:color="auto"/>
            </w:tcBorders>
            <w:shd w:val="clear" w:color="auto" w:fill="auto"/>
            <w:noWrap/>
            <w:vAlign w:val="center"/>
            <w:hideMark/>
          </w:tcPr>
          <w:p w14:paraId="47192F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£921,902</w:t>
            </w:r>
          </w:p>
        </w:tc>
      </w:tr>
      <w:tr w:rsidR="004433D7" w:rsidRPr="004433D7" w14:paraId="69B4A663"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C75733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Brook Green Trading Limited</w:t>
            </w:r>
          </w:p>
        </w:tc>
        <w:tc>
          <w:tcPr>
            <w:tcW w:w="1468" w:type="dxa"/>
            <w:tcBorders>
              <w:top w:val="nil"/>
              <w:left w:val="nil"/>
              <w:bottom w:val="single" w:sz="4" w:space="0" w:color="auto"/>
              <w:right w:val="single" w:sz="4" w:space="0" w:color="auto"/>
            </w:tcBorders>
            <w:shd w:val="clear" w:color="auto" w:fill="auto"/>
            <w:noWrap/>
            <w:vAlign w:val="center"/>
            <w:hideMark/>
          </w:tcPr>
          <w:p w14:paraId="30D0F5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£2,613</w:t>
            </w:r>
          </w:p>
        </w:tc>
        <w:tc>
          <w:tcPr>
            <w:tcW w:w="1468" w:type="dxa"/>
            <w:tcBorders>
              <w:top w:val="nil"/>
              <w:left w:val="nil"/>
              <w:bottom w:val="single" w:sz="4" w:space="0" w:color="auto"/>
              <w:right w:val="single" w:sz="4" w:space="0" w:color="auto"/>
            </w:tcBorders>
            <w:shd w:val="clear" w:color="auto" w:fill="auto"/>
            <w:noWrap/>
            <w:vAlign w:val="center"/>
            <w:hideMark/>
          </w:tcPr>
          <w:p w14:paraId="5B7242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£2,609</w:t>
            </w:r>
          </w:p>
        </w:tc>
        <w:tc>
          <w:tcPr>
            <w:tcW w:w="1468" w:type="dxa"/>
            <w:tcBorders>
              <w:top w:val="nil"/>
              <w:left w:val="nil"/>
              <w:bottom w:val="single" w:sz="4" w:space="0" w:color="auto"/>
              <w:right w:val="single" w:sz="4" w:space="0" w:color="auto"/>
            </w:tcBorders>
            <w:shd w:val="clear" w:color="auto" w:fill="auto"/>
            <w:noWrap/>
            <w:vAlign w:val="center"/>
            <w:hideMark/>
          </w:tcPr>
          <w:p w14:paraId="496121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£2,607</w:t>
            </w:r>
          </w:p>
        </w:tc>
        <w:tc>
          <w:tcPr>
            <w:tcW w:w="1469" w:type="dxa"/>
            <w:tcBorders>
              <w:top w:val="nil"/>
              <w:left w:val="nil"/>
              <w:bottom w:val="single" w:sz="4" w:space="0" w:color="auto"/>
              <w:right w:val="single" w:sz="4" w:space="0" w:color="auto"/>
            </w:tcBorders>
            <w:shd w:val="clear" w:color="auto" w:fill="auto"/>
            <w:noWrap/>
            <w:vAlign w:val="center"/>
            <w:hideMark/>
          </w:tcPr>
          <w:p w14:paraId="2E5A4F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£2,581</w:t>
            </w:r>
          </w:p>
        </w:tc>
        <w:tc>
          <w:tcPr>
            <w:tcW w:w="1985" w:type="dxa"/>
            <w:tcBorders>
              <w:top w:val="nil"/>
              <w:left w:val="nil"/>
              <w:bottom w:val="single" w:sz="4" w:space="0" w:color="auto"/>
              <w:right w:val="single" w:sz="4" w:space="0" w:color="auto"/>
            </w:tcBorders>
            <w:shd w:val="clear" w:color="auto" w:fill="auto"/>
            <w:noWrap/>
            <w:vAlign w:val="center"/>
            <w:hideMark/>
          </w:tcPr>
          <w:p w14:paraId="599950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£10,410</w:t>
            </w:r>
          </w:p>
        </w:tc>
      </w:tr>
      <w:tr w:rsidR="004433D7" w:rsidRPr="004433D7" w14:paraId="7F112B2E"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2600A64"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Bryt</w:t>
            </w:r>
            <w:proofErr w:type="spellEnd"/>
            <w:r w:rsidRPr="004433D7">
              <w:rPr>
                <w:rFonts w:eastAsia="Times New Roman" w:cs="Times New Roman"/>
                <w:color w:val="000000"/>
                <w:sz w:val="16"/>
                <w:szCs w:val="16"/>
              </w:rPr>
              <w:t xml:space="preserve">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497B83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£6,528</w:t>
            </w:r>
          </w:p>
        </w:tc>
        <w:tc>
          <w:tcPr>
            <w:tcW w:w="1468" w:type="dxa"/>
            <w:tcBorders>
              <w:top w:val="nil"/>
              <w:left w:val="nil"/>
              <w:bottom w:val="single" w:sz="4" w:space="0" w:color="auto"/>
              <w:right w:val="single" w:sz="4" w:space="0" w:color="auto"/>
            </w:tcBorders>
            <w:shd w:val="clear" w:color="auto" w:fill="auto"/>
            <w:noWrap/>
            <w:vAlign w:val="center"/>
            <w:hideMark/>
          </w:tcPr>
          <w:p w14:paraId="227B674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£6,519</w:t>
            </w:r>
          </w:p>
        </w:tc>
        <w:tc>
          <w:tcPr>
            <w:tcW w:w="1468" w:type="dxa"/>
            <w:tcBorders>
              <w:top w:val="nil"/>
              <w:left w:val="nil"/>
              <w:bottom w:val="single" w:sz="4" w:space="0" w:color="auto"/>
              <w:right w:val="single" w:sz="4" w:space="0" w:color="auto"/>
            </w:tcBorders>
            <w:shd w:val="clear" w:color="auto" w:fill="auto"/>
            <w:noWrap/>
            <w:vAlign w:val="center"/>
            <w:hideMark/>
          </w:tcPr>
          <w:p w14:paraId="7334C2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£6,513</w:t>
            </w:r>
          </w:p>
        </w:tc>
        <w:tc>
          <w:tcPr>
            <w:tcW w:w="1469" w:type="dxa"/>
            <w:tcBorders>
              <w:top w:val="nil"/>
              <w:left w:val="nil"/>
              <w:bottom w:val="single" w:sz="4" w:space="0" w:color="auto"/>
              <w:right w:val="single" w:sz="4" w:space="0" w:color="auto"/>
            </w:tcBorders>
            <w:shd w:val="clear" w:color="auto" w:fill="auto"/>
            <w:noWrap/>
            <w:vAlign w:val="center"/>
            <w:hideMark/>
          </w:tcPr>
          <w:p w14:paraId="4A1DBBD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£6,450</w:t>
            </w:r>
          </w:p>
        </w:tc>
        <w:tc>
          <w:tcPr>
            <w:tcW w:w="1985" w:type="dxa"/>
            <w:tcBorders>
              <w:top w:val="nil"/>
              <w:left w:val="nil"/>
              <w:bottom w:val="single" w:sz="4" w:space="0" w:color="auto"/>
              <w:right w:val="single" w:sz="4" w:space="0" w:color="auto"/>
            </w:tcBorders>
            <w:shd w:val="clear" w:color="auto" w:fill="auto"/>
            <w:noWrap/>
            <w:vAlign w:val="center"/>
            <w:hideMark/>
          </w:tcPr>
          <w:p w14:paraId="71BD1D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£26,010</w:t>
            </w:r>
          </w:p>
        </w:tc>
      </w:tr>
      <w:tr w:rsidR="004433D7" w:rsidRPr="004433D7" w14:paraId="45179B18"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0B2766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Budget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697611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£542</w:t>
            </w:r>
          </w:p>
        </w:tc>
        <w:tc>
          <w:tcPr>
            <w:tcW w:w="1468" w:type="dxa"/>
            <w:tcBorders>
              <w:top w:val="nil"/>
              <w:left w:val="nil"/>
              <w:bottom w:val="single" w:sz="4" w:space="0" w:color="auto"/>
              <w:right w:val="single" w:sz="4" w:space="0" w:color="auto"/>
            </w:tcBorders>
            <w:shd w:val="clear" w:color="auto" w:fill="auto"/>
            <w:noWrap/>
            <w:vAlign w:val="center"/>
            <w:hideMark/>
          </w:tcPr>
          <w:p w14:paraId="71784D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w:t>
            </w:r>
          </w:p>
        </w:tc>
        <w:tc>
          <w:tcPr>
            <w:tcW w:w="1468" w:type="dxa"/>
            <w:tcBorders>
              <w:top w:val="nil"/>
              <w:left w:val="nil"/>
              <w:bottom w:val="single" w:sz="4" w:space="0" w:color="auto"/>
              <w:right w:val="single" w:sz="4" w:space="0" w:color="auto"/>
            </w:tcBorders>
            <w:shd w:val="clear" w:color="auto" w:fill="auto"/>
            <w:noWrap/>
            <w:vAlign w:val="center"/>
            <w:hideMark/>
          </w:tcPr>
          <w:p w14:paraId="2F34A49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£540</w:t>
            </w:r>
          </w:p>
        </w:tc>
        <w:tc>
          <w:tcPr>
            <w:tcW w:w="1469" w:type="dxa"/>
            <w:tcBorders>
              <w:top w:val="nil"/>
              <w:left w:val="nil"/>
              <w:bottom w:val="single" w:sz="4" w:space="0" w:color="auto"/>
              <w:right w:val="single" w:sz="4" w:space="0" w:color="auto"/>
            </w:tcBorders>
            <w:shd w:val="clear" w:color="auto" w:fill="auto"/>
            <w:noWrap/>
            <w:vAlign w:val="center"/>
            <w:hideMark/>
          </w:tcPr>
          <w:p w14:paraId="119A08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£535</w:t>
            </w:r>
          </w:p>
        </w:tc>
        <w:tc>
          <w:tcPr>
            <w:tcW w:w="1985" w:type="dxa"/>
            <w:tcBorders>
              <w:top w:val="nil"/>
              <w:left w:val="nil"/>
              <w:bottom w:val="single" w:sz="4" w:space="0" w:color="auto"/>
              <w:right w:val="single" w:sz="4" w:space="0" w:color="auto"/>
            </w:tcBorders>
            <w:shd w:val="clear" w:color="auto" w:fill="auto"/>
            <w:noWrap/>
            <w:vAlign w:val="center"/>
            <w:hideMark/>
          </w:tcPr>
          <w:p w14:paraId="5D4898B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£2,158</w:t>
            </w:r>
          </w:p>
        </w:tc>
      </w:tr>
      <w:tr w:rsidR="004433D7" w:rsidRPr="004433D7" w14:paraId="15A2A47F"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5A5AFC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Bulb Energy Ltd</w:t>
            </w:r>
          </w:p>
        </w:tc>
        <w:tc>
          <w:tcPr>
            <w:tcW w:w="1468" w:type="dxa"/>
            <w:tcBorders>
              <w:top w:val="nil"/>
              <w:left w:val="nil"/>
              <w:bottom w:val="single" w:sz="4" w:space="0" w:color="auto"/>
              <w:right w:val="single" w:sz="4" w:space="0" w:color="auto"/>
            </w:tcBorders>
            <w:shd w:val="clear" w:color="auto" w:fill="auto"/>
            <w:noWrap/>
            <w:vAlign w:val="center"/>
            <w:hideMark/>
          </w:tcPr>
          <w:p w14:paraId="30561B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w:t>
            </w:r>
          </w:p>
        </w:tc>
        <w:tc>
          <w:tcPr>
            <w:tcW w:w="1468" w:type="dxa"/>
            <w:tcBorders>
              <w:top w:val="nil"/>
              <w:left w:val="nil"/>
              <w:bottom w:val="single" w:sz="4" w:space="0" w:color="auto"/>
              <w:right w:val="single" w:sz="4" w:space="0" w:color="auto"/>
            </w:tcBorders>
            <w:shd w:val="clear" w:color="auto" w:fill="auto"/>
            <w:noWrap/>
            <w:vAlign w:val="center"/>
            <w:hideMark/>
          </w:tcPr>
          <w:p w14:paraId="7261111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£547</w:t>
            </w:r>
          </w:p>
        </w:tc>
        <w:tc>
          <w:tcPr>
            <w:tcW w:w="1468" w:type="dxa"/>
            <w:tcBorders>
              <w:top w:val="nil"/>
              <w:left w:val="nil"/>
              <w:bottom w:val="single" w:sz="4" w:space="0" w:color="auto"/>
              <w:right w:val="single" w:sz="4" w:space="0" w:color="auto"/>
            </w:tcBorders>
            <w:shd w:val="clear" w:color="auto" w:fill="auto"/>
            <w:noWrap/>
            <w:vAlign w:val="center"/>
            <w:hideMark/>
          </w:tcPr>
          <w:p w14:paraId="10D87B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£546</w:t>
            </w:r>
          </w:p>
        </w:tc>
        <w:tc>
          <w:tcPr>
            <w:tcW w:w="1469" w:type="dxa"/>
            <w:tcBorders>
              <w:top w:val="nil"/>
              <w:left w:val="nil"/>
              <w:bottom w:val="single" w:sz="4" w:space="0" w:color="auto"/>
              <w:right w:val="single" w:sz="4" w:space="0" w:color="auto"/>
            </w:tcBorders>
            <w:shd w:val="clear" w:color="auto" w:fill="auto"/>
            <w:noWrap/>
            <w:vAlign w:val="center"/>
            <w:hideMark/>
          </w:tcPr>
          <w:p w14:paraId="5C007B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£541</w:t>
            </w:r>
          </w:p>
        </w:tc>
        <w:tc>
          <w:tcPr>
            <w:tcW w:w="1985" w:type="dxa"/>
            <w:tcBorders>
              <w:top w:val="nil"/>
              <w:left w:val="nil"/>
              <w:bottom w:val="single" w:sz="4" w:space="0" w:color="auto"/>
              <w:right w:val="single" w:sz="4" w:space="0" w:color="auto"/>
            </w:tcBorders>
            <w:shd w:val="clear" w:color="auto" w:fill="auto"/>
            <w:noWrap/>
            <w:vAlign w:val="center"/>
            <w:hideMark/>
          </w:tcPr>
          <w:p w14:paraId="197E197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£2,182</w:t>
            </w:r>
          </w:p>
        </w:tc>
      </w:tr>
      <w:tr w:rsidR="004433D7" w:rsidRPr="004433D7" w14:paraId="3FDE5203"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B8D689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Co-Operative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1AF140A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£1,387</w:t>
            </w:r>
          </w:p>
        </w:tc>
        <w:tc>
          <w:tcPr>
            <w:tcW w:w="1468" w:type="dxa"/>
            <w:tcBorders>
              <w:top w:val="nil"/>
              <w:left w:val="nil"/>
              <w:bottom w:val="single" w:sz="4" w:space="0" w:color="auto"/>
              <w:right w:val="single" w:sz="4" w:space="0" w:color="auto"/>
            </w:tcBorders>
            <w:shd w:val="clear" w:color="auto" w:fill="auto"/>
            <w:noWrap/>
            <w:vAlign w:val="center"/>
            <w:hideMark/>
          </w:tcPr>
          <w:p w14:paraId="3449B5B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£1,385</w:t>
            </w:r>
          </w:p>
        </w:tc>
        <w:tc>
          <w:tcPr>
            <w:tcW w:w="1468" w:type="dxa"/>
            <w:tcBorders>
              <w:top w:val="nil"/>
              <w:left w:val="nil"/>
              <w:bottom w:val="single" w:sz="4" w:space="0" w:color="auto"/>
              <w:right w:val="single" w:sz="4" w:space="0" w:color="auto"/>
            </w:tcBorders>
            <w:shd w:val="clear" w:color="auto" w:fill="auto"/>
            <w:noWrap/>
            <w:vAlign w:val="center"/>
            <w:hideMark/>
          </w:tcPr>
          <w:p w14:paraId="0ACDC5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£1,384</w:t>
            </w:r>
          </w:p>
        </w:tc>
        <w:tc>
          <w:tcPr>
            <w:tcW w:w="1469" w:type="dxa"/>
            <w:tcBorders>
              <w:top w:val="nil"/>
              <w:left w:val="nil"/>
              <w:bottom w:val="single" w:sz="4" w:space="0" w:color="auto"/>
              <w:right w:val="single" w:sz="4" w:space="0" w:color="auto"/>
            </w:tcBorders>
            <w:shd w:val="clear" w:color="auto" w:fill="auto"/>
            <w:noWrap/>
            <w:vAlign w:val="center"/>
            <w:hideMark/>
          </w:tcPr>
          <w:p w14:paraId="13129EC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£1,371</w:t>
            </w:r>
          </w:p>
        </w:tc>
        <w:tc>
          <w:tcPr>
            <w:tcW w:w="1985" w:type="dxa"/>
            <w:tcBorders>
              <w:top w:val="nil"/>
              <w:left w:val="nil"/>
              <w:bottom w:val="single" w:sz="4" w:space="0" w:color="auto"/>
              <w:right w:val="single" w:sz="4" w:space="0" w:color="auto"/>
            </w:tcBorders>
            <w:shd w:val="clear" w:color="auto" w:fill="auto"/>
            <w:noWrap/>
            <w:vAlign w:val="center"/>
            <w:hideMark/>
          </w:tcPr>
          <w:p w14:paraId="4C60FD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£5,527</w:t>
            </w:r>
          </w:p>
        </w:tc>
      </w:tr>
      <w:tr w:rsidR="004433D7" w:rsidRPr="004433D7" w14:paraId="65A12708"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EFD17A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Corona Energy Retail 4 Limited</w:t>
            </w:r>
          </w:p>
        </w:tc>
        <w:tc>
          <w:tcPr>
            <w:tcW w:w="1468" w:type="dxa"/>
            <w:tcBorders>
              <w:top w:val="nil"/>
              <w:left w:val="nil"/>
              <w:bottom w:val="single" w:sz="4" w:space="0" w:color="auto"/>
              <w:right w:val="single" w:sz="4" w:space="0" w:color="auto"/>
            </w:tcBorders>
            <w:shd w:val="clear" w:color="auto" w:fill="auto"/>
            <w:noWrap/>
            <w:vAlign w:val="center"/>
            <w:hideMark/>
          </w:tcPr>
          <w:p w14:paraId="5E8238D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£4,062</w:t>
            </w:r>
          </w:p>
        </w:tc>
        <w:tc>
          <w:tcPr>
            <w:tcW w:w="1468" w:type="dxa"/>
            <w:tcBorders>
              <w:top w:val="nil"/>
              <w:left w:val="nil"/>
              <w:bottom w:val="single" w:sz="4" w:space="0" w:color="auto"/>
              <w:right w:val="single" w:sz="4" w:space="0" w:color="auto"/>
            </w:tcBorders>
            <w:shd w:val="clear" w:color="auto" w:fill="auto"/>
            <w:noWrap/>
            <w:vAlign w:val="center"/>
            <w:hideMark/>
          </w:tcPr>
          <w:p w14:paraId="44CB66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£4,056</w:t>
            </w:r>
          </w:p>
        </w:tc>
        <w:tc>
          <w:tcPr>
            <w:tcW w:w="1468" w:type="dxa"/>
            <w:tcBorders>
              <w:top w:val="nil"/>
              <w:left w:val="nil"/>
              <w:bottom w:val="single" w:sz="4" w:space="0" w:color="auto"/>
              <w:right w:val="single" w:sz="4" w:space="0" w:color="auto"/>
            </w:tcBorders>
            <w:shd w:val="clear" w:color="auto" w:fill="auto"/>
            <w:noWrap/>
            <w:vAlign w:val="center"/>
            <w:hideMark/>
          </w:tcPr>
          <w:p w14:paraId="4A2DC0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£4,053</w:t>
            </w:r>
          </w:p>
        </w:tc>
        <w:tc>
          <w:tcPr>
            <w:tcW w:w="1469" w:type="dxa"/>
            <w:tcBorders>
              <w:top w:val="nil"/>
              <w:left w:val="nil"/>
              <w:bottom w:val="single" w:sz="4" w:space="0" w:color="auto"/>
              <w:right w:val="single" w:sz="4" w:space="0" w:color="auto"/>
            </w:tcBorders>
            <w:shd w:val="clear" w:color="auto" w:fill="auto"/>
            <w:noWrap/>
            <w:vAlign w:val="center"/>
            <w:hideMark/>
          </w:tcPr>
          <w:p w14:paraId="583632B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£4,013</w:t>
            </w:r>
          </w:p>
        </w:tc>
        <w:tc>
          <w:tcPr>
            <w:tcW w:w="1985" w:type="dxa"/>
            <w:tcBorders>
              <w:top w:val="nil"/>
              <w:left w:val="nil"/>
              <w:bottom w:val="single" w:sz="4" w:space="0" w:color="auto"/>
              <w:right w:val="single" w:sz="4" w:space="0" w:color="auto"/>
            </w:tcBorders>
            <w:shd w:val="clear" w:color="auto" w:fill="auto"/>
            <w:noWrap/>
            <w:vAlign w:val="center"/>
            <w:hideMark/>
          </w:tcPr>
          <w:p w14:paraId="324394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£16,184</w:t>
            </w:r>
          </w:p>
        </w:tc>
      </w:tr>
      <w:tr w:rsidR="004433D7" w:rsidRPr="004433D7" w14:paraId="79EED6BC"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263422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Dual Energy Direct Limited</w:t>
            </w:r>
          </w:p>
        </w:tc>
        <w:tc>
          <w:tcPr>
            <w:tcW w:w="1468" w:type="dxa"/>
            <w:tcBorders>
              <w:top w:val="nil"/>
              <w:left w:val="nil"/>
              <w:bottom w:val="single" w:sz="4" w:space="0" w:color="auto"/>
              <w:right w:val="single" w:sz="4" w:space="0" w:color="auto"/>
            </w:tcBorders>
            <w:shd w:val="clear" w:color="auto" w:fill="auto"/>
            <w:noWrap/>
            <w:vAlign w:val="center"/>
            <w:hideMark/>
          </w:tcPr>
          <w:p w14:paraId="64EDFA1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£6,208</w:t>
            </w:r>
          </w:p>
        </w:tc>
        <w:tc>
          <w:tcPr>
            <w:tcW w:w="1468" w:type="dxa"/>
            <w:tcBorders>
              <w:top w:val="nil"/>
              <w:left w:val="nil"/>
              <w:bottom w:val="single" w:sz="4" w:space="0" w:color="auto"/>
              <w:right w:val="single" w:sz="4" w:space="0" w:color="auto"/>
            </w:tcBorders>
            <w:shd w:val="clear" w:color="auto" w:fill="auto"/>
            <w:noWrap/>
            <w:vAlign w:val="center"/>
            <w:hideMark/>
          </w:tcPr>
          <w:p w14:paraId="189FD3B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£6,199</w:t>
            </w:r>
          </w:p>
        </w:tc>
        <w:tc>
          <w:tcPr>
            <w:tcW w:w="1468" w:type="dxa"/>
            <w:tcBorders>
              <w:top w:val="nil"/>
              <w:left w:val="nil"/>
              <w:bottom w:val="single" w:sz="4" w:space="0" w:color="auto"/>
              <w:right w:val="single" w:sz="4" w:space="0" w:color="auto"/>
            </w:tcBorders>
            <w:shd w:val="clear" w:color="auto" w:fill="auto"/>
            <w:noWrap/>
            <w:vAlign w:val="center"/>
            <w:hideMark/>
          </w:tcPr>
          <w:p w14:paraId="4689F66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£6,193</w:t>
            </w:r>
          </w:p>
        </w:tc>
        <w:tc>
          <w:tcPr>
            <w:tcW w:w="1469" w:type="dxa"/>
            <w:tcBorders>
              <w:top w:val="nil"/>
              <w:left w:val="nil"/>
              <w:bottom w:val="single" w:sz="4" w:space="0" w:color="auto"/>
              <w:right w:val="single" w:sz="4" w:space="0" w:color="auto"/>
            </w:tcBorders>
            <w:shd w:val="clear" w:color="auto" w:fill="auto"/>
            <w:noWrap/>
            <w:vAlign w:val="center"/>
            <w:hideMark/>
          </w:tcPr>
          <w:p w14:paraId="35BE04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£6,133</w:t>
            </w:r>
          </w:p>
        </w:tc>
        <w:tc>
          <w:tcPr>
            <w:tcW w:w="1985" w:type="dxa"/>
            <w:tcBorders>
              <w:top w:val="nil"/>
              <w:left w:val="nil"/>
              <w:bottom w:val="single" w:sz="4" w:space="0" w:color="auto"/>
              <w:right w:val="single" w:sz="4" w:space="0" w:color="auto"/>
            </w:tcBorders>
            <w:shd w:val="clear" w:color="auto" w:fill="auto"/>
            <w:noWrap/>
            <w:vAlign w:val="center"/>
            <w:hideMark/>
          </w:tcPr>
          <w:p w14:paraId="55CB79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£24,733</w:t>
            </w:r>
          </w:p>
        </w:tc>
      </w:tr>
      <w:tr w:rsidR="004433D7" w:rsidRPr="004433D7" w14:paraId="33B8D2FA"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AB0D84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Energy Solutions Limited</w:t>
            </w:r>
          </w:p>
        </w:tc>
        <w:tc>
          <w:tcPr>
            <w:tcW w:w="1468" w:type="dxa"/>
            <w:tcBorders>
              <w:top w:val="nil"/>
              <w:left w:val="nil"/>
              <w:bottom w:val="single" w:sz="4" w:space="0" w:color="auto"/>
              <w:right w:val="single" w:sz="4" w:space="0" w:color="auto"/>
            </w:tcBorders>
            <w:shd w:val="clear" w:color="auto" w:fill="auto"/>
            <w:noWrap/>
            <w:vAlign w:val="center"/>
            <w:hideMark/>
          </w:tcPr>
          <w:p w14:paraId="4D6681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£173,596</w:t>
            </w:r>
          </w:p>
        </w:tc>
        <w:tc>
          <w:tcPr>
            <w:tcW w:w="1468" w:type="dxa"/>
            <w:tcBorders>
              <w:top w:val="nil"/>
              <w:left w:val="nil"/>
              <w:bottom w:val="single" w:sz="4" w:space="0" w:color="auto"/>
              <w:right w:val="single" w:sz="4" w:space="0" w:color="auto"/>
            </w:tcBorders>
            <w:shd w:val="clear" w:color="auto" w:fill="auto"/>
            <w:noWrap/>
            <w:vAlign w:val="center"/>
            <w:hideMark/>
          </w:tcPr>
          <w:p w14:paraId="7086A7F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£173,338</w:t>
            </w:r>
          </w:p>
        </w:tc>
        <w:tc>
          <w:tcPr>
            <w:tcW w:w="1468" w:type="dxa"/>
            <w:tcBorders>
              <w:top w:val="nil"/>
              <w:left w:val="nil"/>
              <w:bottom w:val="single" w:sz="4" w:space="0" w:color="auto"/>
              <w:right w:val="single" w:sz="4" w:space="0" w:color="auto"/>
            </w:tcBorders>
            <w:shd w:val="clear" w:color="auto" w:fill="auto"/>
            <w:noWrap/>
            <w:vAlign w:val="center"/>
            <w:hideMark/>
          </w:tcPr>
          <w:p w14:paraId="78E5AE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£173,179</w:t>
            </w:r>
          </w:p>
        </w:tc>
        <w:tc>
          <w:tcPr>
            <w:tcW w:w="1469" w:type="dxa"/>
            <w:tcBorders>
              <w:top w:val="nil"/>
              <w:left w:val="nil"/>
              <w:bottom w:val="single" w:sz="4" w:space="0" w:color="auto"/>
              <w:right w:val="single" w:sz="4" w:space="0" w:color="auto"/>
            </w:tcBorders>
            <w:shd w:val="clear" w:color="auto" w:fill="auto"/>
            <w:noWrap/>
            <w:vAlign w:val="center"/>
            <w:hideMark/>
          </w:tcPr>
          <w:p w14:paraId="1E70D29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£171,503</w:t>
            </w:r>
          </w:p>
        </w:tc>
        <w:tc>
          <w:tcPr>
            <w:tcW w:w="1985" w:type="dxa"/>
            <w:tcBorders>
              <w:top w:val="nil"/>
              <w:left w:val="nil"/>
              <w:bottom w:val="single" w:sz="4" w:space="0" w:color="auto"/>
              <w:right w:val="single" w:sz="4" w:space="0" w:color="auto"/>
            </w:tcBorders>
            <w:shd w:val="clear" w:color="auto" w:fill="auto"/>
            <w:noWrap/>
            <w:vAlign w:val="center"/>
            <w:hideMark/>
          </w:tcPr>
          <w:p w14:paraId="694C6B2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£691,616</w:t>
            </w:r>
          </w:p>
        </w:tc>
      </w:tr>
      <w:tr w:rsidR="004433D7" w:rsidRPr="004433D7" w14:paraId="7ADC3B24"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4827FA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E.ON UK Plc</w:t>
            </w:r>
          </w:p>
        </w:tc>
        <w:tc>
          <w:tcPr>
            <w:tcW w:w="1468" w:type="dxa"/>
            <w:tcBorders>
              <w:top w:val="nil"/>
              <w:left w:val="nil"/>
              <w:bottom w:val="single" w:sz="4" w:space="0" w:color="auto"/>
              <w:right w:val="single" w:sz="4" w:space="0" w:color="auto"/>
            </w:tcBorders>
            <w:shd w:val="clear" w:color="auto" w:fill="auto"/>
            <w:noWrap/>
            <w:vAlign w:val="center"/>
            <w:hideMark/>
          </w:tcPr>
          <w:p w14:paraId="2D6945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£124,700</w:t>
            </w:r>
          </w:p>
        </w:tc>
        <w:tc>
          <w:tcPr>
            <w:tcW w:w="1468" w:type="dxa"/>
            <w:tcBorders>
              <w:top w:val="nil"/>
              <w:left w:val="nil"/>
              <w:bottom w:val="single" w:sz="4" w:space="0" w:color="auto"/>
              <w:right w:val="single" w:sz="4" w:space="0" w:color="auto"/>
            </w:tcBorders>
            <w:shd w:val="clear" w:color="auto" w:fill="auto"/>
            <w:noWrap/>
            <w:vAlign w:val="center"/>
            <w:hideMark/>
          </w:tcPr>
          <w:p w14:paraId="3AA0D7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£124,514</w:t>
            </w:r>
          </w:p>
        </w:tc>
        <w:tc>
          <w:tcPr>
            <w:tcW w:w="1468" w:type="dxa"/>
            <w:tcBorders>
              <w:top w:val="nil"/>
              <w:left w:val="nil"/>
              <w:bottom w:val="single" w:sz="4" w:space="0" w:color="auto"/>
              <w:right w:val="single" w:sz="4" w:space="0" w:color="auto"/>
            </w:tcBorders>
            <w:shd w:val="clear" w:color="auto" w:fill="auto"/>
            <w:noWrap/>
            <w:vAlign w:val="center"/>
            <w:hideMark/>
          </w:tcPr>
          <w:p w14:paraId="47887FE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£124,400</w:t>
            </w:r>
          </w:p>
        </w:tc>
        <w:tc>
          <w:tcPr>
            <w:tcW w:w="1469" w:type="dxa"/>
            <w:tcBorders>
              <w:top w:val="nil"/>
              <w:left w:val="nil"/>
              <w:bottom w:val="single" w:sz="4" w:space="0" w:color="auto"/>
              <w:right w:val="single" w:sz="4" w:space="0" w:color="auto"/>
            </w:tcBorders>
            <w:shd w:val="clear" w:color="auto" w:fill="auto"/>
            <w:noWrap/>
            <w:vAlign w:val="center"/>
            <w:hideMark/>
          </w:tcPr>
          <w:p w14:paraId="5A9FB4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£123,196</w:t>
            </w:r>
          </w:p>
        </w:tc>
        <w:tc>
          <w:tcPr>
            <w:tcW w:w="1985" w:type="dxa"/>
            <w:tcBorders>
              <w:top w:val="nil"/>
              <w:left w:val="nil"/>
              <w:bottom w:val="single" w:sz="4" w:space="0" w:color="auto"/>
              <w:right w:val="single" w:sz="4" w:space="0" w:color="auto"/>
            </w:tcBorders>
            <w:shd w:val="clear" w:color="auto" w:fill="auto"/>
            <w:noWrap/>
            <w:vAlign w:val="center"/>
            <w:hideMark/>
          </w:tcPr>
          <w:p w14:paraId="3BE929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£496,810</w:t>
            </w:r>
          </w:p>
        </w:tc>
      </w:tr>
      <w:tr w:rsidR="004433D7" w:rsidRPr="004433D7" w14:paraId="6130F94A"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DD5D7F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Eco Green Management Ltd</w:t>
            </w:r>
          </w:p>
        </w:tc>
        <w:tc>
          <w:tcPr>
            <w:tcW w:w="1468" w:type="dxa"/>
            <w:tcBorders>
              <w:top w:val="nil"/>
              <w:left w:val="nil"/>
              <w:bottom w:val="single" w:sz="4" w:space="0" w:color="auto"/>
              <w:right w:val="single" w:sz="4" w:space="0" w:color="auto"/>
            </w:tcBorders>
            <w:shd w:val="clear" w:color="auto" w:fill="auto"/>
            <w:noWrap/>
            <w:vAlign w:val="center"/>
            <w:hideMark/>
          </w:tcPr>
          <w:p w14:paraId="3FCA797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w:t>
            </w:r>
          </w:p>
        </w:tc>
        <w:tc>
          <w:tcPr>
            <w:tcW w:w="1468" w:type="dxa"/>
            <w:tcBorders>
              <w:top w:val="nil"/>
              <w:left w:val="nil"/>
              <w:bottom w:val="single" w:sz="4" w:space="0" w:color="auto"/>
              <w:right w:val="single" w:sz="4" w:space="0" w:color="auto"/>
            </w:tcBorders>
            <w:shd w:val="clear" w:color="auto" w:fill="auto"/>
            <w:noWrap/>
            <w:vAlign w:val="center"/>
            <w:hideMark/>
          </w:tcPr>
          <w:p w14:paraId="55A3A61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£318</w:t>
            </w:r>
          </w:p>
        </w:tc>
        <w:tc>
          <w:tcPr>
            <w:tcW w:w="1468" w:type="dxa"/>
            <w:tcBorders>
              <w:top w:val="nil"/>
              <w:left w:val="nil"/>
              <w:bottom w:val="single" w:sz="4" w:space="0" w:color="auto"/>
              <w:right w:val="single" w:sz="4" w:space="0" w:color="auto"/>
            </w:tcBorders>
            <w:shd w:val="clear" w:color="auto" w:fill="auto"/>
            <w:noWrap/>
            <w:vAlign w:val="center"/>
            <w:hideMark/>
          </w:tcPr>
          <w:p w14:paraId="0228DAD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£317</w:t>
            </w:r>
          </w:p>
        </w:tc>
        <w:tc>
          <w:tcPr>
            <w:tcW w:w="1469" w:type="dxa"/>
            <w:tcBorders>
              <w:top w:val="nil"/>
              <w:left w:val="nil"/>
              <w:bottom w:val="single" w:sz="4" w:space="0" w:color="auto"/>
              <w:right w:val="single" w:sz="4" w:space="0" w:color="auto"/>
            </w:tcBorders>
            <w:shd w:val="clear" w:color="auto" w:fill="auto"/>
            <w:noWrap/>
            <w:vAlign w:val="center"/>
            <w:hideMark/>
          </w:tcPr>
          <w:p w14:paraId="745F38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£314</w:t>
            </w:r>
          </w:p>
        </w:tc>
        <w:tc>
          <w:tcPr>
            <w:tcW w:w="1985" w:type="dxa"/>
            <w:tcBorders>
              <w:top w:val="nil"/>
              <w:left w:val="nil"/>
              <w:bottom w:val="single" w:sz="4" w:space="0" w:color="auto"/>
              <w:right w:val="single" w:sz="4" w:space="0" w:color="auto"/>
            </w:tcBorders>
            <w:shd w:val="clear" w:color="auto" w:fill="auto"/>
            <w:noWrap/>
            <w:vAlign w:val="center"/>
            <w:hideMark/>
          </w:tcPr>
          <w:p w14:paraId="04057A4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£1,267</w:t>
            </w:r>
          </w:p>
        </w:tc>
      </w:tr>
      <w:tr w:rsidR="004433D7" w:rsidRPr="004433D7" w14:paraId="2C1584AF"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ED8839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EDF Energy Customers Plc</w:t>
            </w:r>
          </w:p>
        </w:tc>
        <w:tc>
          <w:tcPr>
            <w:tcW w:w="1468" w:type="dxa"/>
            <w:tcBorders>
              <w:top w:val="nil"/>
              <w:left w:val="nil"/>
              <w:bottom w:val="single" w:sz="4" w:space="0" w:color="auto"/>
              <w:right w:val="single" w:sz="4" w:space="0" w:color="auto"/>
            </w:tcBorders>
            <w:shd w:val="clear" w:color="auto" w:fill="auto"/>
            <w:noWrap/>
            <w:vAlign w:val="center"/>
            <w:hideMark/>
          </w:tcPr>
          <w:p w14:paraId="433E28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£396,971</w:t>
            </w:r>
          </w:p>
        </w:tc>
        <w:tc>
          <w:tcPr>
            <w:tcW w:w="1468" w:type="dxa"/>
            <w:tcBorders>
              <w:top w:val="nil"/>
              <w:left w:val="nil"/>
              <w:bottom w:val="single" w:sz="4" w:space="0" w:color="auto"/>
              <w:right w:val="single" w:sz="4" w:space="0" w:color="auto"/>
            </w:tcBorders>
            <w:shd w:val="clear" w:color="auto" w:fill="auto"/>
            <w:noWrap/>
            <w:vAlign w:val="center"/>
            <w:hideMark/>
          </w:tcPr>
          <w:p w14:paraId="429C0A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£396,380</w:t>
            </w:r>
          </w:p>
        </w:tc>
        <w:tc>
          <w:tcPr>
            <w:tcW w:w="1468" w:type="dxa"/>
            <w:tcBorders>
              <w:top w:val="nil"/>
              <w:left w:val="nil"/>
              <w:bottom w:val="single" w:sz="4" w:space="0" w:color="auto"/>
              <w:right w:val="single" w:sz="4" w:space="0" w:color="auto"/>
            </w:tcBorders>
            <w:shd w:val="clear" w:color="auto" w:fill="auto"/>
            <w:noWrap/>
            <w:vAlign w:val="center"/>
            <w:hideMark/>
          </w:tcPr>
          <w:p w14:paraId="774BC11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£396,017</w:t>
            </w:r>
          </w:p>
        </w:tc>
        <w:tc>
          <w:tcPr>
            <w:tcW w:w="1469" w:type="dxa"/>
            <w:tcBorders>
              <w:top w:val="nil"/>
              <w:left w:val="nil"/>
              <w:bottom w:val="single" w:sz="4" w:space="0" w:color="auto"/>
              <w:right w:val="single" w:sz="4" w:space="0" w:color="auto"/>
            </w:tcBorders>
            <w:shd w:val="clear" w:color="auto" w:fill="auto"/>
            <w:noWrap/>
            <w:vAlign w:val="center"/>
            <w:hideMark/>
          </w:tcPr>
          <w:p w14:paraId="303C75F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£392,185</w:t>
            </w:r>
          </w:p>
        </w:tc>
        <w:tc>
          <w:tcPr>
            <w:tcW w:w="1985" w:type="dxa"/>
            <w:tcBorders>
              <w:top w:val="nil"/>
              <w:left w:val="nil"/>
              <w:bottom w:val="single" w:sz="4" w:space="0" w:color="auto"/>
              <w:right w:val="single" w:sz="4" w:space="0" w:color="auto"/>
            </w:tcBorders>
            <w:shd w:val="clear" w:color="auto" w:fill="auto"/>
            <w:noWrap/>
            <w:vAlign w:val="center"/>
            <w:hideMark/>
          </w:tcPr>
          <w:p w14:paraId="1A8645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£1,581,553</w:t>
            </w:r>
          </w:p>
        </w:tc>
      </w:tr>
      <w:tr w:rsidR="004433D7" w:rsidRPr="004433D7" w14:paraId="2FB83AFC"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08FF4A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Electric Ireland </w:t>
            </w:r>
          </w:p>
        </w:tc>
        <w:tc>
          <w:tcPr>
            <w:tcW w:w="1468" w:type="dxa"/>
            <w:tcBorders>
              <w:top w:val="nil"/>
              <w:left w:val="nil"/>
              <w:bottom w:val="single" w:sz="4" w:space="0" w:color="auto"/>
              <w:right w:val="single" w:sz="4" w:space="0" w:color="auto"/>
            </w:tcBorders>
            <w:shd w:val="clear" w:color="auto" w:fill="auto"/>
            <w:noWrap/>
            <w:vAlign w:val="center"/>
            <w:hideMark/>
          </w:tcPr>
          <w:p w14:paraId="3DAA9F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£4,863</w:t>
            </w:r>
          </w:p>
        </w:tc>
        <w:tc>
          <w:tcPr>
            <w:tcW w:w="1468" w:type="dxa"/>
            <w:tcBorders>
              <w:top w:val="nil"/>
              <w:left w:val="nil"/>
              <w:bottom w:val="single" w:sz="4" w:space="0" w:color="auto"/>
              <w:right w:val="single" w:sz="4" w:space="0" w:color="auto"/>
            </w:tcBorders>
            <w:shd w:val="clear" w:color="auto" w:fill="auto"/>
            <w:noWrap/>
            <w:vAlign w:val="center"/>
            <w:hideMark/>
          </w:tcPr>
          <w:p w14:paraId="55B6386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£4,856</w:t>
            </w:r>
          </w:p>
        </w:tc>
        <w:tc>
          <w:tcPr>
            <w:tcW w:w="1468" w:type="dxa"/>
            <w:tcBorders>
              <w:top w:val="nil"/>
              <w:left w:val="nil"/>
              <w:bottom w:val="single" w:sz="4" w:space="0" w:color="auto"/>
              <w:right w:val="single" w:sz="4" w:space="0" w:color="auto"/>
            </w:tcBorders>
            <w:shd w:val="clear" w:color="auto" w:fill="auto"/>
            <w:noWrap/>
            <w:vAlign w:val="center"/>
            <w:hideMark/>
          </w:tcPr>
          <w:p w14:paraId="4A9FDDF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£4,852</w:t>
            </w:r>
          </w:p>
        </w:tc>
        <w:tc>
          <w:tcPr>
            <w:tcW w:w="1469" w:type="dxa"/>
            <w:tcBorders>
              <w:top w:val="nil"/>
              <w:left w:val="nil"/>
              <w:bottom w:val="single" w:sz="4" w:space="0" w:color="auto"/>
              <w:right w:val="single" w:sz="4" w:space="0" w:color="auto"/>
            </w:tcBorders>
            <w:shd w:val="clear" w:color="auto" w:fill="auto"/>
            <w:noWrap/>
            <w:vAlign w:val="center"/>
            <w:hideMark/>
          </w:tcPr>
          <w:p w14:paraId="7213AF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£4,805</w:t>
            </w:r>
          </w:p>
        </w:tc>
        <w:tc>
          <w:tcPr>
            <w:tcW w:w="1985" w:type="dxa"/>
            <w:tcBorders>
              <w:top w:val="nil"/>
              <w:left w:val="nil"/>
              <w:bottom w:val="single" w:sz="4" w:space="0" w:color="auto"/>
              <w:right w:val="single" w:sz="4" w:space="0" w:color="auto"/>
            </w:tcBorders>
            <w:shd w:val="clear" w:color="auto" w:fill="auto"/>
            <w:noWrap/>
            <w:vAlign w:val="center"/>
            <w:hideMark/>
          </w:tcPr>
          <w:p w14:paraId="785353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£19,376</w:t>
            </w:r>
          </w:p>
        </w:tc>
      </w:tr>
      <w:tr w:rsidR="004433D7" w:rsidRPr="004433D7" w14:paraId="37E07A06"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9BBA06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Electricity Plus Supply Limited</w:t>
            </w:r>
          </w:p>
        </w:tc>
        <w:tc>
          <w:tcPr>
            <w:tcW w:w="1468" w:type="dxa"/>
            <w:tcBorders>
              <w:top w:val="nil"/>
              <w:left w:val="nil"/>
              <w:bottom w:val="single" w:sz="4" w:space="0" w:color="auto"/>
              <w:right w:val="single" w:sz="4" w:space="0" w:color="auto"/>
            </w:tcBorders>
            <w:shd w:val="clear" w:color="auto" w:fill="auto"/>
            <w:noWrap/>
            <w:vAlign w:val="center"/>
            <w:hideMark/>
          </w:tcPr>
          <w:p w14:paraId="3E05548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£15,771</w:t>
            </w:r>
          </w:p>
        </w:tc>
        <w:tc>
          <w:tcPr>
            <w:tcW w:w="1468" w:type="dxa"/>
            <w:tcBorders>
              <w:top w:val="nil"/>
              <w:left w:val="nil"/>
              <w:bottom w:val="single" w:sz="4" w:space="0" w:color="auto"/>
              <w:right w:val="single" w:sz="4" w:space="0" w:color="auto"/>
            </w:tcBorders>
            <w:shd w:val="clear" w:color="auto" w:fill="auto"/>
            <w:noWrap/>
            <w:vAlign w:val="center"/>
            <w:hideMark/>
          </w:tcPr>
          <w:p w14:paraId="6D879E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£15,748</w:t>
            </w:r>
          </w:p>
        </w:tc>
        <w:tc>
          <w:tcPr>
            <w:tcW w:w="1468" w:type="dxa"/>
            <w:tcBorders>
              <w:top w:val="nil"/>
              <w:left w:val="nil"/>
              <w:bottom w:val="single" w:sz="4" w:space="0" w:color="auto"/>
              <w:right w:val="single" w:sz="4" w:space="0" w:color="auto"/>
            </w:tcBorders>
            <w:shd w:val="clear" w:color="auto" w:fill="auto"/>
            <w:noWrap/>
            <w:vAlign w:val="center"/>
            <w:hideMark/>
          </w:tcPr>
          <w:p w14:paraId="06D757F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£15,733</w:t>
            </w:r>
          </w:p>
        </w:tc>
        <w:tc>
          <w:tcPr>
            <w:tcW w:w="1469" w:type="dxa"/>
            <w:tcBorders>
              <w:top w:val="nil"/>
              <w:left w:val="nil"/>
              <w:bottom w:val="single" w:sz="4" w:space="0" w:color="auto"/>
              <w:right w:val="single" w:sz="4" w:space="0" w:color="auto"/>
            </w:tcBorders>
            <w:shd w:val="clear" w:color="auto" w:fill="auto"/>
            <w:noWrap/>
            <w:vAlign w:val="center"/>
            <w:hideMark/>
          </w:tcPr>
          <w:p w14:paraId="0E5711B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£15,581</w:t>
            </w:r>
          </w:p>
        </w:tc>
        <w:tc>
          <w:tcPr>
            <w:tcW w:w="1985" w:type="dxa"/>
            <w:tcBorders>
              <w:top w:val="nil"/>
              <w:left w:val="nil"/>
              <w:bottom w:val="single" w:sz="4" w:space="0" w:color="auto"/>
              <w:right w:val="single" w:sz="4" w:space="0" w:color="auto"/>
            </w:tcBorders>
            <w:shd w:val="clear" w:color="auto" w:fill="auto"/>
            <w:noWrap/>
            <w:vAlign w:val="center"/>
            <w:hideMark/>
          </w:tcPr>
          <w:p w14:paraId="3D4FC25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£62,833</w:t>
            </w:r>
          </w:p>
        </w:tc>
      </w:tr>
      <w:tr w:rsidR="004433D7" w:rsidRPr="004433D7" w14:paraId="72A87FB3"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9B604E8"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Electroroute</w:t>
            </w:r>
            <w:proofErr w:type="spellEnd"/>
            <w:r w:rsidRPr="004433D7">
              <w:rPr>
                <w:rFonts w:eastAsia="Times New Roman" w:cs="Times New Roman"/>
                <w:color w:val="000000"/>
                <w:sz w:val="16"/>
                <w:szCs w:val="16"/>
              </w:rPr>
              <w:t xml:space="preserve">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16E7122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39AF00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09C3AA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9" w:type="dxa"/>
            <w:tcBorders>
              <w:top w:val="nil"/>
              <w:left w:val="nil"/>
              <w:bottom w:val="single" w:sz="4" w:space="0" w:color="auto"/>
              <w:right w:val="single" w:sz="4" w:space="0" w:color="auto"/>
            </w:tcBorders>
            <w:shd w:val="clear" w:color="auto" w:fill="auto"/>
            <w:noWrap/>
            <w:vAlign w:val="center"/>
            <w:hideMark/>
          </w:tcPr>
          <w:p w14:paraId="3265CE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14:paraId="06A4930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w:t>
            </w:r>
          </w:p>
        </w:tc>
      </w:tr>
      <w:tr w:rsidR="004433D7" w:rsidRPr="004433D7" w14:paraId="5105D56F"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537FD46"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Eneco</w:t>
            </w:r>
            <w:proofErr w:type="spellEnd"/>
            <w:r w:rsidRPr="004433D7">
              <w:rPr>
                <w:rFonts w:eastAsia="Times New Roman" w:cs="Times New Roman"/>
                <w:color w:val="000000"/>
                <w:sz w:val="16"/>
                <w:szCs w:val="16"/>
              </w:rPr>
              <w:t xml:space="preserve"> Energy Trade BV</w:t>
            </w:r>
          </w:p>
        </w:tc>
        <w:tc>
          <w:tcPr>
            <w:tcW w:w="1468" w:type="dxa"/>
            <w:tcBorders>
              <w:top w:val="nil"/>
              <w:left w:val="nil"/>
              <w:bottom w:val="single" w:sz="4" w:space="0" w:color="auto"/>
              <w:right w:val="single" w:sz="4" w:space="0" w:color="auto"/>
            </w:tcBorders>
            <w:shd w:val="clear" w:color="auto" w:fill="auto"/>
            <w:noWrap/>
            <w:vAlign w:val="center"/>
            <w:hideMark/>
          </w:tcPr>
          <w:p w14:paraId="0FFC3B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£4,552</w:t>
            </w:r>
          </w:p>
        </w:tc>
        <w:tc>
          <w:tcPr>
            <w:tcW w:w="1468" w:type="dxa"/>
            <w:tcBorders>
              <w:top w:val="nil"/>
              <w:left w:val="nil"/>
              <w:bottom w:val="single" w:sz="4" w:space="0" w:color="auto"/>
              <w:right w:val="single" w:sz="4" w:space="0" w:color="auto"/>
            </w:tcBorders>
            <w:shd w:val="clear" w:color="auto" w:fill="auto"/>
            <w:noWrap/>
            <w:vAlign w:val="center"/>
            <w:hideMark/>
          </w:tcPr>
          <w:p w14:paraId="5A7131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£4,545</w:t>
            </w:r>
          </w:p>
        </w:tc>
        <w:tc>
          <w:tcPr>
            <w:tcW w:w="1468" w:type="dxa"/>
            <w:tcBorders>
              <w:top w:val="nil"/>
              <w:left w:val="nil"/>
              <w:bottom w:val="single" w:sz="4" w:space="0" w:color="auto"/>
              <w:right w:val="single" w:sz="4" w:space="0" w:color="auto"/>
            </w:tcBorders>
            <w:shd w:val="clear" w:color="auto" w:fill="auto"/>
            <w:noWrap/>
            <w:vAlign w:val="center"/>
            <w:hideMark/>
          </w:tcPr>
          <w:p w14:paraId="438FFF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£4,541</w:t>
            </w:r>
          </w:p>
        </w:tc>
        <w:tc>
          <w:tcPr>
            <w:tcW w:w="1469" w:type="dxa"/>
            <w:tcBorders>
              <w:top w:val="nil"/>
              <w:left w:val="nil"/>
              <w:bottom w:val="single" w:sz="4" w:space="0" w:color="auto"/>
              <w:right w:val="single" w:sz="4" w:space="0" w:color="auto"/>
            </w:tcBorders>
            <w:shd w:val="clear" w:color="auto" w:fill="auto"/>
            <w:noWrap/>
            <w:vAlign w:val="center"/>
            <w:hideMark/>
          </w:tcPr>
          <w:p w14:paraId="065176C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£4,497</w:t>
            </w:r>
          </w:p>
        </w:tc>
        <w:tc>
          <w:tcPr>
            <w:tcW w:w="1985" w:type="dxa"/>
            <w:tcBorders>
              <w:top w:val="nil"/>
              <w:left w:val="nil"/>
              <w:bottom w:val="single" w:sz="4" w:space="0" w:color="auto"/>
              <w:right w:val="single" w:sz="4" w:space="0" w:color="auto"/>
            </w:tcBorders>
            <w:shd w:val="clear" w:color="auto" w:fill="auto"/>
            <w:noWrap/>
            <w:vAlign w:val="center"/>
            <w:hideMark/>
          </w:tcPr>
          <w:p w14:paraId="7E45A63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£18,135</w:t>
            </w:r>
          </w:p>
        </w:tc>
      </w:tr>
      <w:tr w:rsidR="004433D7" w:rsidRPr="004433D7" w14:paraId="00E3AED1"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7D9D42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Energia</w:t>
            </w:r>
            <w:proofErr w:type="spellEnd"/>
          </w:p>
        </w:tc>
        <w:tc>
          <w:tcPr>
            <w:tcW w:w="1468" w:type="dxa"/>
            <w:tcBorders>
              <w:top w:val="nil"/>
              <w:left w:val="nil"/>
              <w:bottom w:val="single" w:sz="4" w:space="0" w:color="auto"/>
              <w:right w:val="single" w:sz="4" w:space="0" w:color="auto"/>
            </w:tcBorders>
            <w:shd w:val="clear" w:color="auto" w:fill="auto"/>
            <w:noWrap/>
            <w:vAlign w:val="center"/>
            <w:hideMark/>
          </w:tcPr>
          <w:p w14:paraId="2AAD75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£4,567</w:t>
            </w:r>
          </w:p>
        </w:tc>
        <w:tc>
          <w:tcPr>
            <w:tcW w:w="1468" w:type="dxa"/>
            <w:tcBorders>
              <w:top w:val="nil"/>
              <w:left w:val="nil"/>
              <w:bottom w:val="single" w:sz="4" w:space="0" w:color="auto"/>
              <w:right w:val="single" w:sz="4" w:space="0" w:color="auto"/>
            </w:tcBorders>
            <w:shd w:val="clear" w:color="auto" w:fill="auto"/>
            <w:noWrap/>
            <w:vAlign w:val="center"/>
            <w:hideMark/>
          </w:tcPr>
          <w:p w14:paraId="5B7F91F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£4,560</w:t>
            </w:r>
          </w:p>
        </w:tc>
        <w:tc>
          <w:tcPr>
            <w:tcW w:w="1468" w:type="dxa"/>
            <w:tcBorders>
              <w:top w:val="nil"/>
              <w:left w:val="nil"/>
              <w:bottom w:val="single" w:sz="4" w:space="0" w:color="auto"/>
              <w:right w:val="single" w:sz="4" w:space="0" w:color="auto"/>
            </w:tcBorders>
            <w:shd w:val="clear" w:color="auto" w:fill="auto"/>
            <w:noWrap/>
            <w:vAlign w:val="center"/>
            <w:hideMark/>
          </w:tcPr>
          <w:p w14:paraId="480FC5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£4,556</w:t>
            </w:r>
          </w:p>
        </w:tc>
        <w:tc>
          <w:tcPr>
            <w:tcW w:w="1469" w:type="dxa"/>
            <w:tcBorders>
              <w:top w:val="nil"/>
              <w:left w:val="nil"/>
              <w:bottom w:val="single" w:sz="4" w:space="0" w:color="auto"/>
              <w:right w:val="single" w:sz="4" w:space="0" w:color="auto"/>
            </w:tcBorders>
            <w:shd w:val="clear" w:color="auto" w:fill="auto"/>
            <w:noWrap/>
            <w:vAlign w:val="center"/>
            <w:hideMark/>
          </w:tcPr>
          <w:p w14:paraId="2008CFB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£4,512</w:t>
            </w:r>
          </w:p>
        </w:tc>
        <w:tc>
          <w:tcPr>
            <w:tcW w:w="1985" w:type="dxa"/>
            <w:tcBorders>
              <w:top w:val="nil"/>
              <w:left w:val="nil"/>
              <w:bottom w:val="single" w:sz="4" w:space="0" w:color="auto"/>
              <w:right w:val="single" w:sz="4" w:space="0" w:color="auto"/>
            </w:tcBorders>
            <w:shd w:val="clear" w:color="auto" w:fill="auto"/>
            <w:noWrap/>
            <w:vAlign w:val="center"/>
            <w:hideMark/>
          </w:tcPr>
          <w:p w14:paraId="0D15301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£18,195</w:t>
            </w:r>
          </w:p>
        </w:tc>
      </w:tr>
      <w:tr w:rsidR="004433D7" w:rsidRPr="004433D7" w14:paraId="5E02F7F9"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9B6391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ENGIE 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1EB894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£76,421</w:t>
            </w:r>
          </w:p>
        </w:tc>
        <w:tc>
          <w:tcPr>
            <w:tcW w:w="1468" w:type="dxa"/>
            <w:tcBorders>
              <w:top w:val="nil"/>
              <w:left w:val="nil"/>
              <w:bottom w:val="single" w:sz="4" w:space="0" w:color="auto"/>
              <w:right w:val="single" w:sz="4" w:space="0" w:color="auto"/>
            </w:tcBorders>
            <w:shd w:val="clear" w:color="auto" w:fill="auto"/>
            <w:noWrap/>
            <w:vAlign w:val="center"/>
            <w:hideMark/>
          </w:tcPr>
          <w:p w14:paraId="2A16749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£76,307</w:t>
            </w:r>
          </w:p>
        </w:tc>
        <w:tc>
          <w:tcPr>
            <w:tcW w:w="1468" w:type="dxa"/>
            <w:tcBorders>
              <w:top w:val="nil"/>
              <w:left w:val="nil"/>
              <w:bottom w:val="single" w:sz="4" w:space="0" w:color="auto"/>
              <w:right w:val="single" w:sz="4" w:space="0" w:color="auto"/>
            </w:tcBorders>
            <w:shd w:val="clear" w:color="auto" w:fill="auto"/>
            <w:noWrap/>
            <w:vAlign w:val="center"/>
            <w:hideMark/>
          </w:tcPr>
          <w:p w14:paraId="3A83F2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£76,237</w:t>
            </w:r>
          </w:p>
        </w:tc>
        <w:tc>
          <w:tcPr>
            <w:tcW w:w="1469" w:type="dxa"/>
            <w:tcBorders>
              <w:top w:val="nil"/>
              <w:left w:val="nil"/>
              <w:bottom w:val="single" w:sz="4" w:space="0" w:color="auto"/>
              <w:right w:val="single" w:sz="4" w:space="0" w:color="auto"/>
            </w:tcBorders>
            <w:shd w:val="clear" w:color="auto" w:fill="auto"/>
            <w:noWrap/>
            <w:vAlign w:val="center"/>
            <w:hideMark/>
          </w:tcPr>
          <w:p w14:paraId="72FC739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£75,499</w:t>
            </w:r>
          </w:p>
        </w:tc>
        <w:tc>
          <w:tcPr>
            <w:tcW w:w="1985" w:type="dxa"/>
            <w:tcBorders>
              <w:top w:val="nil"/>
              <w:left w:val="nil"/>
              <w:bottom w:val="single" w:sz="4" w:space="0" w:color="auto"/>
              <w:right w:val="single" w:sz="4" w:space="0" w:color="auto"/>
            </w:tcBorders>
            <w:shd w:val="clear" w:color="auto" w:fill="auto"/>
            <w:noWrap/>
            <w:vAlign w:val="center"/>
            <w:hideMark/>
          </w:tcPr>
          <w:p w14:paraId="59EC6C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£304,464</w:t>
            </w:r>
          </w:p>
        </w:tc>
      </w:tr>
      <w:tr w:rsidR="004433D7" w:rsidRPr="004433D7" w14:paraId="1D6465B8"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2EFE1E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ESB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37BB0C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£1,227</w:t>
            </w:r>
          </w:p>
        </w:tc>
        <w:tc>
          <w:tcPr>
            <w:tcW w:w="1468" w:type="dxa"/>
            <w:tcBorders>
              <w:top w:val="nil"/>
              <w:left w:val="nil"/>
              <w:bottom w:val="single" w:sz="4" w:space="0" w:color="auto"/>
              <w:right w:val="single" w:sz="4" w:space="0" w:color="auto"/>
            </w:tcBorders>
            <w:shd w:val="clear" w:color="auto" w:fill="auto"/>
            <w:noWrap/>
            <w:vAlign w:val="center"/>
            <w:hideMark/>
          </w:tcPr>
          <w:p w14:paraId="1DCC14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£1,226</w:t>
            </w:r>
          </w:p>
        </w:tc>
        <w:tc>
          <w:tcPr>
            <w:tcW w:w="1468" w:type="dxa"/>
            <w:tcBorders>
              <w:top w:val="nil"/>
              <w:left w:val="nil"/>
              <w:bottom w:val="single" w:sz="4" w:space="0" w:color="auto"/>
              <w:right w:val="single" w:sz="4" w:space="0" w:color="auto"/>
            </w:tcBorders>
            <w:shd w:val="clear" w:color="auto" w:fill="auto"/>
            <w:noWrap/>
            <w:vAlign w:val="center"/>
            <w:hideMark/>
          </w:tcPr>
          <w:p w14:paraId="3939FC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£1,225</w:t>
            </w:r>
          </w:p>
        </w:tc>
        <w:tc>
          <w:tcPr>
            <w:tcW w:w="1469" w:type="dxa"/>
            <w:tcBorders>
              <w:top w:val="nil"/>
              <w:left w:val="nil"/>
              <w:bottom w:val="single" w:sz="4" w:space="0" w:color="auto"/>
              <w:right w:val="single" w:sz="4" w:space="0" w:color="auto"/>
            </w:tcBorders>
            <w:shd w:val="clear" w:color="auto" w:fill="auto"/>
            <w:noWrap/>
            <w:vAlign w:val="center"/>
            <w:hideMark/>
          </w:tcPr>
          <w:p w14:paraId="00AA3A2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£1,213</w:t>
            </w:r>
          </w:p>
        </w:tc>
        <w:tc>
          <w:tcPr>
            <w:tcW w:w="1985" w:type="dxa"/>
            <w:tcBorders>
              <w:top w:val="nil"/>
              <w:left w:val="nil"/>
              <w:bottom w:val="single" w:sz="4" w:space="0" w:color="auto"/>
              <w:right w:val="single" w:sz="4" w:space="0" w:color="auto"/>
            </w:tcBorders>
            <w:shd w:val="clear" w:color="auto" w:fill="auto"/>
            <w:noWrap/>
            <w:vAlign w:val="center"/>
            <w:hideMark/>
          </w:tcPr>
          <w:p w14:paraId="1D8549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£4,891</w:t>
            </w:r>
          </w:p>
        </w:tc>
      </w:tr>
      <w:tr w:rsidR="004433D7" w:rsidRPr="004433D7" w14:paraId="0B3E9FAE"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F9F169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 &amp; S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0532F0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£300</w:t>
            </w:r>
          </w:p>
        </w:tc>
        <w:tc>
          <w:tcPr>
            <w:tcW w:w="1468" w:type="dxa"/>
            <w:tcBorders>
              <w:top w:val="nil"/>
              <w:left w:val="nil"/>
              <w:bottom w:val="single" w:sz="4" w:space="0" w:color="auto"/>
              <w:right w:val="single" w:sz="4" w:space="0" w:color="auto"/>
            </w:tcBorders>
            <w:shd w:val="clear" w:color="auto" w:fill="auto"/>
            <w:noWrap/>
            <w:vAlign w:val="center"/>
            <w:hideMark/>
          </w:tcPr>
          <w:p w14:paraId="0E3FF79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468" w:type="dxa"/>
            <w:tcBorders>
              <w:top w:val="nil"/>
              <w:left w:val="nil"/>
              <w:bottom w:val="single" w:sz="4" w:space="0" w:color="auto"/>
              <w:right w:val="single" w:sz="4" w:space="0" w:color="auto"/>
            </w:tcBorders>
            <w:shd w:val="clear" w:color="auto" w:fill="auto"/>
            <w:noWrap/>
            <w:vAlign w:val="center"/>
            <w:hideMark/>
          </w:tcPr>
          <w:p w14:paraId="470AEC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£299</w:t>
            </w:r>
          </w:p>
        </w:tc>
        <w:tc>
          <w:tcPr>
            <w:tcW w:w="1469" w:type="dxa"/>
            <w:tcBorders>
              <w:top w:val="nil"/>
              <w:left w:val="nil"/>
              <w:bottom w:val="single" w:sz="4" w:space="0" w:color="auto"/>
              <w:right w:val="single" w:sz="4" w:space="0" w:color="auto"/>
            </w:tcBorders>
            <w:shd w:val="clear" w:color="auto" w:fill="auto"/>
            <w:noWrap/>
            <w:vAlign w:val="center"/>
            <w:hideMark/>
          </w:tcPr>
          <w:p w14:paraId="092D73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£296</w:t>
            </w:r>
          </w:p>
        </w:tc>
        <w:tc>
          <w:tcPr>
            <w:tcW w:w="1985" w:type="dxa"/>
            <w:tcBorders>
              <w:top w:val="nil"/>
              <w:left w:val="nil"/>
              <w:bottom w:val="single" w:sz="4" w:space="0" w:color="auto"/>
              <w:right w:val="single" w:sz="4" w:space="0" w:color="auto"/>
            </w:tcBorders>
            <w:shd w:val="clear" w:color="auto" w:fill="auto"/>
            <w:noWrap/>
            <w:vAlign w:val="center"/>
            <w:hideMark/>
          </w:tcPr>
          <w:p w14:paraId="2FA9416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£1,194</w:t>
            </w:r>
          </w:p>
        </w:tc>
      </w:tr>
      <w:tr w:rsidR="004433D7" w:rsidRPr="004433D7" w14:paraId="11A6CC69"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C807D7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Flow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685A6BB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£427</w:t>
            </w:r>
          </w:p>
        </w:tc>
        <w:tc>
          <w:tcPr>
            <w:tcW w:w="1468" w:type="dxa"/>
            <w:tcBorders>
              <w:top w:val="nil"/>
              <w:left w:val="nil"/>
              <w:bottom w:val="single" w:sz="4" w:space="0" w:color="auto"/>
              <w:right w:val="single" w:sz="4" w:space="0" w:color="auto"/>
            </w:tcBorders>
            <w:shd w:val="clear" w:color="auto" w:fill="auto"/>
            <w:noWrap/>
            <w:vAlign w:val="center"/>
            <w:hideMark/>
          </w:tcPr>
          <w:p w14:paraId="6FE22B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£426</w:t>
            </w:r>
          </w:p>
        </w:tc>
        <w:tc>
          <w:tcPr>
            <w:tcW w:w="1468" w:type="dxa"/>
            <w:tcBorders>
              <w:top w:val="nil"/>
              <w:left w:val="nil"/>
              <w:bottom w:val="single" w:sz="4" w:space="0" w:color="auto"/>
              <w:right w:val="single" w:sz="4" w:space="0" w:color="auto"/>
            </w:tcBorders>
            <w:shd w:val="clear" w:color="auto" w:fill="auto"/>
            <w:noWrap/>
            <w:vAlign w:val="center"/>
            <w:hideMark/>
          </w:tcPr>
          <w:p w14:paraId="52BD3AD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£425</w:t>
            </w:r>
          </w:p>
        </w:tc>
        <w:tc>
          <w:tcPr>
            <w:tcW w:w="1469" w:type="dxa"/>
            <w:tcBorders>
              <w:top w:val="nil"/>
              <w:left w:val="nil"/>
              <w:bottom w:val="single" w:sz="4" w:space="0" w:color="auto"/>
              <w:right w:val="single" w:sz="4" w:space="0" w:color="auto"/>
            </w:tcBorders>
            <w:shd w:val="clear" w:color="auto" w:fill="auto"/>
            <w:noWrap/>
            <w:vAlign w:val="center"/>
            <w:hideMark/>
          </w:tcPr>
          <w:p w14:paraId="4087D0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£421</w:t>
            </w:r>
          </w:p>
        </w:tc>
        <w:tc>
          <w:tcPr>
            <w:tcW w:w="1985" w:type="dxa"/>
            <w:tcBorders>
              <w:top w:val="nil"/>
              <w:left w:val="nil"/>
              <w:bottom w:val="single" w:sz="4" w:space="0" w:color="auto"/>
              <w:right w:val="single" w:sz="4" w:space="0" w:color="auto"/>
            </w:tcBorders>
            <w:shd w:val="clear" w:color="auto" w:fill="auto"/>
            <w:noWrap/>
            <w:vAlign w:val="center"/>
            <w:hideMark/>
          </w:tcPr>
          <w:p w14:paraId="354E232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£1,699</w:t>
            </w:r>
          </w:p>
        </w:tc>
      </w:tr>
      <w:tr w:rsidR="004433D7" w:rsidRPr="004433D7" w14:paraId="7B19A75B"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6FC91B0"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Gas and 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626DF9F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£215</w:t>
            </w:r>
          </w:p>
        </w:tc>
        <w:tc>
          <w:tcPr>
            <w:tcW w:w="1468" w:type="dxa"/>
            <w:tcBorders>
              <w:top w:val="nil"/>
              <w:left w:val="nil"/>
              <w:bottom w:val="single" w:sz="4" w:space="0" w:color="auto"/>
              <w:right w:val="single" w:sz="4" w:space="0" w:color="auto"/>
            </w:tcBorders>
            <w:shd w:val="clear" w:color="auto" w:fill="auto"/>
            <w:noWrap/>
            <w:vAlign w:val="center"/>
            <w:hideMark/>
          </w:tcPr>
          <w:p w14:paraId="301B10D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£214</w:t>
            </w:r>
          </w:p>
        </w:tc>
        <w:tc>
          <w:tcPr>
            <w:tcW w:w="1468" w:type="dxa"/>
            <w:tcBorders>
              <w:top w:val="nil"/>
              <w:left w:val="nil"/>
              <w:bottom w:val="single" w:sz="4" w:space="0" w:color="auto"/>
              <w:right w:val="single" w:sz="4" w:space="0" w:color="auto"/>
            </w:tcBorders>
            <w:shd w:val="clear" w:color="auto" w:fill="auto"/>
            <w:noWrap/>
            <w:vAlign w:val="center"/>
            <w:hideMark/>
          </w:tcPr>
          <w:p w14:paraId="19628E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£214</w:t>
            </w:r>
          </w:p>
        </w:tc>
        <w:tc>
          <w:tcPr>
            <w:tcW w:w="1469" w:type="dxa"/>
            <w:tcBorders>
              <w:top w:val="nil"/>
              <w:left w:val="nil"/>
              <w:bottom w:val="single" w:sz="4" w:space="0" w:color="auto"/>
              <w:right w:val="single" w:sz="4" w:space="0" w:color="auto"/>
            </w:tcBorders>
            <w:shd w:val="clear" w:color="auto" w:fill="auto"/>
            <w:noWrap/>
            <w:vAlign w:val="center"/>
            <w:hideMark/>
          </w:tcPr>
          <w:p w14:paraId="74F3696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£212</w:t>
            </w:r>
          </w:p>
        </w:tc>
        <w:tc>
          <w:tcPr>
            <w:tcW w:w="1985" w:type="dxa"/>
            <w:tcBorders>
              <w:top w:val="nil"/>
              <w:left w:val="nil"/>
              <w:bottom w:val="single" w:sz="4" w:space="0" w:color="auto"/>
              <w:right w:val="single" w:sz="4" w:space="0" w:color="auto"/>
            </w:tcBorders>
            <w:shd w:val="clear" w:color="auto" w:fill="auto"/>
            <w:noWrap/>
            <w:vAlign w:val="center"/>
            <w:hideMark/>
          </w:tcPr>
          <w:p w14:paraId="391F26A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£855</w:t>
            </w:r>
          </w:p>
        </w:tc>
      </w:tr>
      <w:tr w:rsidR="004433D7" w:rsidRPr="004433D7" w14:paraId="13BAD7F2"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2364918"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Gazprom Marketing &amp; Trading Retail Limited</w:t>
            </w:r>
          </w:p>
        </w:tc>
        <w:tc>
          <w:tcPr>
            <w:tcW w:w="1468" w:type="dxa"/>
            <w:tcBorders>
              <w:top w:val="nil"/>
              <w:left w:val="nil"/>
              <w:bottom w:val="single" w:sz="4" w:space="0" w:color="auto"/>
              <w:right w:val="single" w:sz="4" w:space="0" w:color="auto"/>
            </w:tcBorders>
            <w:shd w:val="clear" w:color="auto" w:fill="auto"/>
            <w:noWrap/>
            <w:vAlign w:val="center"/>
            <w:hideMark/>
          </w:tcPr>
          <w:p w14:paraId="179EDB1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£6,258</w:t>
            </w:r>
          </w:p>
        </w:tc>
        <w:tc>
          <w:tcPr>
            <w:tcW w:w="1468" w:type="dxa"/>
            <w:tcBorders>
              <w:top w:val="nil"/>
              <w:left w:val="nil"/>
              <w:bottom w:val="single" w:sz="4" w:space="0" w:color="auto"/>
              <w:right w:val="single" w:sz="4" w:space="0" w:color="auto"/>
            </w:tcBorders>
            <w:shd w:val="clear" w:color="auto" w:fill="auto"/>
            <w:noWrap/>
            <w:vAlign w:val="center"/>
            <w:hideMark/>
          </w:tcPr>
          <w:p w14:paraId="4447AB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£6,249</w:t>
            </w:r>
          </w:p>
        </w:tc>
        <w:tc>
          <w:tcPr>
            <w:tcW w:w="1468" w:type="dxa"/>
            <w:tcBorders>
              <w:top w:val="nil"/>
              <w:left w:val="nil"/>
              <w:bottom w:val="single" w:sz="4" w:space="0" w:color="auto"/>
              <w:right w:val="single" w:sz="4" w:space="0" w:color="auto"/>
            </w:tcBorders>
            <w:shd w:val="clear" w:color="auto" w:fill="auto"/>
            <w:noWrap/>
            <w:vAlign w:val="center"/>
            <w:hideMark/>
          </w:tcPr>
          <w:p w14:paraId="0C9550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£6,243</w:t>
            </w:r>
          </w:p>
        </w:tc>
        <w:tc>
          <w:tcPr>
            <w:tcW w:w="1469" w:type="dxa"/>
            <w:tcBorders>
              <w:top w:val="nil"/>
              <w:left w:val="nil"/>
              <w:bottom w:val="single" w:sz="4" w:space="0" w:color="auto"/>
              <w:right w:val="single" w:sz="4" w:space="0" w:color="auto"/>
            </w:tcBorders>
            <w:shd w:val="clear" w:color="auto" w:fill="auto"/>
            <w:noWrap/>
            <w:vAlign w:val="center"/>
            <w:hideMark/>
          </w:tcPr>
          <w:p w14:paraId="5745BC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£6,182</w:t>
            </w:r>
          </w:p>
        </w:tc>
        <w:tc>
          <w:tcPr>
            <w:tcW w:w="1985" w:type="dxa"/>
            <w:tcBorders>
              <w:top w:val="nil"/>
              <w:left w:val="nil"/>
              <w:bottom w:val="single" w:sz="4" w:space="0" w:color="auto"/>
              <w:right w:val="single" w:sz="4" w:space="0" w:color="auto"/>
            </w:tcBorders>
            <w:shd w:val="clear" w:color="auto" w:fill="auto"/>
            <w:noWrap/>
            <w:vAlign w:val="center"/>
            <w:hideMark/>
          </w:tcPr>
          <w:p w14:paraId="2957433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£24,932</w:t>
            </w:r>
          </w:p>
        </w:tc>
      </w:tr>
      <w:tr w:rsidR="004433D7" w:rsidRPr="004433D7" w14:paraId="5EDAF412"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01FB2A8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 Power</w:t>
            </w:r>
          </w:p>
        </w:tc>
        <w:tc>
          <w:tcPr>
            <w:tcW w:w="1468" w:type="dxa"/>
            <w:tcBorders>
              <w:top w:val="nil"/>
              <w:left w:val="nil"/>
              <w:bottom w:val="single" w:sz="4" w:space="0" w:color="auto"/>
              <w:right w:val="single" w:sz="4" w:space="0" w:color="auto"/>
            </w:tcBorders>
            <w:shd w:val="clear" w:color="auto" w:fill="auto"/>
            <w:noWrap/>
            <w:vAlign w:val="center"/>
            <w:hideMark/>
          </w:tcPr>
          <w:p w14:paraId="1B9AEE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£899</w:t>
            </w:r>
          </w:p>
        </w:tc>
        <w:tc>
          <w:tcPr>
            <w:tcW w:w="1468" w:type="dxa"/>
            <w:tcBorders>
              <w:top w:val="nil"/>
              <w:left w:val="nil"/>
              <w:bottom w:val="single" w:sz="4" w:space="0" w:color="auto"/>
              <w:right w:val="single" w:sz="4" w:space="0" w:color="auto"/>
            </w:tcBorders>
            <w:shd w:val="clear" w:color="auto" w:fill="auto"/>
            <w:noWrap/>
            <w:vAlign w:val="center"/>
            <w:hideMark/>
          </w:tcPr>
          <w:p w14:paraId="21B702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£898</w:t>
            </w:r>
          </w:p>
        </w:tc>
        <w:tc>
          <w:tcPr>
            <w:tcW w:w="1468" w:type="dxa"/>
            <w:tcBorders>
              <w:top w:val="nil"/>
              <w:left w:val="nil"/>
              <w:bottom w:val="single" w:sz="4" w:space="0" w:color="auto"/>
              <w:right w:val="single" w:sz="4" w:space="0" w:color="auto"/>
            </w:tcBorders>
            <w:shd w:val="clear" w:color="auto" w:fill="auto"/>
            <w:noWrap/>
            <w:vAlign w:val="center"/>
            <w:hideMark/>
          </w:tcPr>
          <w:p w14:paraId="04DBAFD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£897</w:t>
            </w:r>
          </w:p>
        </w:tc>
        <w:tc>
          <w:tcPr>
            <w:tcW w:w="1469" w:type="dxa"/>
            <w:tcBorders>
              <w:top w:val="nil"/>
              <w:left w:val="nil"/>
              <w:bottom w:val="single" w:sz="4" w:space="0" w:color="auto"/>
              <w:right w:val="single" w:sz="4" w:space="0" w:color="auto"/>
            </w:tcBorders>
            <w:shd w:val="clear" w:color="auto" w:fill="auto"/>
            <w:noWrap/>
            <w:vAlign w:val="center"/>
            <w:hideMark/>
          </w:tcPr>
          <w:p w14:paraId="7AF5EB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£888</w:t>
            </w:r>
          </w:p>
        </w:tc>
        <w:tc>
          <w:tcPr>
            <w:tcW w:w="1985" w:type="dxa"/>
            <w:tcBorders>
              <w:top w:val="nil"/>
              <w:left w:val="nil"/>
              <w:bottom w:val="single" w:sz="4" w:space="0" w:color="auto"/>
              <w:right w:val="single" w:sz="4" w:space="0" w:color="auto"/>
            </w:tcBorders>
            <w:shd w:val="clear" w:color="auto" w:fill="auto"/>
            <w:noWrap/>
            <w:vAlign w:val="center"/>
            <w:hideMark/>
          </w:tcPr>
          <w:p w14:paraId="47568FE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£3,582</w:t>
            </w:r>
          </w:p>
        </w:tc>
      </w:tr>
      <w:tr w:rsidR="004433D7" w:rsidRPr="004433D7" w14:paraId="59E3D71F"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0D23301"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Good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6AFB66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£5,205</w:t>
            </w:r>
          </w:p>
        </w:tc>
        <w:tc>
          <w:tcPr>
            <w:tcW w:w="1468" w:type="dxa"/>
            <w:tcBorders>
              <w:top w:val="nil"/>
              <w:left w:val="nil"/>
              <w:bottom w:val="single" w:sz="4" w:space="0" w:color="auto"/>
              <w:right w:val="single" w:sz="4" w:space="0" w:color="auto"/>
            </w:tcBorders>
            <w:shd w:val="clear" w:color="auto" w:fill="auto"/>
            <w:noWrap/>
            <w:vAlign w:val="center"/>
            <w:hideMark/>
          </w:tcPr>
          <w:p w14:paraId="4993A0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£5,197</w:t>
            </w:r>
          </w:p>
        </w:tc>
        <w:tc>
          <w:tcPr>
            <w:tcW w:w="1468" w:type="dxa"/>
            <w:tcBorders>
              <w:top w:val="nil"/>
              <w:left w:val="nil"/>
              <w:bottom w:val="single" w:sz="4" w:space="0" w:color="auto"/>
              <w:right w:val="single" w:sz="4" w:space="0" w:color="auto"/>
            </w:tcBorders>
            <w:shd w:val="clear" w:color="auto" w:fill="auto"/>
            <w:noWrap/>
            <w:vAlign w:val="center"/>
            <w:hideMark/>
          </w:tcPr>
          <w:p w14:paraId="3F75EC9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£5,192</w:t>
            </w:r>
          </w:p>
        </w:tc>
        <w:tc>
          <w:tcPr>
            <w:tcW w:w="1469" w:type="dxa"/>
            <w:tcBorders>
              <w:top w:val="nil"/>
              <w:left w:val="nil"/>
              <w:bottom w:val="single" w:sz="4" w:space="0" w:color="auto"/>
              <w:right w:val="single" w:sz="4" w:space="0" w:color="auto"/>
            </w:tcBorders>
            <w:shd w:val="clear" w:color="auto" w:fill="auto"/>
            <w:noWrap/>
            <w:vAlign w:val="center"/>
            <w:hideMark/>
          </w:tcPr>
          <w:p w14:paraId="2A0246C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£5,142</w:t>
            </w:r>
          </w:p>
        </w:tc>
        <w:tc>
          <w:tcPr>
            <w:tcW w:w="1985" w:type="dxa"/>
            <w:tcBorders>
              <w:top w:val="nil"/>
              <w:left w:val="nil"/>
              <w:bottom w:val="single" w:sz="4" w:space="0" w:color="auto"/>
              <w:right w:val="single" w:sz="4" w:space="0" w:color="auto"/>
            </w:tcBorders>
            <w:shd w:val="clear" w:color="auto" w:fill="auto"/>
            <w:noWrap/>
            <w:vAlign w:val="center"/>
            <w:hideMark/>
          </w:tcPr>
          <w:p w14:paraId="346320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£20,736</w:t>
            </w:r>
          </w:p>
        </w:tc>
      </w:tr>
      <w:tr w:rsidR="004433D7" w:rsidRPr="004433D7" w14:paraId="206B73CE"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4C0B8A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Energy (UK) plc</w:t>
            </w:r>
          </w:p>
        </w:tc>
        <w:tc>
          <w:tcPr>
            <w:tcW w:w="1468" w:type="dxa"/>
            <w:tcBorders>
              <w:top w:val="nil"/>
              <w:left w:val="nil"/>
              <w:bottom w:val="single" w:sz="4" w:space="0" w:color="auto"/>
              <w:right w:val="single" w:sz="4" w:space="0" w:color="auto"/>
            </w:tcBorders>
            <w:shd w:val="clear" w:color="auto" w:fill="auto"/>
            <w:noWrap/>
            <w:vAlign w:val="center"/>
            <w:hideMark/>
          </w:tcPr>
          <w:p w14:paraId="4079745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£1,091</w:t>
            </w:r>
          </w:p>
        </w:tc>
        <w:tc>
          <w:tcPr>
            <w:tcW w:w="1468" w:type="dxa"/>
            <w:tcBorders>
              <w:top w:val="nil"/>
              <w:left w:val="nil"/>
              <w:bottom w:val="single" w:sz="4" w:space="0" w:color="auto"/>
              <w:right w:val="single" w:sz="4" w:space="0" w:color="auto"/>
            </w:tcBorders>
            <w:shd w:val="clear" w:color="auto" w:fill="auto"/>
            <w:noWrap/>
            <w:vAlign w:val="center"/>
            <w:hideMark/>
          </w:tcPr>
          <w:p w14:paraId="0E7180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£1,089</w:t>
            </w:r>
          </w:p>
        </w:tc>
        <w:tc>
          <w:tcPr>
            <w:tcW w:w="1468" w:type="dxa"/>
            <w:tcBorders>
              <w:top w:val="nil"/>
              <w:left w:val="nil"/>
              <w:bottom w:val="single" w:sz="4" w:space="0" w:color="auto"/>
              <w:right w:val="single" w:sz="4" w:space="0" w:color="auto"/>
            </w:tcBorders>
            <w:shd w:val="clear" w:color="auto" w:fill="auto"/>
            <w:noWrap/>
            <w:vAlign w:val="center"/>
            <w:hideMark/>
          </w:tcPr>
          <w:p w14:paraId="336260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£1,088</w:t>
            </w:r>
          </w:p>
        </w:tc>
        <w:tc>
          <w:tcPr>
            <w:tcW w:w="1469" w:type="dxa"/>
            <w:tcBorders>
              <w:top w:val="nil"/>
              <w:left w:val="nil"/>
              <w:bottom w:val="single" w:sz="4" w:space="0" w:color="auto"/>
              <w:right w:val="single" w:sz="4" w:space="0" w:color="auto"/>
            </w:tcBorders>
            <w:shd w:val="clear" w:color="auto" w:fill="auto"/>
            <w:noWrap/>
            <w:vAlign w:val="center"/>
            <w:hideMark/>
          </w:tcPr>
          <w:p w14:paraId="6029D2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£1,077</w:t>
            </w:r>
          </w:p>
        </w:tc>
        <w:tc>
          <w:tcPr>
            <w:tcW w:w="1985" w:type="dxa"/>
            <w:tcBorders>
              <w:top w:val="nil"/>
              <w:left w:val="nil"/>
              <w:bottom w:val="single" w:sz="4" w:space="0" w:color="auto"/>
              <w:right w:val="single" w:sz="4" w:space="0" w:color="auto"/>
            </w:tcBorders>
            <w:shd w:val="clear" w:color="auto" w:fill="auto"/>
            <w:noWrap/>
            <w:vAlign w:val="center"/>
            <w:hideMark/>
          </w:tcPr>
          <w:p w14:paraId="3F7C58E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£4,345</w:t>
            </w:r>
          </w:p>
        </w:tc>
      </w:tr>
      <w:tr w:rsidR="004433D7" w:rsidRPr="004433D7" w14:paraId="728BB02A"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546702A"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Green Network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0A49DC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£1,098</w:t>
            </w:r>
          </w:p>
        </w:tc>
        <w:tc>
          <w:tcPr>
            <w:tcW w:w="1468" w:type="dxa"/>
            <w:tcBorders>
              <w:top w:val="nil"/>
              <w:left w:val="nil"/>
              <w:bottom w:val="single" w:sz="4" w:space="0" w:color="auto"/>
              <w:right w:val="single" w:sz="4" w:space="0" w:color="auto"/>
            </w:tcBorders>
            <w:shd w:val="clear" w:color="auto" w:fill="auto"/>
            <w:noWrap/>
            <w:vAlign w:val="center"/>
            <w:hideMark/>
          </w:tcPr>
          <w:p w14:paraId="4E94E55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£1,096</w:t>
            </w:r>
          </w:p>
        </w:tc>
        <w:tc>
          <w:tcPr>
            <w:tcW w:w="1468" w:type="dxa"/>
            <w:tcBorders>
              <w:top w:val="nil"/>
              <w:left w:val="nil"/>
              <w:bottom w:val="single" w:sz="4" w:space="0" w:color="auto"/>
              <w:right w:val="single" w:sz="4" w:space="0" w:color="auto"/>
            </w:tcBorders>
            <w:shd w:val="clear" w:color="auto" w:fill="auto"/>
            <w:noWrap/>
            <w:vAlign w:val="center"/>
            <w:hideMark/>
          </w:tcPr>
          <w:p w14:paraId="412F08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469" w:type="dxa"/>
            <w:tcBorders>
              <w:top w:val="nil"/>
              <w:left w:val="nil"/>
              <w:bottom w:val="single" w:sz="4" w:space="0" w:color="auto"/>
              <w:right w:val="single" w:sz="4" w:space="0" w:color="auto"/>
            </w:tcBorders>
            <w:shd w:val="clear" w:color="auto" w:fill="auto"/>
            <w:noWrap/>
            <w:vAlign w:val="center"/>
            <w:hideMark/>
          </w:tcPr>
          <w:p w14:paraId="4453008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985" w:type="dxa"/>
            <w:tcBorders>
              <w:top w:val="nil"/>
              <w:left w:val="nil"/>
              <w:bottom w:val="single" w:sz="4" w:space="0" w:color="auto"/>
              <w:right w:val="single" w:sz="4" w:space="0" w:color="auto"/>
            </w:tcBorders>
            <w:shd w:val="clear" w:color="auto" w:fill="auto"/>
            <w:noWrap/>
            <w:vAlign w:val="center"/>
            <w:hideMark/>
          </w:tcPr>
          <w:p w14:paraId="3F491A8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£2,194</w:t>
            </w:r>
          </w:p>
        </w:tc>
      </w:tr>
      <w:tr w:rsidR="004433D7" w:rsidRPr="004433D7" w14:paraId="4EC926B8"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3F2368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Hartree Partners Supply (UK) Limited</w:t>
            </w:r>
          </w:p>
        </w:tc>
        <w:tc>
          <w:tcPr>
            <w:tcW w:w="1468" w:type="dxa"/>
            <w:tcBorders>
              <w:top w:val="nil"/>
              <w:left w:val="nil"/>
              <w:bottom w:val="single" w:sz="4" w:space="0" w:color="auto"/>
              <w:right w:val="single" w:sz="4" w:space="0" w:color="auto"/>
            </w:tcBorders>
            <w:shd w:val="clear" w:color="auto" w:fill="auto"/>
            <w:noWrap/>
            <w:vAlign w:val="center"/>
            <w:hideMark/>
          </w:tcPr>
          <w:p w14:paraId="2E22382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71D0EDA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773B31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9" w:type="dxa"/>
            <w:tcBorders>
              <w:top w:val="nil"/>
              <w:left w:val="nil"/>
              <w:bottom w:val="single" w:sz="4" w:space="0" w:color="auto"/>
              <w:right w:val="single" w:sz="4" w:space="0" w:color="auto"/>
            </w:tcBorders>
            <w:shd w:val="clear" w:color="auto" w:fill="auto"/>
            <w:noWrap/>
            <w:vAlign w:val="center"/>
            <w:hideMark/>
          </w:tcPr>
          <w:p w14:paraId="34DE87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14:paraId="580B91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w:t>
            </w:r>
          </w:p>
        </w:tc>
      </w:tr>
      <w:tr w:rsidR="004433D7" w:rsidRPr="004433D7" w14:paraId="206A7F62"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5DF501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Haven 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3311384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£116,576</w:t>
            </w:r>
          </w:p>
        </w:tc>
        <w:tc>
          <w:tcPr>
            <w:tcW w:w="1468" w:type="dxa"/>
            <w:tcBorders>
              <w:top w:val="nil"/>
              <w:left w:val="nil"/>
              <w:bottom w:val="single" w:sz="4" w:space="0" w:color="auto"/>
              <w:right w:val="single" w:sz="4" w:space="0" w:color="auto"/>
            </w:tcBorders>
            <w:shd w:val="clear" w:color="auto" w:fill="auto"/>
            <w:noWrap/>
            <w:vAlign w:val="center"/>
            <w:hideMark/>
          </w:tcPr>
          <w:p w14:paraId="36A820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£116,402</w:t>
            </w:r>
          </w:p>
        </w:tc>
        <w:tc>
          <w:tcPr>
            <w:tcW w:w="1468" w:type="dxa"/>
            <w:tcBorders>
              <w:top w:val="nil"/>
              <w:left w:val="nil"/>
              <w:bottom w:val="single" w:sz="4" w:space="0" w:color="auto"/>
              <w:right w:val="single" w:sz="4" w:space="0" w:color="auto"/>
            </w:tcBorders>
            <w:shd w:val="clear" w:color="auto" w:fill="auto"/>
            <w:noWrap/>
            <w:vAlign w:val="center"/>
            <w:hideMark/>
          </w:tcPr>
          <w:p w14:paraId="6AE0B3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£116,296</w:t>
            </w:r>
          </w:p>
        </w:tc>
        <w:tc>
          <w:tcPr>
            <w:tcW w:w="1469" w:type="dxa"/>
            <w:tcBorders>
              <w:top w:val="nil"/>
              <w:left w:val="nil"/>
              <w:bottom w:val="single" w:sz="4" w:space="0" w:color="auto"/>
              <w:right w:val="single" w:sz="4" w:space="0" w:color="auto"/>
            </w:tcBorders>
            <w:shd w:val="clear" w:color="auto" w:fill="auto"/>
            <w:noWrap/>
            <w:vAlign w:val="center"/>
            <w:hideMark/>
          </w:tcPr>
          <w:p w14:paraId="49403C1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£115,170</w:t>
            </w:r>
          </w:p>
        </w:tc>
        <w:tc>
          <w:tcPr>
            <w:tcW w:w="1985" w:type="dxa"/>
            <w:tcBorders>
              <w:top w:val="nil"/>
              <w:left w:val="nil"/>
              <w:bottom w:val="single" w:sz="4" w:space="0" w:color="auto"/>
              <w:right w:val="single" w:sz="4" w:space="0" w:color="auto"/>
            </w:tcBorders>
            <w:shd w:val="clear" w:color="auto" w:fill="auto"/>
            <w:noWrap/>
            <w:vAlign w:val="center"/>
            <w:hideMark/>
          </w:tcPr>
          <w:p w14:paraId="404E8C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£464,444</w:t>
            </w:r>
          </w:p>
        </w:tc>
      </w:tr>
      <w:tr w:rsidR="004433D7" w:rsidRPr="004433D7" w14:paraId="3D6B8681"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0A598A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I Supply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5BDE5E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£6,083</w:t>
            </w:r>
          </w:p>
        </w:tc>
        <w:tc>
          <w:tcPr>
            <w:tcW w:w="1468" w:type="dxa"/>
            <w:tcBorders>
              <w:top w:val="nil"/>
              <w:left w:val="nil"/>
              <w:bottom w:val="single" w:sz="4" w:space="0" w:color="auto"/>
              <w:right w:val="single" w:sz="4" w:space="0" w:color="auto"/>
            </w:tcBorders>
            <w:shd w:val="clear" w:color="auto" w:fill="auto"/>
            <w:noWrap/>
            <w:vAlign w:val="center"/>
            <w:hideMark/>
          </w:tcPr>
          <w:p w14:paraId="7CEA2B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£6,074</w:t>
            </w:r>
          </w:p>
        </w:tc>
        <w:tc>
          <w:tcPr>
            <w:tcW w:w="1468" w:type="dxa"/>
            <w:tcBorders>
              <w:top w:val="nil"/>
              <w:left w:val="nil"/>
              <w:bottom w:val="single" w:sz="4" w:space="0" w:color="auto"/>
              <w:right w:val="single" w:sz="4" w:space="0" w:color="auto"/>
            </w:tcBorders>
            <w:shd w:val="clear" w:color="auto" w:fill="auto"/>
            <w:noWrap/>
            <w:vAlign w:val="center"/>
            <w:hideMark/>
          </w:tcPr>
          <w:p w14:paraId="3E922C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469" w:type="dxa"/>
            <w:tcBorders>
              <w:top w:val="nil"/>
              <w:left w:val="nil"/>
              <w:bottom w:val="single" w:sz="4" w:space="0" w:color="auto"/>
              <w:right w:val="single" w:sz="4" w:space="0" w:color="auto"/>
            </w:tcBorders>
            <w:shd w:val="clear" w:color="auto" w:fill="auto"/>
            <w:noWrap/>
            <w:vAlign w:val="center"/>
            <w:hideMark/>
          </w:tcPr>
          <w:p w14:paraId="08B9748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985" w:type="dxa"/>
            <w:tcBorders>
              <w:top w:val="nil"/>
              <w:left w:val="nil"/>
              <w:bottom w:val="single" w:sz="4" w:space="0" w:color="auto"/>
              <w:right w:val="single" w:sz="4" w:space="0" w:color="auto"/>
            </w:tcBorders>
            <w:shd w:val="clear" w:color="auto" w:fill="auto"/>
            <w:noWrap/>
            <w:vAlign w:val="center"/>
            <w:hideMark/>
          </w:tcPr>
          <w:p w14:paraId="4DB8965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£12,157</w:t>
            </w:r>
          </w:p>
        </w:tc>
      </w:tr>
      <w:tr w:rsidR="004433D7" w:rsidRPr="004433D7" w14:paraId="0FFA9874"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113DDF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Kensington 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523794D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£3,831</w:t>
            </w:r>
          </w:p>
        </w:tc>
        <w:tc>
          <w:tcPr>
            <w:tcW w:w="1468" w:type="dxa"/>
            <w:tcBorders>
              <w:top w:val="nil"/>
              <w:left w:val="nil"/>
              <w:bottom w:val="single" w:sz="4" w:space="0" w:color="auto"/>
              <w:right w:val="single" w:sz="4" w:space="0" w:color="auto"/>
            </w:tcBorders>
            <w:shd w:val="clear" w:color="auto" w:fill="auto"/>
            <w:noWrap/>
            <w:vAlign w:val="center"/>
            <w:hideMark/>
          </w:tcPr>
          <w:p w14:paraId="3956C25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£3,825</w:t>
            </w:r>
          </w:p>
        </w:tc>
        <w:tc>
          <w:tcPr>
            <w:tcW w:w="1468" w:type="dxa"/>
            <w:tcBorders>
              <w:top w:val="nil"/>
              <w:left w:val="nil"/>
              <w:bottom w:val="single" w:sz="4" w:space="0" w:color="auto"/>
              <w:right w:val="single" w:sz="4" w:space="0" w:color="auto"/>
            </w:tcBorders>
            <w:shd w:val="clear" w:color="auto" w:fill="auto"/>
            <w:noWrap/>
            <w:vAlign w:val="center"/>
            <w:hideMark/>
          </w:tcPr>
          <w:p w14:paraId="506A7E9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£3,821</w:t>
            </w:r>
          </w:p>
        </w:tc>
        <w:tc>
          <w:tcPr>
            <w:tcW w:w="1469" w:type="dxa"/>
            <w:tcBorders>
              <w:top w:val="nil"/>
              <w:left w:val="nil"/>
              <w:bottom w:val="single" w:sz="4" w:space="0" w:color="auto"/>
              <w:right w:val="single" w:sz="4" w:space="0" w:color="auto"/>
            </w:tcBorders>
            <w:shd w:val="clear" w:color="auto" w:fill="auto"/>
            <w:noWrap/>
            <w:vAlign w:val="center"/>
            <w:hideMark/>
          </w:tcPr>
          <w:p w14:paraId="208636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£3,784</w:t>
            </w:r>
          </w:p>
        </w:tc>
        <w:tc>
          <w:tcPr>
            <w:tcW w:w="1985" w:type="dxa"/>
            <w:tcBorders>
              <w:top w:val="nil"/>
              <w:left w:val="nil"/>
              <w:bottom w:val="single" w:sz="4" w:space="0" w:color="auto"/>
              <w:right w:val="single" w:sz="4" w:space="0" w:color="auto"/>
            </w:tcBorders>
            <w:shd w:val="clear" w:color="auto" w:fill="auto"/>
            <w:noWrap/>
            <w:vAlign w:val="center"/>
            <w:hideMark/>
          </w:tcPr>
          <w:p w14:paraId="57F5E9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£15,261</w:t>
            </w:r>
          </w:p>
        </w:tc>
      </w:tr>
      <w:tr w:rsidR="004433D7" w:rsidRPr="004433D7" w14:paraId="774E814E"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BB74FDE"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lastRenderedPageBreak/>
              <w:t>Limejump</w:t>
            </w:r>
            <w:proofErr w:type="spellEnd"/>
            <w:r w:rsidRPr="004433D7">
              <w:rPr>
                <w:rFonts w:eastAsia="Times New Roman" w:cs="Times New Roman"/>
                <w:color w:val="000000"/>
                <w:sz w:val="16"/>
                <w:szCs w:val="16"/>
              </w:rPr>
              <w:t xml:space="preserve">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627FB4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8" w:type="dxa"/>
            <w:tcBorders>
              <w:top w:val="nil"/>
              <w:left w:val="nil"/>
              <w:bottom w:val="single" w:sz="4" w:space="0" w:color="auto"/>
              <w:right w:val="single" w:sz="4" w:space="0" w:color="auto"/>
            </w:tcBorders>
            <w:shd w:val="clear" w:color="auto" w:fill="auto"/>
            <w:noWrap/>
            <w:vAlign w:val="center"/>
            <w:hideMark/>
          </w:tcPr>
          <w:p w14:paraId="58308CA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8" w:type="dxa"/>
            <w:tcBorders>
              <w:top w:val="nil"/>
              <w:left w:val="nil"/>
              <w:bottom w:val="single" w:sz="4" w:space="0" w:color="auto"/>
              <w:right w:val="single" w:sz="4" w:space="0" w:color="auto"/>
            </w:tcBorders>
            <w:shd w:val="clear" w:color="auto" w:fill="auto"/>
            <w:noWrap/>
            <w:vAlign w:val="center"/>
            <w:hideMark/>
          </w:tcPr>
          <w:p w14:paraId="599095C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469" w:type="dxa"/>
            <w:tcBorders>
              <w:top w:val="nil"/>
              <w:left w:val="nil"/>
              <w:bottom w:val="single" w:sz="4" w:space="0" w:color="auto"/>
              <w:right w:val="single" w:sz="4" w:space="0" w:color="auto"/>
            </w:tcBorders>
            <w:shd w:val="clear" w:color="auto" w:fill="auto"/>
            <w:noWrap/>
            <w:vAlign w:val="center"/>
            <w:hideMark/>
          </w:tcPr>
          <w:p w14:paraId="1ACE7BC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£35</w:t>
            </w:r>
          </w:p>
        </w:tc>
        <w:tc>
          <w:tcPr>
            <w:tcW w:w="1985" w:type="dxa"/>
            <w:tcBorders>
              <w:top w:val="nil"/>
              <w:left w:val="nil"/>
              <w:bottom w:val="single" w:sz="4" w:space="0" w:color="auto"/>
              <w:right w:val="single" w:sz="4" w:space="0" w:color="auto"/>
            </w:tcBorders>
            <w:shd w:val="clear" w:color="auto" w:fill="auto"/>
            <w:noWrap/>
            <w:vAlign w:val="center"/>
            <w:hideMark/>
          </w:tcPr>
          <w:p w14:paraId="7E6EAF7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£140</w:t>
            </w:r>
          </w:p>
        </w:tc>
      </w:tr>
      <w:tr w:rsidR="004433D7" w:rsidRPr="004433D7" w14:paraId="7680E585"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9C3912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MVV Environment Services Limited</w:t>
            </w:r>
          </w:p>
        </w:tc>
        <w:tc>
          <w:tcPr>
            <w:tcW w:w="1468" w:type="dxa"/>
            <w:tcBorders>
              <w:top w:val="nil"/>
              <w:left w:val="nil"/>
              <w:bottom w:val="single" w:sz="4" w:space="0" w:color="auto"/>
              <w:right w:val="single" w:sz="4" w:space="0" w:color="auto"/>
            </w:tcBorders>
            <w:shd w:val="clear" w:color="auto" w:fill="auto"/>
            <w:noWrap/>
            <w:vAlign w:val="center"/>
            <w:hideMark/>
          </w:tcPr>
          <w:p w14:paraId="7EA3B2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w:t>
            </w:r>
          </w:p>
        </w:tc>
        <w:tc>
          <w:tcPr>
            <w:tcW w:w="1468" w:type="dxa"/>
            <w:tcBorders>
              <w:top w:val="nil"/>
              <w:left w:val="nil"/>
              <w:bottom w:val="single" w:sz="4" w:space="0" w:color="auto"/>
              <w:right w:val="single" w:sz="4" w:space="0" w:color="auto"/>
            </w:tcBorders>
            <w:shd w:val="clear" w:color="auto" w:fill="auto"/>
            <w:noWrap/>
            <w:vAlign w:val="center"/>
            <w:hideMark/>
          </w:tcPr>
          <w:p w14:paraId="690A4A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w:t>
            </w:r>
          </w:p>
        </w:tc>
        <w:tc>
          <w:tcPr>
            <w:tcW w:w="1468" w:type="dxa"/>
            <w:tcBorders>
              <w:top w:val="nil"/>
              <w:left w:val="nil"/>
              <w:bottom w:val="single" w:sz="4" w:space="0" w:color="auto"/>
              <w:right w:val="single" w:sz="4" w:space="0" w:color="auto"/>
            </w:tcBorders>
            <w:shd w:val="clear" w:color="auto" w:fill="auto"/>
            <w:noWrap/>
            <w:vAlign w:val="center"/>
            <w:hideMark/>
          </w:tcPr>
          <w:p w14:paraId="4AE6431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w:t>
            </w:r>
          </w:p>
        </w:tc>
        <w:tc>
          <w:tcPr>
            <w:tcW w:w="1469" w:type="dxa"/>
            <w:tcBorders>
              <w:top w:val="nil"/>
              <w:left w:val="nil"/>
              <w:bottom w:val="single" w:sz="4" w:space="0" w:color="auto"/>
              <w:right w:val="single" w:sz="4" w:space="0" w:color="auto"/>
            </w:tcBorders>
            <w:shd w:val="clear" w:color="auto" w:fill="auto"/>
            <w:noWrap/>
            <w:vAlign w:val="center"/>
            <w:hideMark/>
          </w:tcPr>
          <w:p w14:paraId="7EA7D40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£28</w:t>
            </w:r>
          </w:p>
        </w:tc>
        <w:tc>
          <w:tcPr>
            <w:tcW w:w="1985" w:type="dxa"/>
            <w:tcBorders>
              <w:top w:val="nil"/>
              <w:left w:val="nil"/>
              <w:bottom w:val="single" w:sz="4" w:space="0" w:color="auto"/>
              <w:right w:val="single" w:sz="4" w:space="0" w:color="auto"/>
            </w:tcBorders>
            <w:shd w:val="clear" w:color="auto" w:fill="auto"/>
            <w:noWrap/>
            <w:vAlign w:val="center"/>
            <w:hideMark/>
          </w:tcPr>
          <w:p w14:paraId="077D8C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£112</w:t>
            </w:r>
          </w:p>
        </w:tc>
      </w:tr>
      <w:tr w:rsidR="004433D7" w:rsidRPr="004433D7" w14:paraId="3011E294"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9F21AC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Direct Limited</w:t>
            </w:r>
          </w:p>
        </w:tc>
        <w:tc>
          <w:tcPr>
            <w:tcW w:w="1468" w:type="dxa"/>
            <w:tcBorders>
              <w:top w:val="nil"/>
              <w:left w:val="nil"/>
              <w:bottom w:val="single" w:sz="4" w:space="0" w:color="auto"/>
              <w:right w:val="single" w:sz="4" w:space="0" w:color="auto"/>
            </w:tcBorders>
            <w:shd w:val="clear" w:color="auto" w:fill="auto"/>
            <w:noWrap/>
            <w:vAlign w:val="center"/>
            <w:hideMark/>
          </w:tcPr>
          <w:p w14:paraId="67FAEB2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£5,387</w:t>
            </w:r>
          </w:p>
        </w:tc>
        <w:tc>
          <w:tcPr>
            <w:tcW w:w="1468" w:type="dxa"/>
            <w:tcBorders>
              <w:top w:val="nil"/>
              <w:left w:val="nil"/>
              <w:bottom w:val="single" w:sz="4" w:space="0" w:color="auto"/>
              <w:right w:val="single" w:sz="4" w:space="0" w:color="auto"/>
            </w:tcBorders>
            <w:shd w:val="clear" w:color="auto" w:fill="auto"/>
            <w:noWrap/>
            <w:vAlign w:val="center"/>
            <w:hideMark/>
          </w:tcPr>
          <w:p w14:paraId="201B6E3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£5,379</w:t>
            </w:r>
          </w:p>
        </w:tc>
        <w:tc>
          <w:tcPr>
            <w:tcW w:w="1468" w:type="dxa"/>
            <w:tcBorders>
              <w:top w:val="nil"/>
              <w:left w:val="nil"/>
              <w:bottom w:val="single" w:sz="4" w:space="0" w:color="auto"/>
              <w:right w:val="single" w:sz="4" w:space="0" w:color="auto"/>
            </w:tcBorders>
            <w:shd w:val="clear" w:color="auto" w:fill="auto"/>
            <w:noWrap/>
            <w:vAlign w:val="center"/>
            <w:hideMark/>
          </w:tcPr>
          <w:p w14:paraId="575F046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£5,374</w:t>
            </w:r>
          </w:p>
        </w:tc>
        <w:tc>
          <w:tcPr>
            <w:tcW w:w="1469" w:type="dxa"/>
            <w:tcBorders>
              <w:top w:val="nil"/>
              <w:left w:val="nil"/>
              <w:bottom w:val="single" w:sz="4" w:space="0" w:color="auto"/>
              <w:right w:val="single" w:sz="4" w:space="0" w:color="auto"/>
            </w:tcBorders>
            <w:shd w:val="clear" w:color="auto" w:fill="auto"/>
            <w:noWrap/>
            <w:vAlign w:val="center"/>
            <w:hideMark/>
          </w:tcPr>
          <w:p w14:paraId="73398D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£5,322</w:t>
            </w:r>
          </w:p>
        </w:tc>
        <w:tc>
          <w:tcPr>
            <w:tcW w:w="1985" w:type="dxa"/>
            <w:tcBorders>
              <w:top w:val="nil"/>
              <w:left w:val="nil"/>
              <w:bottom w:val="single" w:sz="4" w:space="0" w:color="auto"/>
              <w:right w:val="single" w:sz="4" w:space="0" w:color="auto"/>
            </w:tcBorders>
            <w:shd w:val="clear" w:color="auto" w:fill="auto"/>
            <w:noWrap/>
            <w:vAlign w:val="center"/>
            <w:hideMark/>
          </w:tcPr>
          <w:p w14:paraId="01E4580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£21,462</w:t>
            </w:r>
          </w:p>
        </w:tc>
      </w:tr>
      <w:tr w:rsidR="004433D7" w:rsidRPr="004433D7" w14:paraId="701A9949"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92E200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398FC2B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£200,405</w:t>
            </w:r>
          </w:p>
        </w:tc>
        <w:tc>
          <w:tcPr>
            <w:tcW w:w="1468" w:type="dxa"/>
            <w:tcBorders>
              <w:top w:val="nil"/>
              <w:left w:val="nil"/>
              <w:bottom w:val="single" w:sz="4" w:space="0" w:color="auto"/>
              <w:right w:val="single" w:sz="4" w:space="0" w:color="auto"/>
            </w:tcBorders>
            <w:shd w:val="clear" w:color="auto" w:fill="auto"/>
            <w:noWrap/>
            <w:vAlign w:val="center"/>
            <w:hideMark/>
          </w:tcPr>
          <w:p w14:paraId="5B2D272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£200,107</w:t>
            </w:r>
          </w:p>
        </w:tc>
        <w:tc>
          <w:tcPr>
            <w:tcW w:w="1468" w:type="dxa"/>
            <w:tcBorders>
              <w:top w:val="nil"/>
              <w:left w:val="nil"/>
              <w:bottom w:val="single" w:sz="4" w:space="0" w:color="auto"/>
              <w:right w:val="single" w:sz="4" w:space="0" w:color="auto"/>
            </w:tcBorders>
            <w:shd w:val="clear" w:color="auto" w:fill="auto"/>
            <w:noWrap/>
            <w:vAlign w:val="center"/>
            <w:hideMark/>
          </w:tcPr>
          <w:p w14:paraId="6E4463C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£199,924</w:t>
            </w:r>
          </w:p>
        </w:tc>
        <w:tc>
          <w:tcPr>
            <w:tcW w:w="1469" w:type="dxa"/>
            <w:tcBorders>
              <w:top w:val="nil"/>
              <w:left w:val="nil"/>
              <w:bottom w:val="single" w:sz="4" w:space="0" w:color="auto"/>
              <w:right w:val="single" w:sz="4" w:space="0" w:color="auto"/>
            </w:tcBorders>
            <w:shd w:val="clear" w:color="auto" w:fill="auto"/>
            <w:noWrap/>
            <w:vAlign w:val="center"/>
            <w:hideMark/>
          </w:tcPr>
          <w:p w14:paraId="50B59E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£197,989</w:t>
            </w:r>
          </w:p>
        </w:tc>
        <w:tc>
          <w:tcPr>
            <w:tcW w:w="1985" w:type="dxa"/>
            <w:tcBorders>
              <w:top w:val="nil"/>
              <w:left w:val="nil"/>
              <w:bottom w:val="single" w:sz="4" w:space="0" w:color="auto"/>
              <w:right w:val="single" w:sz="4" w:space="0" w:color="auto"/>
            </w:tcBorders>
            <w:shd w:val="clear" w:color="auto" w:fill="auto"/>
            <w:noWrap/>
            <w:vAlign w:val="center"/>
            <w:hideMark/>
          </w:tcPr>
          <w:p w14:paraId="6297AE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£798,425</w:t>
            </w:r>
          </w:p>
        </w:tc>
      </w:tr>
      <w:tr w:rsidR="004433D7" w:rsidRPr="004433D7" w14:paraId="7151E34C"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7776E0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Northern Supply Limited</w:t>
            </w:r>
          </w:p>
        </w:tc>
        <w:tc>
          <w:tcPr>
            <w:tcW w:w="1468" w:type="dxa"/>
            <w:tcBorders>
              <w:top w:val="nil"/>
              <w:left w:val="nil"/>
              <w:bottom w:val="single" w:sz="4" w:space="0" w:color="auto"/>
              <w:right w:val="single" w:sz="4" w:space="0" w:color="auto"/>
            </w:tcBorders>
            <w:shd w:val="clear" w:color="auto" w:fill="auto"/>
            <w:noWrap/>
            <w:vAlign w:val="center"/>
            <w:hideMark/>
          </w:tcPr>
          <w:p w14:paraId="4BC584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£49,236</w:t>
            </w:r>
          </w:p>
        </w:tc>
        <w:tc>
          <w:tcPr>
            <w:tcW w:w="1468" w:type="dxa"/>
            <w:tcBorders>
              <w:top w:val="nil"/>
              <w:left w:val="nil"/>
              <w:bottom w:val="single" w:sz="4" w:space="0" w:color="auto"/>
              <w:right w:val="single" w:sz="4" w:space="0" w:color="auto"/>
            </w:tcBorders>
            <w:shd w:val="clear" w:color="auto" w:fill="auto"/>
            <w:noWrap/>
            <w:vAlign w:val="center"/>
            <w:hideMark/>
          </w:tcPr>
          <w:p w14:paraId="73854A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£49,163</w:t>
            </w:r>
          </w:p>
        </w:tc>
        <w:tc>
          <w:tcPr>
            <w:tcW w:w="1468" w:type="dxa"/>
            <w:tcBorders>
              <w:top w:val="nil"/>
              <w:left w:val="nil"/>
              <w:bottom w:val="single" w:sz="4" w:space="0" w:color="auto"/>
              <w:right w:val="single" w:sz="4" w:space="0" w:color="auto"/>
            </w:tcBorders>
            <w:shd w:val="clear" w:color="auto" w:fill="auto"/>
            <w:noWrap/>
            <w:vAlign w:val="center"/>
            <w:hideMark/>
          </w:tcPr>
          <w:p w14:paraId="5B89CA0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£49,118</w:t>
            </w:r>
          </w:p>
        </w:tc>
        <w:tc>
          <w:tcPr>
            <w:tcW w:w="1469" w:type="dxa"/>
            <w:tcBorders>
              <w:top w:val="nil"/>
              <w:left w:val="nil"/>
              <w:bottom w:val="single" w:sz="4" w:space="0" w:color="auto"/>
              <w:right w:val="single" w:sz="4" w:space="0" w:color="auto"/>
            </w:tcBorders>
            <w:shd w:val="clear" w:color="auto" w:fill="auto"/>
            <w:noWrap/>
            <w:vAlign w:val="center"/>
            <w:hideMark/>
          </w:tcPr>
          <w:p w14:paraId="5018616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£48,642</w:t>
            </w:r>
          </w:p>
        </w:tc>
        <w:tc>
          <w:tcPr>
            <w:tcW w:w="1985" w:type="dxa"/>
            <w:tcBorders>
              <w:top w:val="nil"/>
              <w:left w:val="nil"/>
              <w:bottom w:val="single" w:sz="4" w:space="0" w:color="auto"/>
              <w:right w:val="single" w:sz="4" w:space="0" w:color="auto"/>
            </w:tcBorders>
            <w:shd w:val="clear" w:color="auto" w:fill="auto"/>
            <w:noWrap/>
            <w:vAlign w:val="center"/>
            <w:hideMark/>
          </w:tcPr>
          <w:p w14:paraId="525DBE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£196,159</w:t>
            </w:r>
          </w:p>
        </w:tc>
      </w:tr>
      <w:tr w:rsidR="004433D7" w:rsidRPr="004433D7" w14:paraId="4CDC007F"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D89D93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Npower Yorkshire Supply Limited</w:t>
            </w:r>
          </w:p>
        </w:tc>
        <w:tc>
          <w:tcPr>
            <w:tcW w:w="1468" w:type="dxa"/>
            <w:tcBorders>
              <w:top w:val="nil"/>
              <w:left w:val="nil"/>
              <w:bottom w:val="single" w:sz="4" w:space="0" w:color="auto"/>
              <w:right w:val="single" w:sz="4" w:space="0" w:color="auto"/>
            </w:tcBorders>
            <w:shd w:val="clear" w:color="auto" w:fill="auto"/>
            <w:noWrap/>
            <w:vAlign w:val="center"/>
            <w:hideMark/>
          </w:tcPr>
          <w:p w14:paraId="5C5FD2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£5,041</w:t>
            </w:r>
          </w:p>
        </w:tc>
        <w:tc>
          <w:tcPr>
            <w:tcW w:w="1468" w:type="dxa"/>
            <w:tcBorders>
              <w:top w:val="nil"/>
              <w:left w:val="nil"/>
              <w:bottom w:val="single" w:sz="4" w:space="0" w:color="auto"/>
              <w:right w:val="single" w:sz="4" w:space="0" w:color="auto"/>
            </w:tcBorders>
            <w:shd w:val="clear" w:color="auto" w:fill="auto"/>
            <w:noWrap/>
            <w:vAlign w:val="center"/>
            <w:hideMark/>
          </w:tcPr>
          <w:p w14:paraId="630BFA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£5,033</w:t>
            </w:r>
          </w:p>
        </w:tc>
        <w:tc>
          <w:tcPr>
            <w:tcW w:w="1468" w:type="dxa"/>
            <w:tcBorders>
              <w:top w:val="nil"/>
              <w:left w:val="nil"/>
              <w:bottom w:val="single" w:sz="4" w:space="0" w:color="auto"/>
              <w:right w:val="single" w:sz="4" w:space="0" w:color="auto"/>
            </w:tcBorders>
            <w:shd w:val="clear" w:color="auto" w:fill="auto"/>
            <w:noWrap/>
            <w:vAlign w:val="center"/>
            <w:hideMark/>
          </w:tcPr>
          <w:p w14:paraId="5D8E21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£5,029</w:t>
            </w:r>
          </w:p>
        </w:tc>
        <w:tc>
          <w:tcPr>
            <w:tcW w:w="1469" w:type="dxa"/>
            <w:tcBorders>
              <w:top w:val="nil"/>
              <w:left w:val="nil"/>
              <w:bottom w:val="single" w:sz="4" w:space="0" w:color="auto"/>
              <w:right w:val="single" w:sz="4" w:space="0" w:color="auto"/>
            </w:tcBorders>
            <w:shd w:val="clear" w:color="auto" w:fill="auto"/>
            <w:noWrap/>
            <w:vAlign w:val="center"/>
            <w:hideMark/>
          </w:tcPr>
          <w:p w14:paraId="3097020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£4,980</w:t>
            </w:r>
          </w:p>
        </w:tc>
        <w:tc>
          <w:tcPr>
            <w:tcW w:w="1985" w:type="dxa"/>
            <w:tcBorders>
              <w:top w:val="nil"/>
              <w:left w:val="nil"/>
              <w:bottom w:val="single" w:sz="4" w:space="0" w:color="auto"/>
              <w:right w:val="single" w:sz="4" w:space="0" w:color="auto"/>
            </w:tcBorders>
            <w:shd w:val="clear" w:color="auto" w:fill="auto"/>
            <w:noWrap/>
            <w:vAlign w:val="center"/>
            <w:hideMark/>
          </w:tcPr>
          <w:p w14:paraId="2C36C97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£20,083</w:t>
            </w:r>
          </w:p>
        </w:tc>
      </w:tr>
      <w:tr w:rsidR="004433D7" w:rsidRPr="004433D7" w14:paraId="71FC7E72"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F0BE44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Octopus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7642217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£166</w:t>
            </w:r>
          </w:p>
        </w:tc>
        <w:tc>
          <w:tcPr>
            <w:tcW w:w="1468" w:type="dxa"/>
            <w:tcBorders>
              <w:top w:val="nil"/>
              <w:left w:val="nil"/>
              <w:bottom w:val="single" w:sz="4" w:space="0" w:color="auto"/>
              <w:right w:val="single" w:sz="4" w:space="0" w:color="auto"/>
            </w:tcBorders>
            <w:shd w:val="clear" w:color="auto" w:fill="auto"/>
            <w:noWrap/>
            <w:vAlign w:val="center"/>
            <w:hideMark/>
          </w:tcPr>
          <w:p w14:paraId="620B5EC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£166</w:t>
            </w:r>
          </w:p>
        </w:tc>
        <w:tc>
          <w:tcPr>
            <w:tcW w:w="1468" w:type="dxa"/>
            <w:tcBorders>
              <w:top w:val="nil"/>
              <w:left w:val="nil"/>
              <w:bottom w:val="single" w:sz="4" w:space="0" w:color="auto"/>
              <w:right w:val="single" w:sz="4" w:space="0" w:color="auto"/>
            </w:tcBorders>
            <w:shd w:val="clear" w:color="auto" w:fill="auto"/>
            <w:noWrap/>
            <w:vAlign w:val="center"/>
            <w:hideMark/>
          </w:tcPr>
          <w:p w14:paraId="693FABC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£166</w:t>
            </w:r>
          </w:p>
        </w:tc>
        <w:tc>
          <w:tcPr>
            <w:tcW w:w="1469" w:type="dxa"/>
            <w:tcBorders>
              <w:top w:val="nil"/>
              <w:left w:val="nil"/>
              <w:bottom w:val="single" w:sz="4" w:space="0" w:color="auto"/>
              <w:right w:val="single" w:sz="4" w:space="0" w:color="auto"/>
            </w:tcBorders>
            <w:shd w:val="clear" w:color="auto" w:fill="auto"/>
            <w:noWrap/>
            <w:vAlign w:val="center"/>
            <w:hideMark/>
          </w:tcPr>
          <w:p w14:paraId="4AAD76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£164</w:t>
            </w:r>
          </w:p>
        </w:tc>
        <w:tc>
          <w:tcPr>
            <w:tcW w:w="1985" w:type="dxa"/>
            <w:tcBorders>
              <w:top w:val="nil"/>
              <w:left w:val="nil"/>
              <w:bottom w:val="single" w:sz="4" w:space="0" w:color="auto"/>
              <w:right w:val="single" w:sz="4" w:space="0" w:color="auto"/>
            </w:tcBorders>
            <w:shd w:val="clear" w:color="auto" w:fill="auto"/>
            <w:noWrap/>
            <w:vAlign w:val="center"/>
            <w:hideMark/>
          </w:tcPr>
          <w:p w14:paraId="7B9DDB8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£662</w:t>
            </w:r>
          </w:p>
        </w:tc>
      </w:tr>
      <w:tr w:rsidR="004433D7" w:rsidRPr="004433D7" w14:paraId="16CEB7C9"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E8BCD8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(Corporate) Limited</w:t>
            </w:r>
          </w:p>
        </w:tc>
        <w:tc>
          <w:tcPr>
            <w:tcW w:w="1468" w:type="dxa"/>
            <w:tcBorders>
              <w:top w:val="nil"/>
              <w:left w:val="nil"/>
              <w:bottom w:val="single" w:sz="4" w:space="0" w:color="auto"/>
              <w:right w:val="single" w:sz="4" w:space="0" w:color="auto"/>
            </w:tcBorders>
            <w:shd w:val="clear" w:color="auto" w:fill="auto"/>
            <w:noWrap/>
            <w:vAlign w:val="center"/>
            <w:hideMark/>
          </w:tcPr>
          <w:p w14:paraId="5458A67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£22,164</w:t>
            </w:r>
          </w:p>
        </w:tc>
        <w:tc>
          <w:tcPr>
            <w:tcW w:w="1468" w:type="dxa"/>
            <w:tcBorders>
              <w:top w:val="nil"/>
              <w:left w:val="nil"/>
              <w:bottom w:val="single" w:sz="4" w:space="0" w:color="auto"/>
              <w:right w:val="single" w:sz="4" w:space="0" w:color="auto"/>
            </w:tcBorders>
            <w:shd w:val="clear" w:color="auto" w:fill="auto"/>
            <w:noWrap/>
            <w:vAlign w:val="center"/>
            <w:hideMark/>
          </w:tcPr>
          <w:p w14:paraId="67F6BE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£22,131</w:t>
            </w:r>
          </w:p>
        </w:tc>
        <w:tc>
          <w:tcPr>
            <w:tcW w:w="1468" w:type="dxa"/>
            <w:tcBorders>
              <w:top w:val="nil"/>
              <w:left w:val="nil"/>
              <w:bottom w:val="single" w:sz="4" w:space="0" w:color="auto"/>
              <w:right w:val="single" w:sz="4" w:space="0" w:color="auto"/>
            </w:tcBorders>
            <w:shd w:val="clear" w:color="auto" w:fill="auto"/>
            <w:noWrap/>
            <w:vAlign w:val="center"/>
            <w:hideMark/>
          </w:tcPr>
          <w:p w14:paraId="7FF4595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£22,111</w:t>
            </w:r>
          </w:p>
        </w:tc>
        <w:tc>
          <w:tcPr>
            <w:tcW w:w="1469" w:type="dxa"/>
            <w:tcBorders>
              <w:top w:val="nil"/>
              <w:left w:val="nil"/>
              <w:bottom w:val="single" w:sz="4" w:space="0" w:color="auto"/>
              <w:right w:val="single" w:sz="4" w:space="0" w:color="auto"/>
            </w:tcBorders>
            <w:shd w:val="clear" w:color="auto" w:fill="auto"/>
            <w:noWrap/>
            <w:vAlign w:val="center"/>
            <w:hideMark/>
          </w:tcPr>
          <w:p w14:paraId="5C13BD6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£21,897</w:t>
            </w:r>
          </w:p>
        </w:tc>
        <w:tc>
          <w:tcPr>
            <w:tcW w:w="1985" w:type="dxa"/>
            <w:tcBorders>
              <w:top w:val="nil"/>
              <w:left w:val="nil"/>
              <w:bottom w:val="single" w:sz="4" w:space="0" w:color="auto"/>
              <w:right w:val="single" w:sz="4" w:space="0" w:color="auto"/>
            </w:tcBorders>
            <w:shd w:val="clear" w:color="auto" w:fill="auto"/>
            <w:noWrap/>
            <w:vAlign w:val="center"/>
            <w:hideMark/>
          </w:tcPr>
          <w:p w14:paraId="7C56538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£88,303</w:t>
            </w:r>
          </w:p>
        </w:tc>
      </w:tr>
      <w:tr w:rsidR="004433D7" w:rsidRPr="004433D7" w14:paraId="6276F583"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36D62C7"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Opus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66732E1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£23,977</w:t>
            </w:r>
          </w:p>
        </w:tc>
        <w:tc>
          <w:tcPr>
            <w:tcW w:w="1468" w:type="dxa"/>
            <w:tcBorders>
              <w:top w:val="nil"/>
              <w:left w:val="nil"/>
              <w:bottom w:val="single" w:sz="4" w:space="0" w:color="auto"/>
              <w:right w:val="single" w:sz="4" w:space="0" w:color="auto"/>
            </w:tcBorders>
            <w:shd w:val="clear" w:color="auto" w:fill="auto"/>
            <w:noWrap/>
            <w:vAlign w:val="center"/>
            <w:hideMark/>
          </w:tcPr>
          <w:p w14:paraId="6BBBA18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£23,941</w:t>
            </w:r>
          </w:p>
        </w:tc>
        <w:tc>
          <w:tcPr>
            <w:tcW w:w="1468" w:type="dxa"/>
            <w:tcBorders>
              <w:top w:val="nil"/>
              <w:left w:val="nil"/>
              <w:bottom w:val="single" w:sz="4" w:space="0" w:color="auto"/>
              <w:right w:val="single" w:sz="4" w:space="0" w:color="auto"/>
            </w:tcBorders>
            <w:shd w:val="clear" w:color="auto" w:fill="auto"/>
            <w:noWrap/>
            <w:vAlign w:val="center"/>
            <w:hideMark/>
          </w:tcPr>
          <w:p w14:paraId="1830F0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£23,919</w:t>
            </w:r>
          </w:p>
        </w:tc>
        <w:tc>
          <w:tcPr>
            <w:tcW w:w="1469" w:type="dxa"/>
            <w:tcBorders>
              <w:top w:val="nil"/>
              <w:left w:val="nil"/>
              <w:bottom w:val="single" w:sz="4" w:space="0" w:color="auto"/>
              <w:right w:val="single" w:sz="4" w:space="0" w:color="auto"/>
            </w:tcBorders>
            <w:shd w:val="clear" w:color="auto" w:fill="auto"/>
            <w:noWrap/>
            <w:vAlign w:val="center"/>
            <w:hideMark/>
          </w:tcPr>
          <w:p w14:paraId="288D992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£23,687</w:t>
            </w:r>
          </w:p>
        </w:tc>
        <w:tc>
          <w:tcPr>
            <w:tcW w:w="1985" w:type="dxa"/>
            <w:tcBorders>
              <w:top w:val="nil"/>
              <w:left w:val="nil"/>
              <w:bottom w:val="single" w:sz="4" w:space="0" w:color="auto"/>
              <w:right w:val="single" w:sz="4" w:space="0" w:color="auto"/>
            </w:tcBorders>
            <w:shd w:val="clear" w:color="auto" w:fill="auto"/>
            <w:noWrap/>
            <w:vAlign w:val="center"/>
            <w:hideMark/>
          </w:tcPr>
          <w:p w14:paraId="5B3A310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£95,524</w:t>
            </w:r>
          </w:p>
        </w:tc>
      </w:tr>
      <w:tr w:rsidR="004433D7" w:rsidRPr="004433D7" w14:paraId="43F3774D"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08B58FF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Orbit Energy Limited </w:t>
            </w:r>
          </w:p>
        </w:tc>
        <w:tc>
          <w:tcPr>
            <w:tcW w:w="1468" w:type="dxa"/>
            <w:tcBorders>
              <w:top w:val="nil"/>
              <w:left w:val="nil"/>
              <w:bottom w:val="single" w:sz="4" w:space="0" w:color="auto"/>
              <w:right w:val="single" w:sz="4" w:space="0" w:color="auto"/>
            </w:tcBorders>
            <w:shd w:val="clear" w:color="auto" w:fill="auto"/>
            <w:noWrap/>
            <w:vAlign w:val="center"/>
            <w:hideMark/>
          </w:tcPr>
          <w:p w14:paraId="386197E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w:t>
            </w:r>
          </w:p>
        </w:tc>
        <w:tc>
          <w:tcPr>
            <w:tcW w:w="1468" w:type="dxa"/>
            <w:tcBorders>
              <w:top w:val="nil"/>
              <w:left w:val="nil"/>
              <w:bottom w:val="single" w:sz="4" w:space="0" w:color="auto"/>
              <w:right w:val="single" w:sz="4" w:space="0" w:color="auto"/>
            </w:tcBorders>
            <w:shd w:val="clear" w:color="auto" w:fill="auto"/>
            <w:noWrap/>
            <w:vAlign w:val="center"/>
            <w:hideMark/>
          </w:tcPr>
          <w:p w14:paraId="130C6AB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w:t>
            </w:r>
          </w:p>
        </w:tc>
        <w:tc>
          <w:tcPr>
            <w:tcW w:w="1468" w:type="dxa"/>
            <w:tcBorders>
              <w:top w:val="nil"/>
              <w:left w:val="nil"/>
              <w:bottom w:val="single" w:sz="4" w:space="0" w:color="auto"/>
              <w:right w:val="single" w:sz="4" w:space="0" w:color="auto"/>
            </w:tcBorders>
            <w:shd w:val="clear" w:color="auto" w:fill="auto"/>
            <w:noWrap/>
            <w:vAlign w:val="center"/>
            <w:hideMark/>
          </w:tcPr>
          <w:p w14:paraId="5E665E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£173</w:t>
            </w:r>
          </w:p>
        </w:tc>
        <w:tc>
          <w:tcPr>
            <w:tcW w:w="1469" w:type="dxa"/>
            <w:tcBorders>
              <w:top w:val="nil"/>
              <w:left w:val="nil"/>
              <w:bottom w:val="single" w:sz="4" w:space="0" w:color="auto"/>
              <w:right w:val="single" w:sz="4" w:space="0" w:color="auto"/>
            </w:tcBorders>
            <w:shd w:val="clear" w:color="auto" w:fill="auto"/>
            <w:noWrap/>
            <w:vAlign w:val="center"/>
            <w:hideMark/>
          </w:tcPr>
          <w:p w14:paraId="184AB9D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£171</w:t>
            </w:r>
          </w:p>
        </w:tc>
        <w:tc>
          <w:tcPr>
            <w:tcW w:w="1985" w:type="dxa"/>
            <w:tcBorders>
              <w:top w:val="nil"/>
              <w:left w:val="nil"/>
              <w:bottom w:val="single" w:sz="4" w:space="0" w:color="auto"/>
              <w:right w:val="single" w:sz="4" w:space="0" w:color="auto"/>
            </w:tcBorders>
            <w:shd w:val="clear" w:color="auto" w:fill="auto"/>
            <w:noWrap/>
            <w:vAlign w:val="center"/>
            <w:hideMark/>
          </w:tcPr>
          <w:p w14:paraId="05C7256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£690</w:t>
            </w:r>
          </w:p>
        </w:tc>
      </w:tr>
      <w:tr w:rsidR="004433D7" w:rsidRPr="004433D7" w14:paraId="4E1D6003"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E34A15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Orsted</w:t>
            </w:r>
            <w:proofErr w:type="spellEnd"/>
            <w:r w:rsidRPr="004433D7">
              <w:rPr>
                <w:rFonts w:eastAsia="Times New Roman" w:cs="Times New Roman"/>
                <w:color w:val="000000"/>
                <w:sz w:val="16"/>
                <w:szCs w:val="16"/>
              </w:rPr>
              <w:t xml:space="preserve"> Power Sales (UK) Limited</w:t>
            </w:r>
          </w:p>
        </w:tc>
        <w:tc>
          <w:tcPr>
            <w:tcW w:w="1468" w:type="dxa"/>
            <w:tcBorders>
              <w:top w:val="nil"/>
              <w:left w:val="nil"/>
              <w:bottom w:val="single" w:sz="4" w:space="0" w:color="auto"/>
              <w:right w:val="single" w:sz="4" w:space="0" w:color="auto"/>
            </w:tcBorders>
            <w:shd w:val="clear" w:color="auto" w:fill="auto"/>
            <w:noWrap/>
            <w:vAlign w:val="center"/>
            <w:hideMark/>
          </w:tcPr>
          <w:p w14:paraId="741F1ED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£38,842</w:t>
            </w:r>
          </w:p>
        </w:tc>
        <w:tc>
          <w:tcPr>
            <w:tcW w:w="1468" w:type="dxa"/>
            <w:tcBorders>
              <w:top w:val="nil"/>
              <w:left w:val="nil"/>
              <w:bottom w:val="single" w:sz="4" w:space="0" w:color="auto"/>
              <w:right w:val="single" w:sz="4" w:space="0" w:color="auto"/>
            </w:tcBorders>
            <w:shd w:val="clear" w:color="auto" w:fill="auto"/>
            <w:noWrap/>
            <w:vAlign w:val="center"/>
            <w:hideMark/>
          </w:tcPr>
          <w:p w14:paraId="68EEDE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£38,784</w:t>
            </w:r>
          </w:p>
        </w:tc>
        <w:tc>
          <w:tcPr>
            <w:tcW w:w="1468" w:type="dxa"/>
            <w:tcBorders>
              <w:top w:val="nil"/>
              <w:left w:val="nil"/>
              <w:bottom w:val="single" w:sz="4" w:space="0" w:color="auto"/>
              <w:right w:val="single" w:sz="4" w:space="0" w:color="auto"/>
            </w:tcBorders>
            <w:shd w:val="clear" w:color="auto" w:fill="auto"/>
            <w:noWrap/>
            <w:vAlign w:val="center"/>
            <w:hideMark/>
          </w:tcPr>
          <w:p w14:paraId="2ED97CA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£38,748</w:t>
            </w:r>
          </w:p>
        </w:tc>
        <w:tc>
          <w:tcPr>
            <w:tcW w:w="1469" w:type="dxa"/>
            <w:tcBorders>
              <w:top w:val="nil"/>
              <w:left w:val="nil"/>
              <w:bottom w:val="single" w:sz="4" w:space="0" w:color="auto"/>
              <w:right w:val="single" w:sz="4" w:space="0" w:color="auto"/>
            </w:tcBorders>
            <w:shd w:val="clear" w:color="auto" w:fill="auto"/>
            <w:noWrap/>
            <w:vAlign w:val="center"/>
            <w:hideMark/>
          </w:tcPr>
          <w:p w14:paraId="688F20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£38,374</w:t>
            </w:r>
          </w:p>
        </w:tc>
        <w:tc>
          <w:tcPr>
            <w:tcW w:w="1985" w:type="dxa"/>
            <w:tcBorders>
              <w:top w:val="nil"/>
              <w:left w:val="nil"/>
              <w:bottom w:val="single" w:sz="4" w:space="0" w:color="auto"/>
              <w:right w:val="single" w:sz="4" w:space="0" w:color="auto"/>
            </w:tcBorders>
            <w:shd w:val="clear" w:color="auto" w:fill="auto"/>
            <w:noWrap/>
            <w:vAlign w:val="center"/>
            <w:hideMark/>
          </w:tcPr>
          <w:p w14:paraId="55EF08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£154,748</w:t>
            </w:r>
          </w:p>
        </w:tc>
      </w:tr>
      <w:tr w:rsidR="004433D7" w:rsidRPr="004433D7" w14:paraId="1A21B856"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7F9333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OVO Electricity Limited</w:t>
            </w:r>
          </w:p>
        </w:tc>
        <w:tc>
          <w:tcPr>
            <w:tcW w:w="1468" w:type="dxa"/>
            <w:tcBorders>
              <w:top w:val="nil"/>
              <w:left w:val="nil"/>
              <w:bottom w:val="single" w:sz="4" w:space="0" w:color="auto"/>
              <w:right w:val="single" w:sz="4" w:space="0" w:color="auto"/>
            </w:tcBorders>
            <w:shd w:val="clear" w:color="auto" w:fill="auto"/>
            <w:noWrap/>
            <w:vAlign w:val="center"/>
            <w:hideMark/>
          </w:tcPr>
          <w:p w14:paraId="0E2EED4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£19,765</w:t>
            </w:r>
          </w:p>
        </w:tc>
        <w:tc>
          <w:tcPr>
            <w:tcW w:w="1468" w:type="dxa"/>
            <w:tcBorders>
              <w:top w:val="nil"/>
              <w:left w:val="nil"/>
              <w:bottom w:val="single" w:sz="4" w:space="0" w:color="auto"/>
              <w:right w:val="single" w:sz="4" w:space="0" w:color="auto"/>
            </w:tcBorders>
            <w:shd w:val="clear" w:color="auto" w:fill="auto"/>
            <w:noWrap/>
            <w:vAlign w:val="center"/>
            <w:hideMark/>
          </w:tcPr>
          <w:p w14:paraId="395148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£19,735</w:t>
            </w:r>
          </w:p>
        </w:tc>
        <w:tc>
          <w:tcPr>
            <w:tcW w:w="1468" w:type="dxa"/>
            <w:tcBorders>
              <w:top w:val="nil"/>
              <w:left w:val="nil"/>
              <w:bottom w:val="single" w:sz="4" w:space="0" w:color="auto"/>
              <w:right w:val="single" w:sz="4" w:space="0" w:color="auto"/>
            </w:tcBorders>
            <w:shd w:val="clear" w:color="auto" w:fill="auto"/>
            <w:noWrap/>
            <w:vAlign w:val="center"/>
            <w:hideMark/>
          </w:tcPr>
          <w:p w14:paraId="7E595D4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£19,717</w:t>
            </w:r>
          </w:p>
        </w:tc>
        <w:tc>
          <w:tcPr>
            <w:tcW w:w="1469" w:type="dxa"/>
            <w:tcBorders>
              <w:top w:val="nil"/>
              <w:left w:val="nil"/>
              <w:bottom w:val="single" w:sz="4" w:space="0" w:color="auto"/>
              <w:right w:val="single" w:sz="4" w:space="0" w:color="auto"/>
            </w:tcBorders>
            <w:shd w:val="clear" w:color="auto" w:fill="auto"/>
            <w:noWrap/>
            <w:vAlign w:val="center"/>
            <w:hideMark/>
          </w:tcPr>
          <w:p w14:paraId="455C6A0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£19,526</w:t>
            </w:r>
          </w:p>
        </w:tc>
        <w:tc>
          <w:tcPr>
            <w:tcW w:w="1985" w:type="dxa"/>
            <w:tcBorders>
              <w:top w:val="nil"/>
              <w:left w:val="nil"/>
              <w:bottom w:val="single" w:sz="4" w:space="0" w:color="auto"/>
              <w:right w:val="single" w:sz="4" w:space="0" w:color="auto"/>
            </w:tcBorders>
            <w:shd w:val="clear" w:color="auto" w:fill="auto"/>
            <w:noWrap/>
            <w:vAlign w:val="center"/>
            <w:hideMark/>
          </w:tcPr>
          <w:p w14:paraId="055B498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£78,743</w:t>
            </w:r>
          </w:p>
        </w:tc>
      </w:tr>
      <w:tr w:rsidR="004433D7" w:rsidRPr="004433D7" w14:paraId="11C681F0"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AA9765D"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PFP Energy Supplies Limited</w:t>
            </w:r>
          </w:p>
        </w:tc>
        <w:tc>
          <w:tcPr>
            <w:tcW w:w="1468" w:type="dxa"/>
            <w:tcBorders>
              <w:top w:val="nil"/>
              <w:left w:val="nil"/>
              <w:bottom w:val="single" w:sz="4" w:space="0" w:color="auto"/>
              <w:right w:val="single" w:sz="4" w:space="0" w:color="auto"/>
            </w:tcBorders>
            <w:shd w:val="clear" w:color="auto" w:fill="auto"/>
            <w:noWrap/>
            <w:vAlign w:val="center"/>
            <w:hideMark/>
          </w:tcPr>
          <w:p w14:paraId="722E8D5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£658</w:t>
            </w:r>
          </w:p>
        </w:tc>
        <w:tc>
          <w:tcPr>
            <w:tcW w:w="1468" w:type="dxa"/>
            <w:tcBorders>
              <w:top w:val="nil"/>
              <w:left w:val="nil"/>
              <w:bottom w:val="single" w:sz="4" w:space="0" w:color="auto"/>
              <w:right w:val="single" w:sz="4" w:space="0" w:color="auto"/>
            </w:tcBorders>
            <w:shd w:val="clear" w:color="auto" w:fill="auto"/>
            <w:noWrap/>
            <w:vAlign w:val="center"/>
            <w:hideMark/>
          </w:tcPr>
          <w:p w14:paraId="7EF084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w:t>
            </w:r>
          </w:p>
        </w:tc>
        <w:tc>
          <w:tcPr>
            <w:tcW w:w="1468" w:type="dxa"/>
            <w:tcBorders>
              <w:top w:val="nil"/>
              <w:left w:val="nil"/>
              <w:bottom w:val="single" w:sz="4" w:space="0" w:color="auto"/>
              <w:right w:val="single" w:sz="4" w:space="0" w:color="auto"/>
            </w:tcBorders>
            <w:shd w:val="clear" w:color="auto" w:fill="auto"/>
            <w:noWrap/>
            <w:vAlign w:val="center"/>
            <w:hideMark/>
          </w:tcPr>
          <w:p w14:paraId="6C0C19F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£657</w:t>
            </w:r>
          </w:p>
        </w:tc>
        <w:tc>
          <w:tcPr>
            <w:tcW w:w="1469" w:type="dxa"/>
            <w:tcBorders>
              <w:top w:val="nil"/>
              <w:left w:val="nil"/>
              <w:bottom w:val="single" w:sz="4" w:space="0" w:color="auto"/>
              <w:right w:val="single" w:sz="4" w:space="0" w:color="auto"/>
            </w:tcBorders>
            <w:shd w:val="clear" w:color="auto" w:fill="auto"/>
            <w:noWrap/>
            <w:vAlign w:val="center"/>
            <w:hideMark/>
          </w:tcPr>
          <w:p w14:paraId="274C6A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£650</w:t>
            </w:r>
          </w:p>
        </w:tc>
        <w:tc>
          <w:tcPr>
            <w:tcW w:w="1985" w:type="dxa"/>
            <w:tcBorders>
              <w:top w:val="nil"/>
              <w:left w:val="nil"/>
              <w:bottom w:val="single" w:sz="4" w:space="0" w:color="auto"/>
              <w:right w:val="single" w:sz="4" w:space="0" w:color="auto"/>
            </w:tcBorders>
            <w:shd w:val="clear" w:color="auto" w:fill="auto"/>
            <w:noWrap/>
            <w:vAlign w:val="center"/>
            <w:hideMark/>
          </w:tcPr>
          <w:p w14:paraId="399E87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£2,622</w:t>
            </w:r>
          </w:p>
        </w:tc>
      </w:tr>
      <w:tr w:rsidR="004433D7" w:rsidRPr="004433D7" w14:paraId="26F42CA0"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0773821F"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Power NI</w:t>
            </w:r>
          </w:p>
        </w:tc>
        <w:tc>
          <w:tcPr>
            <w:tcW w:w="1468" w:type="dxa"/>
            <w:tcBorders>
              <w:top w:val="nil"/>
              <w:left w:val="nil"/>
              <w:bottom w:val="single" w:sz="4" w:space="0" w:color="auto"/>
              <w:right w:val="single" w:sz="4" w:space="0" w:color="auto"/>
            </w:tcBorders>
            <w:shd w:val="clear" w:color="auto" w:fill="auto"/>
            <w:noWrap/>
            <w:vAlign w:val="center"/>
            <w:hideMark/>
          </w:tcPr>
          <w:p w14:paraId="75539FF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£9,752</w:t>
            </w:r>
          </w:p>
        </w:tc>
        <w:tc>
          <w:tcPr>
            <w:tcW w:w="1468" w:type="dxa"/>
            <w:tcBorders>
              <w:top w:val="nil"/>
              <w:left w:val="nil"/>
              <w:bottom w:val="single" w:sz="4" w:space="0" w:color="auto"/>
              <w:right w:val="single" w:sz="4" w:space="0" w:color="auto"/>
            </w:tcBorders>
            <w:shd w:val="clear" w:color="auto" w:fill="auto"/>
            <w:noWrap/>
            <w:vAlign w:val="center"/>
            <w:hideMark/>
          </w:tcPr>
          <w:p w14:paraId="242DF7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£9,738</w:t>
            </w:r>
          </w:p>
        </w:tc>
        <w:tc>
          <w:tcPr>
            <w:tcW w:w="1468" w:type="dxa"/>
            <w:tcBorders>
              <w:top w:val="nil"/>
              <w:left w:val="nil"/>
              <w:bottom w:val="single" w:sz="4" w:space="0" w:color="auto"/>
              <w:right w:val="single" w:sz="4" w:space="0" w:color="auto"/>
            </w:tcBorders>
            <w:shd w:val="clear" w:color="auto" w:fill="auto"/>
            <w:noWrap/>
            <w:vAlign w:val="center"/>
            <w:hideMark/>
          </w:tcPr>
          <w:p w14:paraId="127A82F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£9,729</w:t>
            </w:r>
          </w:p>
        </w:tc>
        <w:tc>
          <w:tcPr>
            <w:tcW w:w="1469" w:type="dxa"/>
            <w:tcBorders>
              <w:top w:val="nil"/>
              <w:left w:val="nil"/>
              <w:bottom w:val="single" w:sz="4" w:space="0" w:color="auto"/>
              <w:right w:val="single" w:sz="4" w:space="0" w:color="auto"/>
            </w:tcBorders>
            <w:shd w:val="clear" w:color="auto" w:fill="auto"/>
            <w:noWrap/>
            <w:vAlign w:val="center"/>
            <w:hideMark/>
          </w:tcPr>
          <w:p w14:paraId="0100150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£9,635</w:t>
            </w:r>
          </w:p>
        </w:tc>
        <w:tc>
          <w:tcPr>
            <w:tcW w:w="1985" w:type="dxa"/>
            <w:tcBorders>
              <w:top w:val="nil"/>
              <w:left w:val="nil"/>
              <w:bottom w:val="single" w:sz="4" w:space="0" w:color="auto"/>
              <w:right w:val="single" w:sz="4" w:space="0" w:color="auto"/>
            </w:tcBorders>
            <w:shd w:val="clear" w:color="auto" w:fill="auto"/>
            <w:noWrap/>
            <w:vAlign w:val="center"/>
            <w:hideMark/>
          </w:tcPr>
          <w:p w14:paraId="7B34783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£38,854</w:t>
            </w:r>
          </w:p>
        </w:tc>
      </w:tr>
      <w:tr w:rsidR="004433D7" w:rsidRPr="004433D7" w14:paraId="2F82E86B"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0060AAF4"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Pure Planet Limited</w:t>
            </w:r>
          </w:p>
        </w:tc>
        <w:tc>
          <w:tcPr>
            <w:tcW w:w="1468" w:type="dxa"/>
            <w:tcBorders>
              <w:top w:val="nil"/>
              <w:left w:val="nil"/>
              <w:bottom w:val="single" w:sz="4" w:space="0" w:color="auto"/>
              <w:right w:val="single" w:sz="4" w:space="0" w:color="auto"/>
            </w:tcBorders>
            <w:shd w:val="clear" w:color="auto" w:fill="auto"/>
            <w:noWrap/>
            <w:vAlign w:val="center"/>
            <w:hideMark/>
          </w:tcPr>
          <w:p w14:paraId="178B084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£3,137</w:t>
            </w:r>
          </w:p>
        </w:tc>
        <w:tc>
          <w:tcPr>
            <w:tcW w:w="1468" w:type="dxa"/>
            <w:tcBorders>
              <w:top w:val="nil"/>
              <w:left w:val="nil"/>
              <w:bottom w:val="single" w:sz="4" w:space="0" w:color="auto"/>
              <w:right w:val="single" w:sz="4" w:space="0" w:color="auto"/>
            </w:tcBorders>
            <w:shd w:val="clear" w:color="auto" w:fill="auto"/>
            <w:noWrap/>
            <w:vAlign w:val="center"/>
            <w:hideMark/>
          </w:tcPr>
          <w:p w14:paraId="4BC9DA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£3,132</w:t>
            </w:r>
          </w:p>
        </w:tc>
        <w:tc>
          <w:tcPr>
            <w:tcW w:w="1468" w:type="dxa"/>
            <w:tcBorders>
              <w:top w:val="nil"/>
              <w:left w:val="nil"/>
              <w:bottom w:val="single" w:sz="4" w:space="0" w:color="auto"/>
              <w:right w:val="single" w:sz="4" w:space="0" w:color="auto"/>
            </w:tcBorders>
            <w:shd w:val="clear" w:color="auto" w:fill="auto"/>
            <w:noWrap/>
            <w:vAlign w:val="center"/>
            <w:hideMark/>
          </w:tcPr>
          <w:p w14:paraId="19DC8DA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£3,129</w:t>
            </w:r>
          </w:p>
        </w:tc>
        <w:tc>
          <w:tcPr>
            <w:tcW w:w="1469" w:type="dxa"/>
            <w:tcBorders>
              <w:top w:val="nil"/>
              <w:left w:val="nil"/>
              <w:bottom w:val="single" w:sz="4" w:space="0" w:color="auto"/>
              <w:right w:val="single" w:sz="4" w:space="0" w:color="auto"/>
            </w:tcBorders>
            <w:shd w:val="clear" w:color="auto" w:fill="auto"/>
            <w:noWrap/>
            <w:vAlign w:val="center"/>
            <w:hideMark/>
          </w:tcPr>
          <w:p w14:paraId="3D320F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£3,099</w:t>
            </w:r>
          </w:p>
        </w:tc>
        <w:tc>
          <w:tcPr>
            <w:tcW w:w="1985" w:type="dxa"/>
            <w:tcBorders>
              <w:top w:val="nil"/>
              <w:left w:val="nil"/>
              <w:bottom w:val="single" w:sz="4" w:space="0" w:color="auto"/>
              <w:right w:val="single" w:sz="4" w:space="0" w:color="auto"/>
            </w:tcBorders>
            <w:shd w:val="clear" w:color="auto" w:fill="auto"/>
            <w:noWrap/>
            <w:vAlign w:val="center"/>
            <w:hideMark/>
          </w:tcPr>
          <w:p w14:paraId="44814D6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£12,497</w:t>
            </w:r>
          </w:p>
        </w:tc>
      </w:tr>
      <w:tr w:rsidR="004433D7" w:rsidRPr="004433D7" w14:paraId="65BC142B"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C1B2AB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Scottish Power Energy Retail Limited</w:t>
            </w:r>
          </w:p>
        </w:tc>
        <w:tc>
          <w:tcPr>
            <w:tcW w:w="1468" w:type="dxa"/>
            <w:tcBorders>
              <w:top w:val="nil"/>
              <w:left w:val="nil"/>
              <w:bottom w:val="single" w:sz="4" w:space="0" w:color="auto"/>
              <w:right w:val="single" w:sz="4" w:space="0" w:color="auto"/>
            </w:tcBorders>
            <w:shd w:val="clear" w:color="auto" w:fill="auto"/>
            <w:noWrap/>
            <w:vAlign w:val="center"/>
            <w:hideMark/>
          </w:tcPr>
          <w:p w14:paraId="494259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£198,153</w:t>
            </w:r>
          </w:p>
        </w:tc>
        <w:tc>
          <w:tcPr>
            <w:tcW w:w="1468" w:type="dxa"/>
            <w:tcBorders>
              <w:top w:val="nil"/>
              <w:left w:val="nil"/>
              <w:bottom w:val="single" w:sz="4" w:space="0" w:color="auto"/>
              <w:right w:val="single" w:sz="4" w:space="0" w:color="auto"/>
            </w:tcBorders>
            <w:shd w:val="clear" w:color="auto" w:fill="auto"/>
            <w:noWrap/>
            <w:vAlign w:val="center"/>
            <w:hideMark/>
          </w:tcPr>
          <w:p w14:paraId="117B73C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£197,858</w:t>
            </w:r>
          </w:p>
        </w:tc>
        <w:tc>
          <w:tcPr>
            <w:tcW w:w="1468" w:type="dxa"/>
            <w:tcBorders>
              <w:top w:val="nil"/>
              <w:left w:val="nil"/>
              <w:bottom w:val="single" w:sz="4" w:space="0" w:color="auto"/>
              <w:right w:val="single" w:sz="4" w:space="0" w:color="auto"/>
            </w:tcBorders>
            <w:shd w:val="clear" w:color="auto" w:fill="auto"/>
            <w:noWrap/>
            <w:vAlign w:val="center"/>
            <w:hideMark/>
          </w:tcPr>
          <w:p w14:paraId="4815412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£197,677</w:t>
            </w:r>
          </w:p>
        </w:tc>
        <w:tc>
          <w:tcPr>
            <w:tcW w:w="1469" w:type="dxa"/>
            <w:tcBorders>
              <w:top w:val="nil"/>
              <w:left w:val="nil"/>
              <w:bottom w:val="single" w:sz="4" w:space="0" w:color="auto"/>
              <w:right w:val="single" w:sz="4" w:space="0" w:color="auto"/>
            </w:tcBorders>
            <w:shd w:val="clear" w:color="auto" w:fill="auto"/>
            <w:noWrap/>
            <w:vAlign w:val="center"/>
            <w:hideMark/>
          </w:tcPr>
          <w:p w14:paraId="7271674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£195,764</w:t>
            </w:r>
          </w:p>
        </w:tc>
        <w:tc>
          <w:tcPr>
            <w:tcW w:w="1985" w:type="dxa"/>
            <w:tcBorders>
              <w:top w:val="nil"/>
              <w:left w:val="nil"/>
              <w:bottom w:val="single" w:sz="4" w:space="0" w:color="auto"/>
              <w:right w:val="single" w:sz="4" w:space="0" w:color="auto"/>
            </w:tcBorders>
            <w:shd w:val="clear" w:color="auto" w:fill="auto"/>
            <w:noWrap/>
            <w:vAlign w:val="center"/>
            <w:hideMark/>
          </w:tcPr>
          <w:p w14:paraId="0394278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£789,452</w:t>
            </w:r>
          </w:p>
        </w:tc>
      </w:tr>
      <w:tr w:rsidR="004433D7" w:rsidRPr="004433D7" w14:paraId="712C641A"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B5E9813"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Shell Energy Retail Limited</w:t>
            </w:r>
          </w:p>
        </w:tc>
        <w:tc>
          <w:tcPr>
            <w:tcW w:w="1468" w:type="dxa"/>
            <w:tcBorders>
              <w:top w:val="nil"/>
              <w:left w:val="nil"/>
              <w:bottom w:val="single" w:sz="4" w:space="0" w:color="auto"/>
              <w:right w:val="single" w:sz="4" w:space="0" w:color="auto"/>
            </w:tcBorders>
            <w:shd w:val="clear" w:color="auto" w:fill="auto"/>
            <w:noWrap/>
            <w:vAlign w:val="center"/>
            <w:hideMark/>
          </w:tcPr>
          <w:p w14:paraId="76FD04A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£25,466</w:t>
            </w:r>
          </w:p>
        </w:tc>
        <w:tc>
          <w:tcPr>
            <w:tcW w:w="1468" w:type="dxa"/>
            <w:tcBorders>
              <w:top w:val="nil"/>
              <w:left w:val="nil"/>
              <w:bottom w:val="single" w:sz="4" w:space="0" w:color="auto"/>
              <w:right w:val="single" w:sz="4" w:space="0" w:color="auto"/>
            </w:tcBorders>
            <w:shd w:val="clear" w:color="auto" w:fill="auto"/>
            <w:noWrap/>
            <w:vAlign w:val="center"/>
            <w:hideMark/>
          </w:tcPr>
          <w:p w14:paraId="63A8E00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£25,428</w:t>
            </w:r>
          </w:p>
        </w:tc>
        <w:tc>
          <w:tcPr>
            <w:tcW w:w="1468" w:type="dxa"/>
            <w:tcBorders>
              <w:top w:val="nil"/>
              <w:left w:val="nil"/>
              <w:bottom w:val="single" w:sz="4" w:space="0" w:color="auto"/>
              <w:right w:val="single" w:sz="4" w:space="0" w:color="auto"/>
            </w:tcBorders>
            <w:shd w:val="clear" w:color="auto" w:fill="auto"/>
            <w:noWrap/>
            <w:vAlign w:val="center"/>
            <w:hideMark/>
          </w:tcPr>
          <w:p w14:paraId="60A7202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£25,405</w:t>
            </w:r>
          </w:p>
        </w:tc>
        <w:tc>
          <w:tcPr>
            <w:tcW w:w="1469" w:type="dxa"/>
            <w:tcBorders>
              <w:top w:val="nil"/>
              <w:left w:val="nil"/>
              <w:bottom w:val="single" w:sz="4" w:space="0" w:color="auto"/>
              <w:right w:val="single" w:sz="4" w:space="0" w:color="auto"/>
            </w:tcBorders>
            <w:shd w:val="clear" w:color="auto" w:fill="auto"/>
            <w:noWrap/>
            <w:vAlign w:val="center"/>
            <w:hideMark/>
          </w:tcPr>
          <w:p w14:paraId="0689F13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£25,159</w:t>
            </w:r>
          </w:p>
        </w:tc>
        <w:tc>
          <w:tcPr>
            <w:tcW w:w="1985" w:type="dxa"/>
            <w:tcBorders>
              <w:top w:val="nil"/>
              <w:left w:val="nil"/>
              <w:bottom w:val="single" w:sz="4" w:space="0" w:color="auto"/>
              <w:right w:val="single" w:sz="4" w:space="0" w:color="auto"/>
            </w:tcBorders>
            <w:shd w:val="clear" w:color="auto" w:fill="auto"/>
            <w:noWrap/>
            <w:vAlign w:val="center"/>
            <w:hideMark/>
          </w:tcPr>
          <w:p w14:paraId="74F835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£101,458</w:t>
            </w:r>
          </w:p>
        </w:tc>
      </w:tr>
      <w:tr w:rsidR="004433D7" w:rsidRPr="004433D7" w14:paraId="4782A11D"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F0924AB"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Shell Energy Supply UK Ltd. </w:t>
            </w:r>
          </w:p>
        </w:tc>
        <w:tc>
          <w:tcPr>
            <w:tcW w:w="1468" w:type="dxa"/>
            <w:tcBorders>
              <w:top w:val="nil"/>
              <w:left w:val="nil"/>
              <w:bottom w:val="single" w:sz="4" w:space="0" w:color="auto"/>
              <w:right w:val="single" w:sz="4" w:space="0" w:color="auto"/>
            </w:tcBorders>
            <w:shd w:val="clear" w:color="auto" w:fill="auto"/>
            <w:noWrap/>
            <w:vAlign w:val="center"/>
            <w:hideMark/>
          </w:tcPr>
          <w:p w14:paraId="2CD08B4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£5,498</w:t>
            </w:r>
          </w:p>
        </w:tc>
        <w:tc>
          <w:tcPr>
            <w:tcW w:w="1468" w:type="dxa"/>
            <w:tcBorders>
              <w:top w:val="nil"/>
              <w:left w:val="nil"/>
              <w:bottom w:val="single" w:sz="4" w:space="0" w:color="auto"/>
              <w:right w:val="single" w:sz="4" w:space="0" w:color="auto"/>
            </w:tcBorders>
            <w:shd w:val="clear" w:color="auto" w:fill="auto"/>
            <w:noWrap/>
            <w:vAlign w:val="center"/>
            <w:hideMark/>
          </w:tcPr>
          <w:p w14:paraId="577B6CB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£5,490</w:t>
            </w:r>
          </w:p>
        </w:tc>
        <w:tc>
          <w:tcPr>
            <w:tcW w:w="1468" w:type="dxa"/>
            <w:tcBorders>
              <w:top w:val="nil"/>
              <w:left w:val="nil"/>
              <w:bottom w:val="single" w:sz="4" w:space="0" w:color="auto"/>
              <w:right w:val="single" w:sz="4" w:space="0" w:color="auto"/>
            </w:tcBorders>
            <w:shd w:val="clear" w:color="auto" w:fill="auto"/>
            <w:noWrap/>
            <w:vAlign w:val="center"/>
            <w:hideMark/>
          </w:tcPr>
          <w:p w14:paraId="3505BCF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£5,485</w:t>
            </w:r>
          </w:p>
        </w:tc>
        <w:tc>
          <w:tcPr>
            <w:tcW w:w="1469" w:type="dxa"/>
            <w:tcBorders>
              <w:top w:val="nil"/>
              <w:left w:val="nil"/>
              <w:bottom w:val="single" w:sz="4" w:space="0" w:color="auto"/>
              <w:right w:val="single" w:sz="4" w:space="0" w:color="auto"/>
            </w:tcBorders>
            <w:shd w:val="clear" w:color="auto" w:fill="auto"/>
            <w:noWrap/>
            <w:vAlign w:val="center"/>
            <w:hideMark/>
          </w:tcPr>
          <w:p w14:paraId="382EEA1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£5,432</w:t>
            </w:r>
          </w:p>
        </w:tc>
        <w:tc>
          <w:tcPr>
            <w:tcW w:w="1985" w:type="dxa"/>
            <w:tcBorders>
              <w:top w:val="nil"/>
              <w:left w:val="nil"/>
              <w:bottom w:val="single" w:sz="4" w:space="0" w:color="auto"/>
              <w:right w:val="single" w:sz="4" w:space="0" w:color="auto"/>
            </w:tcBorders>
            <w:shd w:val="clear" w:color="auto" w:fill="auto"/>
            <w:noWrap/>
            <w:vAlign w:val="center"/>
            <w:hideMark/>
          </w:tcPr>
          <w:p w14:paraId="7AD7E5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£21,905</w:t>
            </w:r>
          </w:p>
        </w:tc>
      </w:tr>
      <w:tr w:rsidR="004433D7" w:rsidRPr="004433D7" w14:paraId="75CBF956"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96BBFDB"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SmartestEnergy</w:t>
            </w:r>
            <w:proofErr w:type="spellEnd"/>
            <w:r w:rsidRPr="004433D7">
              <w:rPr>
                <w:rFonts w:eastAsia="Times New Roman" w:cs="Times New Roman"/>
                <w:color w:val="000000"/>
                <w:sz w:val="16"/>
                <w:szCs w:val="16"/>
              </w:rPr>
              <w:t xml:space="preserve"> Limited</w:t>
            </w:r>
          </w:p>
        </w:tc>
        <w:tc>
          <w:tcPr>
            <w:tcW w:w="1468" w:type="dxa"/>
            <w:tcBorders>
              <w:top w:val="nil"/>
              <w:left w:val="nil"/>
              <w:bottom w:val="single" w:sz="4" w:space="0" w:color="auto"/>
              <w:right w:val="single" w:sz="4" w:space="0" w:color="auto"/>
            </w:tcBorders>
            <w:shd w:val="clear" w:color="auto" w:fill="auto"/>
            <w:noWrap/>
            <w:vAlign w:val="center"/>
            <w:hideMark/>
          </w:tcPr>
          <w:p w14:paraId="35AC2B1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£73,336</w:t>
            </w:r>
          </w:p>
        </w:tc>
        <w:tc>
          <w:tcPr>
            <w:tcW w:w="1468" w:type="dxa"/>
            <w:tcBorders>
              <w:top w:val="nil"/>
              <w:left w:val="nil"/>
              <w:bottom w:val="single" w:sz="4" w:space="0" w:color="auto"/>
              <w:right w:val="single" w:sz="4" w:space="0" w:color="auto"/>
            </w:tcBorders>
            <w:shd w:val="clear" w:color="auto" w:fill="auto"/>
            <w:noWrap/>
            <w:vAlign w:val="center"/>
            <w:hideMark/>
          </w:tcPr>
          <w:p w14:paraId="28FE1F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£73,227</w:t>
            </w:r>
          </w:p>
        </w:tc>
        <w:tc>
          <w:tcPr>
            <w:tcW w:w="1468" w:type="dxa"/>
            <w:tcBorders>
              <w:top w:val="nil"/>
              <w:left w:val="nil"/>
              <w:bottom w:val="single" w:sz="4" w:space="0" w:color="auto"/>
              <w:right w:val="single" w:sz="4" w:space="0" w:color="auto"/>
            </w:tcBorders>
            <w:shd w:val="clear" w:color="auto" w:fill="auto"/>
            <w:noWrap/>
            <w:vAlign w:val="center"/>
            <w:hideMark/>
          </w:tcPr>
          <w:p w14:paraId="380554D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£73,160</w:t>
            </w:r>
          </w:p>
        </w:tc>
        <w:tc>
          <w:tcPr>
            <w:tcW w:w="1469" w:type="dxa"/>
            <w:tcBorders>
              <w:top w:val="nil"/>
              <w:left w:val="nil"/>
              <w:bottom w:val="single" w:sz="4" w:space="0" w:color="auto"/>
              <w:right w:val="single" w:sz="4" w:space="0" w:color="auto"/>
            </w:tcBorders>
            <w:shd w:val="clear" w:color="auto" w:fill="auto"/>
            <w:noWrap/>
            <w:vAlign w:val="center"/>
            <w:hideMark/>
          </w:tcPr>
          <w:p w14:paraId="3F9405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£72,452</w:t>
            </w:r>
          </w:p>
        </w:tc>
        <w:tc>
          <w:tcPr>
            <w:tcW w:w="1985" w:type="dxa"/>
            <w:tcBorders>
              <w:top w:val="nil"/>
              <w:left w:val="nil"/>
              <w:bottom w:val="single" w:sz="4" w:space="0" w:color="auto"/>
              <w:right w:val="single" w:sz="4" w:space="0" w:color="auto"/>
            </w:tcBorders>
            <w:shd w:val="clear" w:color="auto" w:fill="auto"/>
            <w:noWrap/>
            <w:vAlign w:val="center"/>
            <w:hideMark/>
          </w:tcPr>
          <w:p w14:paraId="2C91F0B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£292,175</w:t>
            </w:r>
          </w:p>
        </w:tc>
      </w:tr>
      <w:tr w:rsidR="004433D7" w:rsidRPr="004433D7" w14:paraId="65E30235"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D29512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Squeaky Clean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251C0B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£1,234</w:t>
            </w:r>
          </w:p>
        </w:tc>
        <w:tc>
          <w:tcPr>
            <w:tcW w:w="1468" w:type="dxa"/>
            <w:tcBorders>
              <w:top w:val="nil"/>
              <w:left w:val="nil"/>
              <w:bottom w:val="single" w:sz="4" w:space="0" w:color="auto"/>
              <w:right w:val="single" w:sz="4" w:space="0" w:color="auto"/>
            </w:tcBorders>
            <w:shd w:val="clear" w:color="auto" w:fill="auto"/>
            <w:noWrap/>
            <w:vAlign w:val="center"/>
            <w:hideMark/>
          </w:tcPr>
          <w:p w14:paraId="3FFCC8B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£1,232</w:t>
            </w:r>
          </w:p>
        </w:tc>
        <w:tc>
          <w:tcPr>
            <w:tcW w:w="1468" w:type="dxa"/>
            <w:tcBorders>
              <w:top w:val="nil"/>
              <w:left w:val="nil"/>
              <w:bottom w:val="single" w:sz="4" w:space="0" w:color="auto"/>
              <w:right w:val="single" w:sz="4" w:space="0" w:color="auto"/>
            </w:tcBorders>
            <w:shd w:val="clear" w:color="auto" w:fill="auto"/>
            <w:noWrap/>
            <w:vAlign w:val="center"/>
            <w:hideMark/>
          </w:tcPr>
          <w:p w14:paraId="5FAD75F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£1,231</w:t>
            </w:r>
          </w:p>
        </w:tc>
        <w:tc>
          <w:tcPr>
            <w:tcW w:w="1469" w:type="dxa"/>
            <w:tcBorders>
              <w:top w:val="nil"/>
              <w:left w:val="nil"/>
              <w:bottom w:val="single" w:sz="4" w:space="0" w:color="auto"/>
              <w:right w:val="single" w:sz="4" w:space="0" w:color="auto"/>
            </w:tcBorders>
            <w:shd w:val="clear" w:color="auto" w:fill="auto"/>
            <w:noWrap/>
            <w:vAlign w:val="center"/>
            <w:hideMark/>
          </w:tcPr>
          <w:p w14:paraId="1C92676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£1,219</w:t>
            </w:r>
          </w:p>
        </w:tc>
        <w:tc>
          <w:tcPr>
            <w:tcW w:w="1985" w:type="dxa"/>
            <w:tcBorders>
              <w:top w:val="nil"/>
              <w:left w:val="nil"/>
              <w:bottom w:val="single" w:sz="4" w:space="0" w:color="auto"/>
              <w:right w:val="single" w:sz="4" w:space="0" w:color="auto"/>
            </w:tcBorders>
            <w:shd w:val="clear" w:color="auto" w:fill="auto"/>
            <w:noWrap/>
            <w:vAlign w:val="center"/>
            <w:hideMark/>
          </w:tcPr>
          <w:p w14:paraId="3794E35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£4,916</w:t>
            </w:r>
          </w:p>
        </w:tc>
      </w:tr>
      <w:tr w:rsidR="004433D7" w:rsidRPr="004433D7" w14:paraId="08842D97"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0D89786"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 xml:space="preserve">SSE Airtricity Energy Supply Limited </w:t>
            </w:r>
          </w:p>
        </w:tc>
        <w:tc>
          <w:tcPr>
            <w:tcW w:w="1468" w:type="dxa"/>
            <w:tcBorders>
              <w:top w:val="nil"/>
              <w:left w:val="nil"/>
              <w:bottom w:val="single" w:sz="4" w:space="0" w:color="auto"/>
              <w:right w:val="single" w:sz="4" w:space="0" w:color="auto"/>
            </w:tcBorders>
            <w:shd w:val="clear" w:color="auto" w:fill="auto"/>
            <w:noWrap/>
            <w:vAlign w:val="center"/>
            <w:hideMark/>
          </w:tcPr>
          <w:p w14:paraId="2039DB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£6,025</w:t>
            </w:r>
          </w:p>
        </w:tc>
        <w:tc>
          <w:tcPr>
            <w:tcW w:w="1468" w:type="dxa"/>
            <w:tcBorders>
              <w:top w:val="nil"/>
              <w:left w:val="nil"/>
              <w:bottom w:val="single" w:sz="4" w:space="0" w:color="auto"/>
              <w:right w:val="single" w:sz="4" w:space="0" w:color="auto"/>
            </w:tcBorders>
            <w:shd w:val="clear" w:color="auto" w:fill="auto"/>
            <w:noWrap/>
            <w:vAlign w:val="center"/>
            <w:hideMark/>
          </w:tcPr>
          <w:p w14:paraId="66A985D2"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£6,016</w:t>
            </w:r>
          </w:p>
        </w:tc>
        <w:tc>
          <w:tcPr>
            <w:tcW w:w="1468" w:type="dxa"/>
            <w:tcBorders>
              <w:top w:val="nil"/>
              <w:left w:val="nil"/>
              <w:bottom w:val="single" w:sz="4" w:space="0" w:color="auto"/>
              <w:right w:val="single" w:sz="4" w:space="0" w:color="auto"/>
            </w:tcBorders>
            <w:shd w:val="clear" w:color="auto" w:fill="auto"/>
            <w:noWrap/>
            <w:vAlign w:val="center"/>
            <w:hideMark/>
          </w:tcPr>
          <w:p w14:paraId="107FA6F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£6,010</w:t>
            </w:r>
          </w:p>
        </w:tc>
        <w:tc>
          <w:tcPr>
            <w:tcW w:w="1469" w:type="dxa"/>
            <w:tcBorders>
              <w:top w:val="nil"/>
              <w:left w:val="nil"/>
              <w:bottom w:val="single" w:sz="4" w:space="0" w:color="auto"/>
              <w:right w:val="single" w:sz="4" w:space="0" w:color="auto"/>
            </w:tcBorders>
            <w:shd w:val="clear" w:color="auto" w:fill="auto"/>
            <w:noWrap/>
            <w:vAlign w:val="center"/>
            <w:hideMark/>
          </w:tcPr>
          <w:p w14:paraId="0C34941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£5,952</w:t>
            </w:r>
          </w:p>
        </w:tc>
        <w:tc>
          <w:tcPr>
            <w:tcW w:w="1985" w:type="dxa"/>
            <w:tcBorders>
              <w:top w:val="nil"/>
              <w:left w:val="nil"/>
              <w:bottom w:val="single" w:sz="4" w:space="0" w:color="auto"/>
              <w:right w:val="single" w:sz="4" w:space="0" w:color="auto"/>
            </w:tcBorders>
            <w:shd w:val="clear" w:color="auto" w:fill="auto"/>
            <w:noWrap/>
            <w:vAlign w:val="center"/>
            <w:hideMark/>
          </w:tcPr>
          <w:p w14:paraId="5821173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£24,003</w:t>
            </w:r>
          </w:p>
        </w:tc>
      </w:tr>
      <w:tr w:rsidR="004433D7" w:rsidRPr="004433D7" w14:paraId="0AA841B0"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1D5AB75"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Electricity Limited</w:t>
            </w:r>
          </w:p>
        </w:tc>
        <w:tc>
          <w:tcPr>
            <w:tcW w:w="1468" w:type="dxa"/>
            <w:tcBorders>
              <w:top w:val="nil"/>
              <w:left w:val="nil"/>
              <w:bottom w:val="single" w:sz="4" w:space="0" w:color="auto"/>
              <w:right w:val="single" w:sz="4" w:space="0" w:color="auto"/>
            </w:tcBorders>
            <w:shd w:val="clear" w:color="auto" w:fill="auto"/>
            <w:noWrap/>
            <w:vAlign w:val="center"/>
            <w:hideMark/>
          </w:tcPr>
          <w:p w14:paraId="0D1F8AC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£131,307</w:t>
            </w:r>
          </w:p>
        </w:tc>
        <w:tc>
          <w:tcPr>
            <w:tcW w:w="1468" w:type="dxa"/>
            <w:tcBorders>
              <w:top w:val="nil"/>
              <w:left w:val="nil"/>
              <w:bottom w:val="single" w:sz="4" w:space="0" w:color="auto"/>
              <w:right w:val="single" w:sz="4" w:space="0" w:color="auto"/>
            </w:tcBorders>
            <w:shd w:val="clear" w:color="auto" w:fill="auto"/>
            <w:noWrap/>
            <w:vAlign w:val="center"/>
            <w:hideMark/>
          </w:tcPr>
          <w:p w14:paraId="0E1C0E5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£131,111</w:t>
            </w:r>
          </w:p>
        </w:tc>
        <w:tc>
          <w:tcPr>
            <w:tcW w:w="1468" w:type="dxa"/>
            <w:tcBorders>
              <w:top w:val="nil"/>
              <w:left w:val="nil"/>
              <w:bottom w:val="single" w:sz="4" w:space="0" w:color="auto"/>
              <w:right w:val="single" w:sz="4" w:space="0" w:color="auto"/>
            </w:tcBorders>
            <w:shd w:val="clear" w:color="auto" w:fill="auto"/>
            <w:noWrap/>
            <w:vAlign w:val="center"/>
            <w:hideMark/>
          </w:tcPr>
          <w:p w14:paraId="655F3130"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£130,991</w:t>
            </w:r>
          </w:p>
        </w:tc>
        <w:tc>
          <w:tcPr>
            <w:tcW w:w="1469" w:type="dxa"/>
            <w:tcBorders>
              <w:top w:val="nil"/>
              <w:left w:val="nil"/>
              <w:bottom w:val="single" w:sz="4" w:space="0" w:color="auto"/>
              <w:right w:val="single" w:sz="4" w:space="0" w:color="auto"/>
            </w:tcBorders>
            <w:shd w:val="clear" w:color="auto" w:fill="auto"/>
            <w:noWrap/>
            <w:vAlign w:val="center"/>
            <w:hideMark/>
          </w:tcPr>
          <w:p w14:paraId="0FEEFBD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£129,724</w:t>
            </w:r>
          </w:p>
        </w:tc>
        <w:tc>
          <w:tcPr>
            <w:tcW w:w="1985" w:type="dxa"/>
            <w:tcBorders>
              <w:top w:val="nil"/>
              <w:left w:val="nil"/>
              <w:bottom w:val="single" w:sz="4" w:space="0" w:color="auto"/>
              <w:right w:val="single" w:sz="4" w:space="0" w:color="auto"/>
            </w:tcBorders>
            <w:shd w:val="clear" w:color="auto" w:fill="auto"/>
            <w:noWrap/>
            <w:vAlign w:val="center"/>
            <w:hideMark/>
          </w:tcPr>
          <w:p w14:paraId="5E41500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£523,133</w:t>
            </w:r>
          </w:p>
        </w:tc>
      </w:tr>
      <w:tr w:rsidR="004433D7" w:rsidRPr="004433D7" w14:paraId="2B8B2BE8"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3ECBD4C"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SSE Energy Supply Limited</w:t>
            </w:r>
          </w:p>
        </w:tc>
        <w:tc>
          <w:tcPr>
            <w:tcW w:w="1468" w:type="dxa"/>
            <w:tcBorders>
              <w:top w:val="nil"/>
              <w:left w:val="nil"/>
              <w:bottom w:val="single" w:sz="4" w:space="0" w:color="auto"/>
              <w:right w:val="single" w:sz="4" w:space="0" w:color="auto"/>
            </w:tcBorders>
            <w:shd w:val="clear" w:color="auto" w:fill="auto"/>
            <w:noWrap/>
            <w:vAlign w:val="center"/>
            <w:hideMark/>
          </w:tcPr>
          <w:p w14:paraId="5C270DE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£196,276</w:t>
            </w:r>
          </w:p>
        </w:tc>
        <w:tc>
          <w:tcPr>
            <w:tcW w:w="1468" w:type="dxa"/>
            <w:tcBorders>
              <w:top w:val="nil"/>
              <w:left w:val="nil"/>
              <w:bottom w:val="single" w:sz="4" w:space="0" w:color="auto"/>
              <w:right w:val="single" w:sz="4" w:space="0" w:color="auto"/>
            </w:tcBorders>
            <w:shd w:val="clear" w:color="auto" w:fill="auto"/>
            <w:noWrap/>
            <w:vAlign w:val="center"/>
            <w:hideMark/>
          </w:tcPr>
          <w:p w14:paraId="614E7771"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£195,984</w:t>
            </w:r>
          </w:p>
        </w:tc>
        <w:tc>
          <w:tcPr>
            <w:tcW w:w="1468" w:type="dxa"/>
            <w:tcBorders>
              <w:top w:val="nil"/>
              <w:left w:val="nil"/>
              <w:bottom w:val="single" w:sz="4" w:space="0" w:color="auto"/>
              <w:right w:val="single" w:sz="4" w:space="0" w:color="auto"/>
            </w:tcBorders>
            <w:shd w:val="clear" w:color="auto" w:fill="auto"/>
            <w:noWrap/>
            <w:vAlign w:val="center"/>
            <w:hideMark/>
          </w:tcPr>
          <w:p w14:paraId="1A49204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£195,805</w:t>
            </w:r>
          </w:p>
        </w:tc>
        <w:tc>
          <w:tcPr>
            <w:tcW w:w="1469" w:type="dxa"/>
            <w:tcBorders>
              <w:top w:val="nil"/>
              <w:left w:val="nil"/>
              <w:bottom w:val="single" w:sz="4" w:space="0" w:color="auto"/>
              <w:right w:val="single" w:sz="4" w:space="0" w:color="auto"/>
            </w:tcBorders>
            <w:shd w:val="clear" w:color="auto" w:fill="auto"/>
            <w:noWrap/>
            <w:vAlign w:val="center"/>
            <w:hideMark/>
          </w:tcPr>
          <w:p w14:paraId="0268827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£193,910</w:t>
            </w:r>
          </w:p>
        </w:tc>
        <w:tc>
          <w:tcPr>
            <w:tcW w:w="1985" w:type="dxa"/>
            <w:tcBorders>
              <w:top w:val="nil"/>
              <w:left w:val="nil"/>
              <w:bottom w:val="single" w:sz="4" w:space="0" w:color="auto"/>
              <w:right w:val="single" w:sz="4" w:space="0" w:color="auto"/>
            </w:tcBorders>
            <w:shd w:val="clear" w:color="auto" w:fill="auto"/>
            <w:noWrap/>
            <w:vAlign w:val="center"/>
            <w:hideMark/>
          </w:tcPr>
          <w:p w14:paraId="7E62B373"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£781,975</w:t>
            </w:r>
          </w:p>
        </w:tc>
      </w:tr>
      <w:tr w:rsidR="004433D7" w:rsidRPr="004433D7" w14:paraId="618E8419"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52027B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The Renewable Energy Company Limited</w:t>
            </w:r>
          </w:p>
        </w:tc>
        <w:tc>
          <w:tcPr>
            <w:tcW w:w="1468" w:type="dxa"/>
            <w:tcBorders>
              <w:top w:val="nil"/>
              <w:left w:val="nil"/>
              <w:bottom w:val="single" w:sz="4" w:space="0" w:color="auto"/>
              <w:right w:val="single" w:sz="4" w:space="0" w:color="auto"/>
            </w:tcBorders>
            <w:shd w:val="clear" w:color="auto" w:fill="auto"/>
            <w:noWrap/>
            <w:vAlign w:val="center"/>
            <w:hideMark/>
          </w:tcPr>
          <w:p w14:paraId="0D9F84E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£9,185</w:t>
            </w:r>
          </w:p>
        </w:tc>
        <w:tc>
          <w:tcPr>
            <w:tcW w:w="1468" w:type="dxa"/>
            <w:tcBorders>
              <w:top w:val="nil"/>
              <w:left w:val="nil"/>
              <w:bottom w:val="single" w:sz="4" w:space="0" w:color="auto"/>
              <w:right w:val="single" w:sz="4" w:space="0" w:color="auto"/>
            </w:tcBorders>
            <w:shd w:val="clear" w:color="auto" w:fill="auto"/>
            <w:noWrap/>
            <w:vAlign w:val="center"/>
            <w:hideMark/>
          </w:tcPr>
          <w:p w14:paraId="3BBB207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£9,171</w:t>
            </w:r>
          </w:p>
        </w:tc>
        <w:tc>
          <w:tcPr>
            <w:tcW w:w="1468" w:type="dxa"/>
            <w:tcBorders>
              <w:top w:val="nil"/>
              <w:left w:val="nil"/>
              <w:bottom w:val="single" w:sz="4" w:space="0" w:color="auto"/>
              <w:right w:val="single" w:sz="4" w:space="0" w:color="auto"/>
            </w:tcBorders>
            <w:shd w:val="clear" w:color="auto" w:fill="auto"/>
            <w:noWrap/>
            <w:vAlign w:val="center"/>
            <w:hideMark/>
          </w:tcPr>
          <w:p w14:paraId="14DA0B3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£9,163</w:t>
            </w:r>
          </w:p>
        </w:tc>
        <w:tc>
          <w:tcPr>
            <w:tcW w:w="1469" w:type="dxa"/>
            <w:tcBorders>
              <w:top w:val="nil"/>
              <w:left w:val="nil"/>
              <w:bottom w:val="single" w:sz="4" w:space="0" w:color="auto"/>
              <w:right w:val="single" w:sz="4" w:space="0" w:color="auto"/>
            </w:tcBorders>
            <w:shd w:val="clear" w:color="auto" w:fill="auto"/>
            <w:noWrap/>
            <w:vAlign w:val="center"/>
            <w:hideMark/>
          </w:tcPr>
          <w:p w14:paraId="0BED127A"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£9,074</w:t>
            </w:r>
          </w:p>
        </w:tc>
        <w:tc>
          <w:tcPr>
            <w:tcW w:w="1985" w:type="dxa"/>
            <w:tcBorders>
              <w:top w:val="nil"/>
              <w:left w:val="nil"/>
              <w:bottom w:val="single" w:sz="4" w:space="0" w:color="auto"/>
              <w:right w:val="single" w:sz="4" w:space="0" w:color="auto"/>
            </w:tcBorders>
            <w:shd w:val="clear" w:color="auto" w:fill="auto"/>
            <w:noWrap/>
            <w:vAlign w:val="center"/>
            <w:hideMark/>
          </w:tcPr>
          <w:p w14:paraId="20EA8F7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£36,593</w:t>
            </w:r>
          </w:p>
        </w:tc>
      </w:tr>
      <w:tr w:rsidR="004433D7" w:rsidRPr="004433D7" w14:paraId="6F6F3F87"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36E91F1"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Tonik</w:t>
            </w:r>
            <w:proofErr w:type="spellEnd"/>
            <w:r w:rsidRPr="004433D7">
              <w:rPr>
                <w:rFonts w:eastAsia="Times New Roman" w:cs="Times New Roman"/>
                <w:color w:val="000000"/>
                <w:sz w:val="16"/>
                <w:szCs w:val="16"/>
              </w:rPr>
              <w:t xml:space="preserve"> Energy Limited</w:t>
            </w:r>
          </w:p>
        </w:tc>
        <w:tc>
          <w:tcPr>
            <w:tcW w:w="1468" w:type="dxa"/>
            <w:tcBorders>
              <w:top w:val="nil"/>
              <w:left w:val="nil"/>
              <w:bottom w:val="single" w:sz="4" w:space="0" w:color="auto"/>
              <w:right w:val="single" w:sz="4" w:space="0" w:color="auto"/>
            </w:tcBorders>
            <w:shd w:val="clear" w:color="auto" w:fill="auto"/>
            <w:noWrap/>
            <w:vAlign w:val="center"/>
            <w:hideMark/>
          </w:tcPr>
          <w:p w14:paraId="33E1A2B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£3,011</w:t>
            </w:r>
          </w:p>
        </w:tc>
        <w:tc>
          <w:tcPr>
            <w:tcW w:w="1468" w:type="dxa"/>
            <w:tcBorders>
              <w:top w:val="nil"/>
              <w:left w:val="nil"/>
              <w:bottom w:val="single" w:sz="4" w:space="0" w:color="auto"/>
              <w:right w:val="single" w:sz="4" w:space="0" w:color="auto"/>
            </w:tcBorders>
            <w:shd w:val="clear" w:color="auto" w:fill="auto"/>
            <w:noWrap/>
            <w:vAlign w:val="center"/>
            <w:hideMark/>
          </w:tcPr>
          <w:p w14:paraId="722D24D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468" w:type="dxa"/>
            <w:tcBorders>
              <w:top w:val="nil"/>
              <w:left w:val="nil"/>
              <w:bottom w:val="single" w:sz="4" w:space="0" w:color="auto"/>
              <w:right w:val="single" w:sz="4" w:space="0" w:color="auto"/>
            </w:tcBorders>
            <w:shd w:val="clear" w:color="auto" w:fill="auto"/>
            <w:noWrap/>
            <w:vAlign w:val="center"/>
            <w:hideMark/>
          </w:tcPr>
          <w:p w14:paraId="48EB59C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469" w:type="dxa"/>
            <w:tcBorders>
              <w:top w:val="nil"/>
              <w:left w:val="nil"/>
              <w:bottom w:val="single" w:sz="4" w:space="0" w:color="auto"/>
              <w:right w:val="single" w:sz="4" w:space="0" w:color="auto"/>
            </w:tcBorders>
            <w:shd w:val="clear" w:color="auto" w:fill="auto"/>
            <w:noWrap/>
            <w:vAlign w:val="center"/>
            <w:hideMark/>
          </w:tcPr>
          <w:p w14:paraId="07E0AD2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£0</w:t>
            </w:r>
          </w:p>
        </w:tc>
        <w:tc>
          <w:tcPr>
            <w:tcW w:w="1985" w:type="dxa"/>
            <w:tcBorders>
              <w:top w:val="nil"/>
              <w:left w:val="nil"/>
              <w:bottom w:val="single" w:sz="4" w:space="0" w:color="auto"/>
              <w:right w:val="single" w:sz="4" w:space="0" w:color="auto"/>
            </w:tcBorders>
            <w:shd w:val="clear" w:color="auto" w:fill="auto"/>
            <w:noWrap/>
            <w:vAlign w:val="center"/>
            <w:hideMark/>
          </w:tcPr>
          <w:p w14:paraId="51601E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£3,011</w:t>
            </w:r>
          </w:p>
        </w:tc>
      </w:tr>
      <w:tr w:rsidR="004433D7" w:rsidRPr="004433D7" w14:paraId="1A730CD3"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9E522D2"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Total Gas &amp; Power Limited</w:t>
            </w:r>
          </w:p>
        </w:tc>
        <w:tc>
          <w:tcPr>
            <w:tcW w:w="1468" w:type="dxa"/>
            <w:tcBorders>
              <w:top w:val="nil"/>
              <w:left w:val="nil"/>
              <w:bottom w:val="single" w:sz="4" w:space="0" w:color="auto"/>
              <w:right w:val="single" w:sz="4" w:space="0" w:color="auto"/>
            </w:tcBorders>
            <w:shd w:val="clear" w:color="auto" w:fill="auto"/>
            <w:noWrap/>
            <w:vAlign w:val="center"/>
            <w:hideMark/>
          </w:tcPr>
          <w:p w14:paraId="067580A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£105,156</w:t>
            </w:r>
          </w:p>
        </w:tc>
        <w:tc>
          <w:tcPr>
            <w:tcW w:w="1468" w:type="dxa"/>
            <w:tcBorders>
              <w:top w:val="nil"/>
              <w:left w:val="nil"/>
              <w:bottom w:val="single" w:sz="4" w:space="0" w:color="auto"/>
              <w:right w:val="single" w:sz="4" w:space="0" w:color="auto"/>
            </w:tcBorders>
            <w:shd w:val="clear" w:color="auto" w:fill="auto"/>
            <w:noWrap/>
            <w:vAlign w:val="center"/>
            <w:hideMark/>
          </w:tcPr>
          <w:p w14:paraId="64D60AAB"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£105,000</w:t>
            </w:r>
          </w:p>
        </w:tc>
        <w:tc>
          <w:tcPr>
            <w:tcW w:w="1468" w:type="dxa"/>
            <w:tcBorders>
              <w:top w:val="nil"/>
              <w:left w:val="nil"/>
              <w:bottom w:val="single" w:sz="4" w:space="0" w:color="auto"/>
              <w:right w:val="single" w:sz="4" w:space="0" w:color="auto"/>
            </w:tcBorders>
            <w:shd w:val="clear" w:color="auto" w:fill="auto"/>
            <w:noWrap/>
            <w:vAlign w:val="center"/>
            <w:hideMark/>
          </w:tcPr>
          <w:p w14:paraId="0264273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£104,903</w:t>
            </w:r>
          </w:p>
        </w:tc>
        <w:tc>
          <w:tcPr>
            <w:tcW w:w="1469" w:type="dxa"/>
            <w:tcBorders>
              <w:top w:val="nil"/>
              <w:left w:val="nil"/>
              <w:bottom w:val="single" w:sz="4" w:space="0" w:color="auto"/>
              <w:right w:val="single" w:sz="4" w:space="0" w:color="auto"/>
            </w:tcBorders>
            <w:shd w:val="clear" w:color="auto" w:fill="auto"/>
            <w:noWrap/>
            <w:vAlign w:val="center"/>
            <w:hideMark/>
          </w:tcPr>
          <w:p w14:paraId="5740AAA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£103,888</w:t>
            </w:r>
          </w:p>
        </w:tc>
        <w:tc>
          <w:tcPr>
            <w:tcW w:w="1985" w:type="dxa"/>
            <w:tcBorders>
              <w:top w:val="nil"/>
              <w:left w:val="nil"/>
              <w:bottom w:val="single" w:sz="4" w:space="0" w:color="auto"/>
              <w:right w:val="single" w:sz="4" w:space="0" w:color="auto"/>
            </w:tcBorders>
            <w:shd w:val="clear" w:color="auto" w:fill="auto"/>
            <w:noWrap/>
            <w:vAlign w:val="center"/>
            <w:hideMark/>
          </w:tcPr>
          <w:p w14:paraId="66DF2A9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£418,947</w:t>
            </w:r>
          </w:p>
        </w:tc>
      </w:tr>
      <w:tr w:rsidR="004433D7" w:rsidRPr="004433D7" w14:paraId="4E2FCB0D"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4ABFC62E"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Tradelink Solutions Limited</w:t>
            </w:r>
          </w:p>
        </w:tc>
        <w:tc>
          <w:tcPr>
            <w:tcW w:w="1468" w:type="dxa"/>
            <w:tcBorders>
              <w:top w:val="nil"/>
              <w:left w:val="nil"/>
              <w:bottom w:val="single" w:sz="4" w:space="0" w:color="auto"/>
              <w:right w:val="single" w:sz="4" w:space="0" w:color="auto"/>
            </w:tcBorders>
            <w:shd w:val="clear" w:color="auto" w:fill="auto"/>
            <w:noWrap/>
            <w:vAlign w:val="center"/>
            <w:hideMark/>
          </w:tcPr>
          <w:p w14:paraId="3A22B02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w:t>
            </w:r>
          </w:p>
        </w:tc>
        <w:tc>
          <w:tcPr>
            <w:tcW w:w="1468" w:type="dxa"/>
            <w:tcBorders>
              <w:top w:val="nil"/>
              <w:left w:val="nil"/>
              <w:bottom w:val="single" w:sz="4" w:space="0" w:color="auto"/>
              <w:right w:val="single" w:sz="4" w:space="0" w:color="auto"/>
            </w:tcBorders>
            <w:shd w:val="clear" w:color="auto" w:fill="auto"/>
            <w:noWrap/>
            <w:vAlign w:val="center"/>
            <w:hideMark/>
          </w:tcPr>
          <w:p w14:paraId="5FCC68A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w:t>
            </w:r>
          </w:p>
        </w:tc>
        <w:tc>
          <w:tcPr>
            <w:tcW w:w="1468" w:type="dxa"/>
            <w:tcBorders>
              <w:top w:val="nil"/>
              <w:left w:val="nil"/>
              <w:bottom w:val="single" w:sz="4" w:space="0" w:color="auto"/>
              <w:right w:val="single" w:sz="4" w:space="0" w:color="auto"/>
            </w:tcBorders>
            <w:shd w:val="clear" w:color="auto" w:fill="auto"/>
            <w:noWrap/>
            <w:vAlign w:val="center"/>
            <w:hideMark/>
          </w:tcPr>
          <w:p w14:paraId="3FD8FB5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w:t>
            </w:r>
          </w:p>
        </w:tc>
        <w:tc>
          <w:tcPr>
            <w:tcW w:w="1469" w:type="dxa"/>
            <w:tcBorders>
              <w:top w:val="nil"/>
              <w:left w:val="nil"/>
              <w:bottom w:val="single" w:sz="4" w:space="0" w:color="auto"/>
              <w:right w:val="single" w:sz="4" w:space="0" w:color="auto"/>
            </w:tcBorders>
            <w:shd w:val="clear" w:color="auto" w:fill="auto"/>
            <w:noWrap/>
            <w:vAlign w:val="center"/>
            <w:hideMark/>
          </w:tcPr>
          <w:p w14:paraId="022ECC17"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£6</w:t>
            </w:r>
          </w:p>
        </w:tc>
        <w:tc>
          <w:tcPr>
            <w:tcW w:w="1985" w:type="dxa"/>
            <w:tcBorders>
              <w:top w:val="nil"/>
              <w:left w:val="nil"/>
              <w:bottom w:val="single" w:sz="4" w:space="0" w:color="auto"/>
              <w:right w:val="single" w:sz="4" w:space="0" w:color="auto"/>
            </w:tcBorders>
            <w:shd w:val="clear" w:color="auto" w:fill="auto"/>
            <w:noWrap/>
            <w:vAlign w:val="center"/>
            <w:hideMark/>
          </w:tcPr>
          <w:p w14:paraId="58584A86"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£24</w:t>
            </w:r>
          </w:p>
        </w:tc>
      </w:tr>
      <w:tr w:rsidR="004433D7" w:rsidRPr="004433D7" w14:paraId="471F7359"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A8D906F" w14:textId="77777777" w:rsidR="004433D7" w:rsidRPr="004433D7" w:rsidRDefault="004433D7">
            <w:pPr>
              <w:spacing w:after="0" w:line="240" w:lineRule="auto"/>
              <w:rPr>
                <w:rFonts w:eastAsia="Times New Roman" w:cs="Times New Roman"/>
                <w:color w:val="000000"/>
                <w:sz w:val="16"/>
                <w:szCs w:val="16"/>
              </w:rPr>
            </w:pPr>
            <w:proofErr w:type="spellStart"/>
            <w:r w:rsidRPr="004433D7">
              <w:rPr>
                <w:rFonts w:eastAsia="Times New Roman" w:cs="Times New Roman"/>
                <w:color w:val="000000"/>
                <w:sz w:val="16"/>
                <w:szCs w:val="16"/>
              </w:rPr>
              <w:t>Utilita</w:t>
            </w:r>
            <w:proofErr w:type="spellEnd"/>
            <w:r w:rsidRPr="004433D7">
              <w:rPr>
                <w:rFonts w:eastAsia="Times New Roman" w:cs="Times New Roman"/>
                <w:color w:val="000000"/>
                <w:sz w:val="16"/>
                <w:szCs w:val="16"/>
              </w:rPr>
              <w:t xml:space="preserve"> Energy Limited </w:t>
            </w:r>
          </w:p>
        </w:tc>
        <w:tc>
          <w:tcPr>
            <w:tcW w:w="1468" w:type="dxa"/>
            <w:tcBorders>
              <w:top w:val="nil"/>
              <w:left w:val="nil"/>
              <w:bottom w:val="single" w:sz="4" w:space="0" w:color="auto"/>
              <w:right w:val="single" w:sz="4" w:space="0" w:color="auto"/>
            </w:tcBorders>
            <w:shd w:val="clear" w:color="auto" w:fill="auto"/>
            <w:noWrap/>
            <w:vAlign w:val="center"/>
            <w:hideMark/>
          </w:tcPr>
          <w:p w14:paraId="43EABC94"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£23,257</w:t>
            </w:r>
          </w:p>
        </w:tc>
        <w:tc>
          <w:tcPr>
            <w:tcW w:w="1468" w:type="dxa"/>
            <w:tcBorders>
              <w:top w:val="nil"/>
              <w:left w:val="nil"/>
              <w:bottom w:val="single" w:sz="4" w:space="0" w:color="auto"/>
              <w:right w:val="single" w:sz="4" w:space="0" w:color="auto"/>
            </w:tcBorders>
            <w:shd w:val="clear" w:color="auto" w:fill="auto"/>
            <w:noWrap/>
            <w:vAlign w:val="center"/>
            <w:hideMark/>
          </w:tcPr>
          <w:p w14:paraId="1F5153D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£23,222</w:t>
            </w:r>
          </w:p>
        </w:tc>
        <w:tc>
          <w:tcPr>
            <w:tcW w:w="1468" w:type="dxa"/>
            <w:tcBorders>
              <w:top w:val="nil"/>
              <w:left w:val="nil"/>
              <w:bottom w:val="single" w:sz="4" w:space="0" w:color="auto"/>
              <w:right w:val="single" w:sz="4" w:space="0" w:color="auto"/>
            </w:tcBorders>
            <w:shd w:val="clear" w:color="auto" w:fill="auto"/>
            <w:noWrap/>
            <w:vAlign w:val="center"/>
            <w:hideMark/>
          </w:tcPr>
          <w:p w14:paraId="0E09D29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£23,201</w:t>
            </w:r>
          </w:p>
        </w:tc>
        <w:tc>
          <w:tcPr>
            <w:tcW w:w="1469" w:type="dxa"/>
            <w:tcBorders>
              <w:top w:val="nil"/>
              <w:left w:val="nil"/>
              <w:bottom w:val="single" w:sz="4" w:space="0" w:color="auto"/>
              <w:right w:val="single" w:sz="4" w:space="0" w:color="auto"/>
            </w:tcBorders>
            <w:shd w:val="clear" w:color="auto" w:fill="auto"/>
            <w:noWrap/>
            <w:vAlign w:val="center"/>
            <w:hideMark/>
          </w:tcPr>
          <w:p w14:paraId="29E0DE3F"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£22,976</w:t>
            </w:r>
          </w:p>
        </w:tc>
        <w:tc>
          <w:tcPr>
            <w:tcW w:w="1985" w:type="dxa"/>
            <w:tcBorders>
              <w:top w:val="nil"/>
              <w:left w:val="nil"/>
              <w:bottom w:val="single" w:sz="4" w:space="0" w:color="auto"/>
              <w:right w:val="single" w:sz="4" w:space="0" w:color="auto"/>
            </w:tcBorders>
            <w:shd w:val="clear" w:color="auto" w:fill="auto"/>
            <w:noWrap/>
            <w:vAlign w:val="center"/>
            <w:hideMark/>
          </w:tcPr>
          <w:p w14:paraId="32BAE63D"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£92,656</w:t>
            </w:r>
          </w:p>
        </w:tc>
      </w:tr>
      <w:tr w:rsidR="004433D7" w:rsidRPr="004433D7" w14:paraId="74956DB4" w14:textId="77777777" w:rsidTr="00780608">
        <w:trPr>
          <w:trHeight w:val="4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C98F839" w14:textId="77777777" w:rsidR="004433D7" w:rsidRPr="004433D7" w:rsidRDefault="004433D7">
            <w:pPr>
              <w:spacing w:after="0" w:line="240" w:lineRule="auto"/>
              <w:rPr>
                <w:rFonts w:eastAsia="Times New Roman" w:cs="Times New Roman"/>
                <w:color w:val="000000"/>
                <w:sz w:val="16"/>
                <w:szCs w:val="16"/>
              </w:rPr>
            </w:pPr>
            <w:r w:rsidRPr="004433D7">
              <w:rPr>
                <w:rFonts w:eastAsia="Times New Roman" w:cs="Times New Roman"/>
                <w:color w:val="000000"/>
                <w:sz w:val="16"/>
                <w:szCs w:val="16"/>
              </w:rPr>
              <w:t>Vattenfall Energy Trading GmbH</w:t>
            </w:r>
          </w:p>
        </w:tc>
        <w:tc>
          <w:tcPr>
            <w:tcW w:w="1468" w:type="dxa"/>
            <w:tcBorders>
              <w:top w:val="nil"/>
              <w:left w:val="nil"/>
              <w:bottom w:val="single" w:sz="4" w:space="0" w:color="auto"/>
              <w:right w:val="single" w:sz="4" w:space="0" w:color="auto"/>
            </w:tcBorders>
            <w:shd w:val="clear" w:color="auto" w:fill="auto"/>
            <w:noWrap/>
            <w:vAlign w:val="center"/>
            <w:hideMark/>
          </w:tcPr>
          <w:p w14:paraId="337762D9"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0617E4E5"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8" w:type="dxa"/>
            <w:tcBorders>
              <w:top w:val="nil"/>
              <w:left w:val="nil"/>
              <w:bottom w:val="single" w:sz="4" w:space="0" w:color="auto"/>
              <w:right w:val="single" w:sz="4" w:space="0" w:color="auto"/>
            </w:tcBorders>
            <w:shd w:val="clear" w:color="auto" w:fill="auto"/>
            <w:noWrap/>
            <w:vAlign w:val="center"/>
            <w:hideMark/>
          </w:tcPr>
          <w:p w14:paraId="5DB4D24C"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469" w:type="dxa"/>
            <w:tcBorders>
              <w:top w:val="nil"/>
              <w:left w:val="nil"/>
              <w:bottom w:val="single" w:sz="4" w:space="0" w:color="auto"/>
              <w:right w:val="single" w:sz="4" w:space="0" w:color="auto"/>
            </w:tcBorders>
            <w:shd w:val="clear" w:color="auto" w:fill="auto"/>
            <w:noWrap/>
            <w:vAlign w:val="center"/>
            <w:hideMark/>
          </w:tcPr>
          <w:p w14:paraId="7CF494C8"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14:paraId="4DFCC16E" w14:textId="77777777" w:rsidR="004433D7" w:rsidRPr="004433D7" w:rsidRDefault="004433D7">
            <w:pPr>
              <w:spacing w:after="0" w:line="240" w:lineRule="auto"/>
              <w:jc w:val="right"/>
              <w:rPr>
                <w:rFonts w:eastAsia="Times New Roman" w:cs="Times New Roman"/>
                <w:color w:val="000000"/>
                <w:sz w:val="16"/>
                <w:szCs w:val="16"/>
              </w:rPr>
            </w:pPr>
            <w:r w:rsidRPr="004433D7">
              <w:rPr>
                <w:rFonts w:eastAsia="Times New Roman" w:cs="Times New Roman"/>
                <w:color w:val="000000"/>
                <w:sz w:val="16"/>
                <w:szCs w:val="16"/>
              </w:rPr>
              <w:t>£8</w:t>
            </w:r>
          </w:p>
        </w:tc>
      </w:tr>
      <w:tr w:rsidR="004433D7" w:rsidRPr="004433D7" w14:paraId="64C27DE0" w14:textId="77777777" w:rsidTr="00780608">
        <w:trPr>
          <w:trHeight w:val="270"/>
        </w:trPr>
        <w:tc>
          <w:tcPr>
            <w:tcW w:w="2060" w:type="dxa"/>
            <w:tcBorders>
              <w:top w:val="nil"/>
              <w:left w:val="single" w:sz="4" w:space="0" w:color="auto"/>
              <w:bottom w:val="single" w:sz="4" w:space="0" w:color="auto"/>
              <w:right w:val="single" w:sz="4" w:space="0" w:color="auto"/>
            </w:tcBorders>
            <w:shd w:val="clear" w:color="auto" w:fill="2363AF"/>
            <w:vAlign w:val="center"/>
            <w:hideMark/>
          </w:tcPr>
          <w:p w14:paraId="239E7CF1" w14:textId="77777777" w:rsidR="004433D7" w:rsidRPr="004433D7" w:rsidRDefault="004433D7">
            <w:pPr>
              <w:spacing w:after="0" w:line="240" w:lineRule="auto"/>
              <w:rPr>
                <w:rFonts w:eastAsia="Times New Roman" w:cs="Times New Roman"/>
                <w:color w:val="FFFFFF"/>
                <w:sz w:val="16"/>
                <w:szCs w:val="16"/>
              </w:rPr>
            </w:pPr>
            <w:r w:rsidRPr="004433D7">
              <w:rPr>
                <w:rFonts w:eastAsia="Times New Roman" w:cs="Times New Roman"/>
                <w:color w:val="FFFFFF"/>
                <w:sz w:val="16"/>
                <w:szCs w:val="16"/>
              </w:rPr>
              <w:t>Totals</w:t>
            </w:r>
          </w:p>
        </w:tc>
        <w:tc>
          <w:tcPr>
            <w:tcW w:w="1468" w:type="dxa"/>
            <w:tcBorders>
              <w:top w:val="nil"/>
              <w:left w:val="nil"/>
              <w:bottom w:val="single" w:sz="4" w:space="0" w:color="auto"/>
              <w:right w:val="single" w:sz="4" w:space="0" w:color="auto"/>
            </w:tcBorders>
            <w:shd w:val="clear" w:color="auto" w:fill="2363AF"/>
            <w:noWrap/>
            <w:vAlign w:val="center"/>
            <w:hideMark/>
          </w:tcPr>
          <w:p w14:paraId="122BE86B"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£2,363,975</w:t>
            </w:r>
          </w:p>
        </w:tc>
        <w:tc>
          <w:tcPr>
            <w:tcW w:w="1468" w:type="dxa"/>
            <w:tcBorders>
              <w:top w:val="nil"/>
              <w:left w:val="nil"/>
              <w:bottom w:val="single" w:sz="4" w:space="0" w:color="auto"/>
              <w:right w:val="single" w:sz="4" w:space="0" w:color="auto"/>
            </w:tcBorders>
            <w:shd w:val="clear" w:color="auto" w:fill="2363AF"/>
            <w:noWrap/>
            <w:vAlign w:val="center"/>
            <w:hideMark/>
          </w:tcPr>
          <w:p w14:paraId="3980138F"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£2,357,449</w:t>
            </w:r>
          </w:p>
        </w:tc>
        <w:tc>
          <w:tcPr>
            <w:tcW w:w="1468" w:type="dxa"/>
            <w:tcBorders>
              <w:top w:val="nil"/>
              <w:left w:val="nil"/>
              <w:bottom w:val="single" w:sz="4" w:space="0" w:color="auto"/>
              <w:right w:val="single" w:sz="4" w:space="0" w:color="auto"/>
            </w:tcBorders>
            <w:shd w:val="clear" w:color="auto" w:fill="2363AF"/>
            <w:noWrap/>
            <w:vAlign w:val="center"/>
            <w:hideMark/>
          </w:tcPr>
          <w:p w14:paraId="017B21C1"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£2,348,126</w:t>
            </w:r>
          </w:p>
        </w:tc>
        <w:tc>
          <w:tcPr>
            <w:tcW w:w="1469" w:type="dxa"/>
            <w:tcBorders>
              <w:top w:val="nil"/>
              <w:left w:val="nil"/>
              <w:bottom w:val="single" w:sz="4" w:space="0" w:color="auto"/>
              <w:right w:val="single" w:sz="4" w:space="0" w:color="auto"/>
            </w:tcBorders>
            <w:shd w:val="clear" w:color="auto" w:fill="2363AF"/>
            <w:noWrap/>
            <w:vAlign w:val="center"/>
            <w:hideMark/>
          </w:tcPr>
          <w:p w14:paraId="6BCAA38E"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£2,325,399</w:t>
            </w:r>
          </w:p>
        </w:tc>
        <w:tc>
          <w:tcPr>
            <w:tcW w:w="1985" w:type="dxa"/>
            <w:tcBorders>
              <w:top w:val="nil"/>
              <w:left w:val="nil"/>
              <w:bottom w:val="single" w:sz="4" w:space="0" w:color="auto"/>
              <w:right w:val="single" w:sz="4" w:space="0" w:color="auto"/>
            </w:tcBorders>
            <w:shd w:val="clear" w:color="auto" w:fill="2363AF"/>
            <w:noWrap/>
            <w:vAlign w:val="center"/>
            <w:hideMark/>
          </w:tcPr>
          <w:p w14:paraId="57F17280" w14:textId="77777777" w:rsidR="004433D7" w:rsidRPr="004433D7" w:rsidRDefault="004433D7">
            <w:pPr>
              <w:spacing w:after="0" w:line="240" w:lineRule="auto"/>
              <w:jc w:val="right"/>
              <w:rPr>
                <w:rFonts w:eastAsia="Times New Roman" w:cs="Times New Roman"/>
                <w:color w:val="FFFFFF"/>
                <w:sz w:val="16"/>
                <w:szCs w:val="16"/>
              </w:rPr>
            </w:pPr>
            <w:r w:rsidRPr="004433D7">
              <w:rPr>
                <w:rFonts w:eastAsia="Times New Roman" w:cs="Times New Roman"/>
                <w:color w:val="FFFFFF"/>
                <w:sz w:val="16"/>
                <w:szCs w:val="16"/>
              </w:rPr>
              <w:t>£9,394,949</w:t>
            </w:r>
          </w:p>
        </w:tc>
      </w:tr>
    </w:tbl>
    <w:p w14:paraId="3F0FD11B" w14:textId="4A932521" w:rsidR="00C85B64" w:rsidRDefault="00C85B64">
      <w:pPr>
        <w:spacing w:line="276" w:lineRule="auto"/>
        <w:rPr>
          <w:rFonts w:eastAsiaTheme="majorEastAsia" w:cstheme="minorHAnsi"/>
          <w:b/>
          <w:color w:val="004125"/>
          <w:sz w:val="28"/>
          <w:szCs w:val="26"/>
        </w:rPr>
      </w:pPr>
      <w:r>
        <w:rPr>
          <w:rFonts w:cstheme="minorHAnsi"/>
        </w:rPr>
        <w:br w:type="page"/>
      </w:r>
    </w:p>
    <w:p w14:paraId="3BA934E3" w14:textId="4433EE6F" w:rsidR="00071AD7" w:rsidRPr="00482E14" w:rsidRDefault="00071AD7" w:rsidP="00071AD7">
      <w:pPr>
        <w:pStyle w:val="Heading2"/>
        <w:rPr>
          <w:rStyle w:val="Heading2Char"/>
          <w:sz w:val="36"/>
          <w:szCs w:val="32"/>
        </w:rPr>
      </w:pPr>
      <w:bookmarkStart w:id="430" w:name="_Toc98852192"/>
      <w:r w:rsidRPr="004A0932">
        <w:rPr>
          <w:rStyle w:val="Heading2Char"/>
          <w:b/>
          <w:sz w:val="36"/>
          <w:szCs w:val="32"/>
        </w:rPr>
        <w:lastRenderedPageBreak/>
        <w:t xml:space="preserve">Appendix </w:t>
      </w:r>
      <w:r w:rsidR="00C85B64">
        <w:rPr>
          <w:rStyle w:val="Heading2Char"/>
          <w:b/>
          <w:sz w:val="36"/>
          <w:szCs w:val="32"/>
        </w:rPr>
        <w:t>3</w:t>
      </w:r>
      <w:r w:rsidRPr="004A0932">
        <w:rPr>
          <w:rStyle w:val="Heading2Char"/>
          <w:b/>
          <w:sz w:val="36"/>
          <w:szCs w:val="32"/>
        </w:rPr>
        <w:t xml:space="preserve"> – </w:t>
      </w:r>
      <w:r w:rsidR="00C90C91">
        <w:rPr>
          <w:rStyle w:val="Heading2Char"/>
          <w:b/>
          <w:sz w:val="36"/>
          <w:szCs w:val="32"/>
        </w:rPr>
        <w:t>ROC recycle value</w:t>
      </w:r>
      <w:bookmarkEnd w:id="430"/>
    </w:p>
    <w:p w14:paraId="655EB0D8" w14:textId="41CED2F5" w:rsidR="00071AD7" w:rsidRPr="006B3AC6" w:rsidRDefault="00071AD7" w:rsidP="00071AD7">
      <w:pPr>
        <w:rPr>
          <w:rFonts w:eastAsiaTheme="minorEastAsia"/>
          <w:b/>
          <w:color w:val="000000" w:themeColor="text1"/>
        </w:rPr>
      </w:pPr>
      <w:r w:rsidRPr="006B3AC6">
        <w:rPr>
          <w:rFonts w:cstheme="minorHAnsi"/>
          <w:b/>
          <w:color w:val="000000" w:themeColor="text1"/>
        </w:rPr>
        <w:t>Table A</w:t>
      </w:r>
      <w:r w:rsidR="00C85B64">
        <w:rPr>
          <w:rFonts w:cstheme="minorHAnsi"/>
          <w:b/>
          <w:color w:val="000000" w:themeColor="text1"/>
        </w:rPr>
        <w:t>3</w:t>
      </w:r>
      <w:r w:rsidRPr="006B3AC6">
        <w:rPr>
          <w:rFonts w:cstheme="minorHAnsi"/>
          <w:b/>
          <w:color w:val="000000" w:themeColor="text1"/>
        </w:rPr>
        <w:t>.</w:t>
      </w:r>
      <w:r>
        <w:rPr>
          <w:rFonts w:cstheme="minorHAnsi"/>
          <w:b/>
          <w:color w:val="000000" w:themeColor="text1"/>
        </w:rPr>
        <w:t>1</w:t>
      </w:r>
      <w:r w:rsidRPr="006B3AC6">
        <w:rPr>
          <w:rFonts w:eastAsiaTheme="minorEastAsia"/>
          <w:b/>
          <w:color w:val="000000" w:themeColor="text1"/>
        </w:rPr>
        <w:t xml:space="preserve"> - Determination of ROC recycle value since 2010-11</w:t>
      </w:r>
    </w:p>
    <w:tbl>
      <w:tblPr>
        <w:tblW w:w="11058" w:type="dxa"/>
        <w:tblInd w:w="-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55"/>
        <w:gridCol w:w="819"/>
        <w:gridCol w:w="818"/>
        <w:gridCol w:w="819"/>
        <w:gridCol w:w="818"/>
        <w:gridCol w:w="819"/>
        <w:gridCol w:w="818"/>
        <w:gridCol w:w="819"/>
        <w:gridCol w:w="859"/>
        <w:gridCol w:w="971"/>
        <w:gridCol w:w="850"/>
        <w:gridCol w:w="993"/>
      </w:tblGrid>
      <w:tr w:rsidR="00C90C91" w:rsidRPr="006B3AC6" w14:paraId="6206A937" w14:textId="77777777" w:rsidTr="005F4559">
        <w:trPr>
          <w:trHeight w:val="365"/>
        </w:trPr>
        <w:tc>
          <w:tcPr>
            <w:tcW w:w="1655" w:type="dxa"/>
            <w:tcBorders>
              <w:top w:val="nil"/>
              <w:left w:val="nil"/>
              <w:bottom w:val="single" w:sz="4" w:space="0" w:color="auto"/>
              <w:right w:val="single" w:sz="4" w:space="0" w:color="auto"/>
            </w:tcBorders>
            <w:shd w:val="clear" w:color="auto" w:fill="auto"/>
            <w:noWrap/>
            <w:vAlign w:val="bottom"/>
            <w:hideMark/>
          </w:tcPr>
          <w:p w14:paraId="0F1CDDE6" w14:textId="77777777" w:rsidR="00C90C91" w:rsidRPr="002E3196" w:rsidRDefault="00C90C91" w:rsidP="005F4559">
            <w:pPr>
              <w:spacing w:after="0" w:line="240" w:lineRule="auto"/>
              <w:rPr>
                <w:rFonts w:eastAsia="Times New Roman" w:cs="Times New Roman"/>
                <w:sz w:val="16"/>
                <w:szCs w:val="16"/>
              </w:rPr>
            </w:pPr>
          </w:p>
        </w:tc>
        <w:tc>
          <w:tcPr>
            <w:tcW w:w="819"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61796D0F"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10-11</w:t>
            </w:r>
          </w:p>
        </w:tc>
        <w:tc>
          <w:tcPr>
            <w:tcW w:w="818"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0A59D49C"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11-12</w:t>
            </w:r>
          </w:p>
        </w:tc>
        <w:tc>
          <w:tcPr>
            <w:tcW w:w="819"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333E1753"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12-13</w:t>
            </w:r>
          </w:p>
        </w:tc>
        <w:tc>
          <w:tcPr>
            <w:tcW w:w="818"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70119CE6"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13-14</w:t>
            </w:r>
          </w:p>
        </w:tc>
        <w:tc>
          <w:tcPr>
            <w:tcW w:w="819"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6EBD03E9"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14-15</w:t>
            </w:r>
          </w:p>
        </w:tc>
        <w:tc>
          <w:tcPr>
            <w:tcW w:w="818"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644BF243"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15-16</w:t>
            </w:r>
          </w:p>
        </w:tc>
        <w:tc>
          <w:tcPr>
            <w:tcW w:w="819"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5099CE7A"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16-17</w:t>
            </w:r>
          </w:p>
        </w:tc>
        <w:tc>
          <w:tcPr>
            <w:tcW w:w="859" w:type="dxa"/>
            <w:tcBorders>
              <w:top w:val="single" w:sz="4" w:space="0" w:color="auto"/>
              <w:left w:val="single" w:sz="4" w:space="0" w:color="auto"/>
              <w:bottom w:val="single" w:sz="4" w:space="0" w:color="auto"/>
              <w:right w:val="single" w:sz="4" w:space="0" w:color="auto"/>
            </w:tcBorders>
            <w:shd w:val="clear" w:color="auto" w:fill="2363AF"/>
            <w:noWrap/>
            <w:vAlign w:val="center"/>
            <w:hideMark/>
          </w:tcPr>
          <w:p w14:paraId="37930BDE"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17-18</w:t>
            </w:r>
          </w:p>
        </w:tc>
        <w:tc>
          <w:tcPr>
            <w:tcW w:w="971" w:type="dxa"/>
            <w:tcBorders>
              <w:top w:val="single" w:sz="4" w:space="0" w:color="auto"/>
              <w:left w:val="single" w:sz="4" w:space="0" w:color="auto"/>
              <w:bottom w:val="single" w:sz="4" w:space="0" w:color="auto"/>
              <w:right w:val="single" w:sz="4" w:space="0" w:color="auto"/>
            </w:tcBorders>
            <w:shd w:val="clear" w:color="auto" w:fill="2363AF"/>
            <w:vAlign w:val="center"/>
          </w:tcPr>
          <w:p w14:paraId="1F3B0C8E"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18-19</w:t>
            </w:r>
          </w:p>
        </w:tc>
        <w:tc>
          <w:tcPr>
            <w:tcW w:w="850" w:type="dxa"/>
            <w:tcBorders>
              <w:top w:val="single" w:sz="4" w:space="0" w:color="auto"/>
              <w:left w:val="single" w:sz="4" w:space="0" w:color="auto"/>
              <w:bottom w:val="single" w:sz="4" w:space="0" w:color="auto"/>
              <w:right w:val="single" w:sz="4" w:space="0" w:color="auto"/>
            </w:tcBorders>
            <w:shd w:val="clear" w:color="auto" w:fill="2363AF"/>
            <w:vAlign w:val="center"/>
          </w:tcPr>
          <w:p w14:paraId="375D734F"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19-20</w:t>
            </w:r>
          </w:p>
        </w:tc>
        <w:tc>
          <w:tcPr>
            <w:tcW w:w="993" w:type="dxa"/>
            <w:tcBorders>
              <w:top w:val="single" w:sz="4" w:space="0" w:color="auto"/>
              <w:left w:val="single" w:sz="4" w:space="0" w:color="auto"/>
              <w:bottom w:val="single" w:sz="4" w:space="0" w:color="auto"/>
              <w:right w:val="single" w:sz="4" w:space="0" w:color="auto"/>
            </w:tcBorders>
            <w:shd w:val="clear" w:color="auto" w:fill="2363AF"/>
            <w:vAlign w:val="center"/>
          </w:tcPr>
          <w:p w14:paraId="171D81BB" w14:textId="77777777" w:rsidR="00C90C91" w:rsidRPr="008650ED" w:rsidRDefault="00C90C91" w:rsidP="005F4559">
            <w:pPr>
              <w:spacing w:after="0" w:line="240" w:lineRule="auto"/>
              <w:jc w:val="center"/>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20-21</w:t>
            </w:r>
          </w:p>
        </w:tc>
      </w:tr>
      <w:tr w:rsidR="00C90C91" w:rsidRPr="006B3AC6" w14:paraId="5D5B4EB7" w14:textId="77777777" w:rsidTr="005F4559">
        <w:trPr>
          <w:trHeight w:val="20"/>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34968B5B"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Total of buy-out and late payments redistributed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CFCE0" w14:textId="77777777" w:rsidR="00C90C91" w:rsidRPr="002E3196" w:rsidRDefault="00C90C91" w:rsidP="005F4559">
            <w:pPr>
              <w:spacing w:after="0" w:line="240" w:lineRule="auto"/>
              <w:rPr>
                <w:rFonts w:eastAsia="Times New Roman" w:cs="Calibri"/>
                <w:sz w:val="16"/>
                <w:szCs w:val="16"/>
              </w:rPr>
            </w:pPr>
            <w:r w:rsidRPr="002E3196">
              <w:rPr>
                <w:sz w:val="16"/>
                <w:szCs w:val="16"/>
              </w:rPr>
              <w:t>£358m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DD68D"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£123m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C830A"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£164m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BE9BA"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£42m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26F45"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£25m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376B9"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£0m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E43B8"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£460m</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89946"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£604m</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ECCEB72"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£842m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714629" w14:textId="77777777" w:rsidR="00C90C91" w:rsidRPr="002E3196" w:rsidRDefault="00C90C91" w:rsidP="005F4559">
            <w:pPr>
              <w:spacing w:after="0" w:line="240" w:lineRule="auto"/>
              <w:jc w:val="center"/>
              <w:rPr>
                <w:sz w:val="16"/>
                <w:szCs w:val="16"/>
              </w:rPr>
            </w:pPr>
            <w:r w:rsidRPr="002E3196">
              <w:rPr>
                <w:sz w:val="16"/>
                <w:szCs w:val="16"/>
              </w:rPr>
              <w:t>£655m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9D7341" w14:textId="77777777" w:rsidR="00C90C91" w:rsidRPr="002E3196" w:rsidRDefault="00C90C91" w:rsidP="005F4559">
            <w:pPr>
              <w:spacing w:after="0" w:line="240" w:lineRule="auto"/>
              <w:jc w:val="center"/>
              <w:rPr>
                <w:sz w:val="16"/>
                <w:szCs w:val="16"/>
              </w:rPr>
            </w:pPr>
            <w:r w:rsidRPr="002E3196">
              <w:rPr>
                <w:sz w:val="16"/>
                <w:szCs w:val="16"/>
              </w:rPr>
              <w:t>£46</w:t>
            </w:r>
            <w:r>
              <w:rPr>
                <w:sz w:val="16"/>
                <w:szCs w:val="16"/>
              </w:rPr>
              <w:t>6</w:t>
            </w:r>
            <w:r w:rsidRPr="002E3196">
              <w:rPr>
                <w:sz w:val="16"/>
                <w:szCs w:val="16"/>
              </w:rPr>
              <w:t>m</w:t>
            </w:r>
          </w:p>
        </w:tc>
      </w:tr>
      <w:tr w:rsidR="00C90C91" w:rsidRPr="006B3AC6" w14:paraId="73156E18" w14:textId="77777777" w:rsidTr="005F4559">
        <w:trPr>
          <w:trHeight w:val="303"/>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12E7B4F9"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Total ROCs presented (m)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67CE9"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25.0m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E949"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34.4m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C6BEA"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44.8m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4B40B"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60.8m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BE124"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71.3m</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8DF11"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84.4m</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289D6"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90.2m</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E978E"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103.2m</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A8900FF"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107.6m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F80B62" w14:textId="77777777" w:rsidR="00C90C91" w:rsidRPr="002E3196" w:rsidRDefault="00C90C91" w:rsidP="005F4559">
            <w:pPr>
              <w:spacing w:after="0" w:line="240" w:lineRule="auto"/>
              <w:jc w:val="center"/>
              <w:rPr>
                <w:sz w:val="16"/>
                <w:szCs w:val="16"/>
              </w:rPr>
            </w:pPr>
            <w:r w:rsidRPr="002E3196">
              <w:rPr>
                <w:sz w:val="16"/>
                <w:szCs w:val="16"/>
              </w:rPr>
              <w:t>115.9m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D972CA" w14:textId="77777777" w:rsidR="00C90C91" w:rsidRPr="002E3196" w:rsidRDefault="00C90C91" w:rsidP="005F4559">
            <w:pPr>
              <w:spacing w:after="0" w:line="240" w:lineRule="auto"/>
              <w:jc w:val="center"/>
              <w:rPr>
                <w:sz w:val="16"/>
                <w:szCs w:val="16"/>
              </w:rPr>
            </w:pPr>
            <w:r w:rsidRPr="002E3196">
              <w:rPr>
                <w:sz w:val="16"/>
                <w:szCs w:val="16"/>
              </w:rPr>
              <w:t>105.3m</w:t>
            </w:r>
          </w:p>
        </w:tc>
      </w:tr>
      <w:tr w:rsidR="00C90C91" w:rsidRPr="006B3AC6" w14:paraId="15443415" w14:textId="77777777" w:rsidTr="005F4559">
        <w:trPr>
          <w:trHeight w:val="20"/>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182D9033"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Recycle value per ROC presented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1A336"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£14.35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F0851"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£3.58</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EB9A7"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£3.67</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53EA5"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£0.70</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106E7"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£0.35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27FEC"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£0.00</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23676"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£5.10</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00968"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£5.85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F5D1FE"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£7.82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85D6D0" w14:textId="77777777" w:rsidR="00C90C91" w:rsidRPr="002E3196" w:rsidRDefault="00C90C91" w:rsidP="005F4559">
            <w:pPr>
              <w:spacing w:after="0" w:line="240" w:lineRule="auto"/>
              <w:jc w:val="center"/>
              <w:rPr>
                <w:sz w:val="16"/>
                <w:szCs w:val="16"/>
              </w:rPr>
            </w:pPr>
            <w:r w:rsidRPr="002E3196">
              <w:rPr>
                <w:sz w:val="16"/>
                <w:szCs w:val="16"/>
              </w:rPr>
              <w:t>£5.65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8EC5BA" w14:textId="77777777" w:rsidR="00C90C91" w:rsidRPr="002E3196" w:rsidRDefault="00C90C91" w:rsidP="005F4559">
            <w:pPr>
              <w:spacing w:after="0" w:line="240" w:lineRule="auto"/>
              <w:jc w:val="center"/>
              <w:rPr>
                <w:sz w:val="16"/>
                <w:szCs w:val="16"/>
              </w:rPr>
            </w:pPr>
            <w:r w:rsidRPr="002E3196">
              <w:rPr>
                <w:sz w:val="16"/>
                <w:szCs w:val="16"/>
              </w:rPr>
              <w:t>£4.4</w:t>
            </w:r>
            <w:r>
              <w:rPr>
                <w:sz w:val="16"/>
                <w:szCs w:val="16"/>
              </w:rPr>
              <w:t>2</w:t>
            </w:r>
          </w:p>
        </w:tc>
      </w:tr>
      <w:tr w:rsidR="00C90C91" w:rsidRPr="006B3AC6" w14:paraId="22A9B1E1" w14:textId="77777777" w:rsidTr="005F4559">
        <w:trPr>
          <w:trHeight w:val="20"/>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748ED65A"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Worth of a ROC to a supplier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23AE6"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£51.34</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A5B4E"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£42.27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D7955"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£44.38</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47BFC"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£42.72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53EAC"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£43.65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23B4D"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£44.33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9EB9C"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£49.87</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0BC6E"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£51.43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EE98C12"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£55.04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AF6CA5" w14:textId="77777777" w:rsidR="00C90C91" w:rsidRPr="002E3196" w:rsidRDefault="00C90C91" w:rsidP="005F4559">
            <w:pPr>
              <w:spacing w:after="0" w:line="240" w:lineRule="auto"/>
              <w:jc w:val="center"/>
              <w:rPr>
                <w:sz w:val="16"/>
                <w:szCs w:val="16"/>
              </w:rPr>
            </w:pPr>
            <w:r w:rsidRPr="002E3196">
              <w:rPr>
                <w:sz w:val="16"/>
                <w:szCs w:val="16"/>
              </w:rPr>
              <w:t>£54.43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E7FB8B" w14:textId="77777777" w:rsidR="00C90C91" w:rsidRPr="002E3196" w:rsidRDefault="00C90C91" w:rsidP="005F4559">
            <w:pPr>
              <w:spacing w:after="0" w:line="240" w:lineRule="auto"/>
              <w:jc w:val="center"/>
              <w:rPr>
                <w:sz w:val="16"/>
                <w:szCs w:val="16"/>
              </w:rPr>
            </w:pPr>
            <w:r w:rsidRPr="002E3196">
              <w:rPr>
                <w:sz w:val="16"/>
                <w:szCs w:val="16"/>
              </w:rPr>
              <w:t>£54.4</w:t>
            </w:r>
            <w:r>
              <w:rPr>
                <w:sz w:val="16"/>
                <w:szCs w:val="16"/>
              </w:rPr>
              <w:t>7</w:t>
            </w:r>
          </w:p>
        </w:tc>
      </w:tr>
      <w:tr w:rsidR="00C90C91" w:rsidRPr="006B3AC6" w14:paraId="3828C258" w14:textId="77777777" w:rsidTr="005F4559">
        <w:trPr>
          <w:trHeight w:val="20"/>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6319C8EC"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Average ROCs issued/MWh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DEACF"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1.07</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608AD"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1.12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7A9E5"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1.27</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D6FE2"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1.27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A2C0F"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1.28</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91822"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1.31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C4A4"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1.32</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79DD2"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1.34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96E5DC0" w14:textId="77777777" w:rsidR="00C90C91" w:rsidRPr="002E3196" w:rsidRDefault="00C90C91" w:rsidP="005F4559">
            <w:pPr>
              <w:spacing w:after="0" w:line="240" w:lineRule="auto"/>
              <w:jc w:val="center"/>
              <w:rPr>
                <w:rFonts w:eastAsia="Times New Roman" w:cs="Calibri"/>
                <w:sz w:val="16"/>
                <w:szCs w:val="16"/>
              </w:rPr>
            </w:pPr>
            <w:r w:rsidRPr="002E3196">
              <w:rPr>
                <w:sz w:val="16"/>
                <w:szCs w:val="16"/>
              </w:rPr>
              <w:t>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0F6E22" w14:textId="77777777" w:rsidR="00C90C91" w:rsidRPr="002E3196" w:rsidRDefault="00C90C91" w:rsidP="005F4559">
            <w:pPr>
              <w:spacing w:after="0" w:line="240" w:lineRule="auto"/>
              <w:jc w:val="center"/>
              <w:rPr>
                <w:sz w:val="16"/>
                <w:szCs w:val="16"/>
              </w:rPr>
            </w:pPr>
            <w:r w:rsidRPr="002E3196">
              <w:rPr>
                <w:sz w:val="16"/>
                <w:szCs w:val="16"/>
              </w:rPr>
              <w:t>1.35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00F0F5" w14:textId="77777777" w:rsidR="00C90C91" w:rsidRPr="002E3196" w:rsidRDefault="00C90C91" w:rsidP="005F4559">
            <w:pPr>
              <w:spacing w:after="0" w:line="240" w:lineRule="auto"/>
              <w:jc w:val="center"/>
              <w:rPr>
                <w:sz w:val="16"/>
                <w:szCs w:val="16"/>
              </w:rPr>
            </w:pPr>
            <w:r w:rsidRPr="002E3196">
              <w:rPr>
                <w:sz w:val="16"/>
                <w:szCs w:val="16"/>
              </w:rPr>
              <w:t>1.36</w:t>
            </w:r>
          </w:p>
        </w:tc>
      </w:tr>
      <w:tr w:rsidR="00C90C91" w:rsidRPr="006B3AC6" w14:paraId="633D8029" w14:textId="77777777" w:rsidTr="005F4559">
        <w:trPr>
          <w:trHeight w:val="20"/>
        </w:trPr>
        <w:tc>
          <w:tcPr>
            <w:tcW w:w="1655" w:type="dxa"/>
            <w:tcBorders>
              <w:top w:val="single" w:sz="4" w:space="0" w:color="auto"/>
              <w:left w:val="single" w:sz="4" w:space="0" w:color="auto"/>
              <w:bottom w:val="single" w:sz="4" w:space="0" w:color="auto"/>
              <w:right w:val="single" w:sz="4" w:space="0" w:color="auto"/>
            </w:tcBorders>
            <w:shd w:val="clear" w:color="auto" w:fill="2363AF"/>
            <w:vAlign w:val="center"/>
            <w:hideMark/>
          </w:tcPr>
          <w:p w14:paraId="0EB46D8F" w14:textId="77777777" w:rsidR="00C90C91" w:rsidRPr="008650ED" w:rsidRDefault="00C90C91" w:rsidP="005F4559">
            <w:pPr>
              <w:spacing w:before="40" w:after="40" w:line="240" w:lineRule="auto"/>
              <w:rPr>
                <w:rFonts w:eastAsia="Times New Roman" w:cstheme="minorHAnsi"/>
                <w:color w:val="FFFFFF" w:themeColor="background1"/>
                <w:sz w:val="16"/>
                <w:szCs w:val="16"/>
              </w:rPr>
            </w:pPr>
            <w:r w:rsidRPr="008650ED">
              <w:rPr>
                <w:rFonts w:eastAsia="Times New Roman" w:cstheme="minorHAnsi"/>
                <w:color w:val="FFFFFF" w:themeColor="background1"/>
                <w:sz w:val="16"/>
                <w:szCs w:val="16"/>
              </w:rPr>
              <w:t xml:space="preserve">Support per MWh supplied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BB448" w14:textId="77777777" w:rsidR="00C90C91" w:rsidRPr="002E3196" w:rsidRDefault="00C90C91" w:rsidP="005F4559">
            <w:pPr>
              <w:spacing w:after="0" w:line="240" w:lineRule="auto"/>
              <w:jc w:val="center"/>
              <w:rPr>
                <w:sz w:val="16"/>
                <w:szCs w:val="16"/>
              </w:rPr>
            </w:pPr>
            <w:r w:rsidRPr="002E3196">
              <w:rPr>
                <w:sz w:val="16"/>
                <w:szCs w:val="16"/>
              </w:rPr>
              <w:t>£54.93</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003E0" w14:textId="77777777" w:rsidR="00C90C91" w:rsidRPr="002E3196" w:rsidRDefault="00C90C91" w:rsidP="005F4559">
            <w:pPr>
              <w:spacing w:after="0" w:line="240" w:lineRule="auto"/>
              <w:jc w:val="center"/>
              <w:rPr>
                <w:sz w:val="16"/>
                <w:szCs w:val="16"/>
              </w:rPr>
            </w:pPr>
            <w:r w:rsidRPr="002E3196">
              <w:rPr>
                <w:sz w:val="16"/>
                <w:szCs w:val="16"/>
              </w:rPr>
              <w:t>£47.34</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17A6C" w14:textId="77777777" w:rsidR="00C90C91" w:rsidRPr="002E3196" w:rsidRDefault="00C90C91" w:rsidP="005F4559">
            <w:pPr>
              <w:spacing w:after="0" w:line="240" w:lineRule="auto"/>
              <w:jc w:val="center"/>
              <w:rPr>
                <w:sz w:val="16"/>
                <w:szCs w:val="16"/>
              </w:rPr>
            </w:pPr>
            <w:r w:rsidRPr="002E3196">
              <w:rPr>
                <w:sz w:val="16"/>
                <w:szCs w:val="16"/>
              </w:rPr>
              <w:t>£56.36</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2571A" w14:textId="77777777" w:rsidR="00C90C91" w:rsidRPr="002E3196" w:rsidRDefault="00C90C91" w:rsidP="005F4559">
            <w:pPr>
              <w:spacing w:after="0" w:line="240" w:lineRule="auto"/>
              <w:jc w:val="center"/>
              <w:rPr>
                <w:sz w:val="16"/>
                <w:szCs w:val="16"/>
              </w:rPr>
            </w:pPr>
            <w:r w:rsidRPr="002E3196">
              <w:rPr>
                <w:sz w:val="16"/>
                <w:szCs w:val="16"/>
              </w:rPr>
              <w:t>£54.25</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4606E" w14:textId="77777777" w:rsidR="00C90C91" w:rsidRPr="002E3196" w:rsidRDefault="00C90C91" w:rsidP="005F4559">
            <w:pPr>
              <w:spacing w:after="0" w:line="240" w:lineRule="auto"/>
              <w:jc w:val="center"/>
              <w:rPr>
                <w:sz w:val="16"/>
                <w:szCs w:val="16"/>
              </w:rPr>
            </w:pPr>
            <w:r w:rsidRPr="002E3196">
              <w:rPr>
                <w:sz w:val="16"/>
                <w:szCs w:val="16"/>
              </w:rPr>
              <w:t>£55.87</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42996" w14:textId="77777777" w:rsidR="00C90C91" w:rsidRPr="002E3196" w:rsidRDefault="00C90C91" w:rsidP="005F4559">
            <w:pPr>
              <w:spacing w:after="0" w:line="240" w:lineRule="auto"/>
              <w:jc w:val="center"/>
              <w:rPr>
                <w:sz w:val="16"/>
                <w:szCs w:val="16"/>
              </w:rPr>
            </w:pPr>
            <w:r w:rsidRPr="002E3196">
              <w:rPr>
                <w:sz w:val="16"/>
                <w:szCs w:val="16"/>
              </w:rPr>
              <w:t>£58.07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403A" w14:textId="77777777" w:rsidR="00C90C91" w:rsidRPr="002E3196" w:rsidRDefault="00C90C91" w:rsidP="005F4559">
            <w:pPr>
              <w:spacing w:after="0" w:line="240" w:lineRule="auto"/>
              <w:jc w:val="center"/>
              <w:rPr>
                <w:sz w:val="16"/>
                <w:szCs w:val="16"/>
              </w:rPr>
            </w:pPr>
            <w:r w:rsidRPr="002E3196">
              <w:rPr>
                <w:sz w:val="16"/>
                <w:szCs w:val="16"/>
              </w:rPr>
              <w:t>£65.83</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8B7A8" w14:textId="77777777" w:rsidR="00C90C91" w:rsidRPr="002E3196" w:rsidRDefault="00C90C91" w:rsidP="005F4559">
            <w:pPr>
              <w:spacing w:after="0" w:line="240" w:lineRule="auto"/>
              <w:jc w:val="center"/>
              <w:rPr>
                <w:sz w:val="16"/>
                <w:szCs w:val="16"/>
              </w:rPr>
            </w:pPr>
            <w:r w:rsidRPr="002E3196">
              <w:rPr>
                <w:sz w:val="16"/>
                <w:szCs w:val="16"/>
              </w:rPr>
              <w:t>£68.92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CAA5F8E" w14:textId="77777777" w:rsidR="00C90C91" w:rsidRPr="002E3196" w:rsidRDefault="00C90C91" w:rsidP="005F4559">
            <w:pPr>
              <w:spacing w:after="0" w:line="240" w:lineRule="auto"/>
              <w:jc w:val="center"/>
              <w:rPr>
                <w:sz w:val="16"/>
                <w:szCs w:val="16"/>
              </w:rPr>
            </w:pPr>
            <w:r w:rsidRPr="002E3196">
              <w:rPr>
                <w:sz w:val="16"/>
                <w:szCs w:val="16"/>
              </w:rPr>
              <w:t>£73.75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2094E9" w14:textId="77777777" w:rsidR="00C90C91" w:rsidRPr="002E3196" w:rsidRDefault="00C90C91" w:rsidP="005F4559">
            <w:pPr>
              <w:spacing w:after="0" w:line="240" w:lineRule="auto"/>
              <w:jc w:val="center"/>
              <w:rPr>
                <w:sz w:val="16"/>
                <w:szCs w:val="16"/>
              </w:rPr>
            </w:pPr>
            <w:r w:rsidRPr="002E3196">
              <w:rPr>
                <w:sz w:val="16"/>
                <w:szCs w:val="16"/>
              </w:rPr>
              <w:t>£73.48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FDB60B" w14:textId="77777777" w:rsidR="00C90C91" w:rsidRPr="002E3196" w:rsidRDefault="00C90C91" w:rsidP="005F4559">
            <w:pPr>
              <w:spacing w:after="0" w:line="240" w:lineRule="auto"/>
              <w:jc w:val="center"/>
              <w:rPr>
                <w:sz w:val="16"/>
                <w:szCs w:val="16"/>
              </w:rPr>
            </w:pPr>
            <w:r w:rsidRPr="002E3196">
              <w:rPr>
                <w:sz w:val="16"/>
                <w:szCs w:val="16"/>
              </w:rPr>
              <w:t>£74.03</w:t>
            </w:r>
          </w:p>
        </w:tc>
      </w:tr>
    </w:tbl>
    <w:p w14:paraId="2CC9A11F" w14:textId="4E36F1AF" w:rsidR="00071AD7" w:rsidRDefault="00071AD7">
      <w:pPr>
        <w:spacing w:line="276" w:lineRule="auto"/>
      </w:pPr>
      <w:r>
        <w:br w:type="page"/>
      </w:r>
    </w:p>
    <w:p w14:paraId="3B3A4D68" w14:textId="0526F5EA" w:rsidR="0017609D" w:rsidRPr="00482E14" w:rsidRDefault="0017609D" w:rsidP="00780608">
      <w:pPr>
        <w:pStyle w:val="Heading2"/>
        <w:rPr>
          <w:rStyle w:val="Heading2Char"/>
          <w:sz w:val="36"/>
          <w:szCs w:val="32"/>
        </w:rPr>
      </w:pPr>
      <w:bookmarkStart w:id="431" w:name="_Toc98852193"/>
      <w:r w:rsidRPr="00780608">
        <w:rPr>
          <w:rStyle w:val="Heading2Char"/>
          <w:b/>
          <w:sz w:val="36"/>
          <w:szCs w:val="32"/>
        </w:rPr>
        <w:lastRenderedPageBreak/>
        <w:t xml:space="preserve">Appendix </w:t>
      </w:r>
      <w:r w:rsidR="00C85B64">
        <w:rPr>
          <w:rStyle w:val="Heading2Char"/>
          <w:b/>
          <w:sz w:val="36"/>
          <w:szCs w:val="32"/>
        </w:rPr>
        <w:t>4</w:t>
      </w:r>
      <w:r w:rsidRPr="00780608">
        <w:rPr>
          <w:rStyle w:val="Heading2Char"/>
          <w:b/>
          <w:sz w:val="36"/>
          <w:szCs w:val="32"/>
        </w:rPr>
        <w:t xml:space="preserve"> – Using public reports</w:t>
      </w:r>
      <w:bookmarkEnd w:id="431"/>
    </w:p>
    <w:p w14:paraId="2A5E27E8" w14:textId="5793CB7E" w:rsidR="00471EF7" w:rsidRDefault="00471EF7" w:rsidP="00780608">
      <w:pPr>
        <w:spacing w:after="120"/>
      </w:pPr>
      <w:r>
        <w:t>A number of reports on the Renewables Obligation scheme are publicly available via the Renewables and CHP Register. To assist readers who may wish to analyse the data upon which chapters 2 and 6 is largely based, this section gives further information on the two reports used – the ‘Accredited Stations’ and ‘Certificates’ reports. Please note that there are a number of other reports available, but these are not used in the production of the RO annual report and so are not covered.</w:t>
      </w:r>
      <w:r w:rsidR="00446DB1">
        <w:t xml:space="preserve"> </w:t>
      </w:r>
    </w:p>
    <w:p w14:paraId="792DC2C0" w14:textId="77296613" w:rsidR="00471EF7" w:rsidRDefault="00471EF7" w:rsidP="00471EF7">
      <w:r>
        <w:t xml:space="preserve">The public reports can be accessed via the Renewables and CHP login page which is shown in </w:t>
      </w:r>
      <w:r>
        <w:rPr>
          <w:b/>
        </w:rPr>
        <w:t>F</w:t>
      </w:r>
      <w:r w:rsidRPr="005E7AC6">
        <w:rPr>
          <w:b/>
        </w:rPr>
        <w:t>igure A</w:t>
      </w:r>
      <w:r w:rsidR="00C85B64">
        <w:rPr>
          <w:b/>
        </w:rPr>
        <w:t>4</w:t>
      </w:r>
      <w:r w:rsidRPr="005E7AC6">
        <w:rPr>
          <w:b/>
        </w:rPr>
        <w:t>.1</w:t>
      </w:r>
      <w:r>
        <w:t>.</w:t>
      </w:r>
      <w:r w:rsidR="0083403E">
        <w:rPr>
          <w:rStyle w:val="FootnoteReference"/>
        </w:rPr>
        <w:footnoteReference w:id="108"/>
      </w:r>
      <w:r>
        <w:t xml:space="preserve"> The link to view the public reports is highlighted. </w:t>
      </w:r>
    </w:p>
    <w:p w14:paraId="152F49EE" w14:textId="0A3DF01A" w:rsidR="00B83821" w:rsidRDefault="00B83821" w:rsidP="00B83821">
      <w:r>
        <w:t>Please note that a replacement for the Renewables and CHP Register is currently in development. Once launched the advice in the section will no longer apply. For more information please refer to the information available on our website</w:t>
      </w:r>
      <w:r w:rsidR="00B30B49">
        <w:t>.</w:t>
      </w:r>
      <w:r>
        <w:rPr>
          <w:rStyle w:val="FootnoteReference"/>
        </w:rPr>
        <w:footnoteReference w:id="109"/>
      </w:r>
      <w:r>
        <w:t xml:space="preserve"> </w:t>
      </w:r>
    </w:p>
    <w:p w14:paraId="6B9526ED" w14:textId="1F3CD95A" w:rsidR="00471EF7" w:rsidRPr="005E7AC6" w:rsidRDefault="00471EF7" w:rsidP="00471EF7">
      <w:pPr>
        <w:rPr>
          <w:b/>
        </w:rPr>
      </w:pPr>
      <w:r w:rsidRPr="005E7AC6">
        <w:rPr>
          <w:b/>
        </w:rPr>
        <w:t>Figure A</w:t>
      </w:r>
      <w:r w:rsidR="00C85B64">
        <w:rPr>
          <w:b/>
        </w:rPr>
        <w:t>4</w:t>
      </w:r>
      <w:r w:rsidRPr="005E7AC6">
        <w:rPr>
          <w:b/>
        </w:rPr>
        <w:t xml:space="preserve">.1: </w:t>
      </w:r>
      <w:r>
        <w:rPr>
          <w:b/>
        </w:rPr>
        <w:t>The Renewables and CHP login page</w:t>
      </w:r>
    </w:p>
    <w:p w14:paraId="54033095" w14:textId="77777777" w:rsidR="00471EF7" w:rsidRDefault="00471EF7" w:rsidP="00471EF7">
      <w:r w:rsidRPr="00A11135">
        <w:rPr>
          <w:noProof/>
        </w:rPr>
        <w:drawing>
          <wp:inline distT="0" distB="0" distL="0" distR="0" wp14:anchorId="32F5FA76" wp14:editId="53DD6FEE">
            <wp:extent cx="5917721" cy="3814775"/>
            <wp:effectExtent l="0" t="0" r="6985" b="0"/>
            <wp:docPr id="33" name="Picture 33" descr="Image shows the Renewables and CHP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the Renewables and CHP login page."/>
                    <pic:cNvPicPr/>
                  </pic:nvPicPr>
                  <pic:blipFill>
                    <a:blip r:embed="rId97"/>
                    <a:stretch>
                      <a:fillRect/>
                    </a:stretch>
                  </pic:blipFill>
                  <pic:spPr>
                    <a:xfrm>
                      <a:off x="0" y="0"/>
                      <a:ext cx="5922411" cy="3817798"/>
                    </a:xfrm>
                    <a:prstGeom prst="rect">
                      <a:avLst/>
                    </a:prstGeom>
                  </pic:spPr>
                </pic:pic>
              </a:graphicData>
            </a:graphic>
          </wp:inline>
        </w:drawing>
      </w:r>
      <w:r w:rsidRPr="006E6B52">
        <w:t xml:space="preserve"> </w:t>
      </w:r>
    </w:p>
    <w:p w14:paraId="196B9FEB" w14:textId="7C6B1D38" w:rsidR="00471EF7" w:rsidRDefault="00471EF7" w:rsidP="00471EF7">
      <w:r>
        <w:lastRenderedPageBreak/>
        <w:t xml:space="preserve">Clicking the ‘View Public Reports’ link takes you to the Public Reports homepage as shown in </w:t>
      </w:r>
      <w:r w:rsidRPr="00780FEA">
        <w:rPr>
          <w:b/>
        </w:rPr>
        <w:t>Figure A</w:t>
      </w:r>
      <w:r w:rsidR="00C85B64">
        <w:rPr>
          <w:b/>
        </w:rPr>
        <w:t>4</w:t>
      </w:r>
      <w:r w:rsidRPr="00780FEA">
        <w:rPr>
          <w:b/>
        </w:rPr>
        <w:t>.2</w:t>
      </w:r>
      <w:r>
        <w:t>. The links to the ‘Accredited Stations’ and ‘Certificates’ reports are highlighted.</w:t>
      </w:r>
    </w:p>
    <w:p w14:paraId="26226DC0" w14:textId="5C3CB2F5" w:rsidR="00471EF7" w:rsidRPr="00780FEA" w:rsidRDefault="00471EF7" w:rsidP="00780608">
      <w:pPr>
        <w:spacing w:line="276" w:lineRule="auto"/>
        <w:rPr>
          <w:b/>
        </w:rPr>
      </w:pPr>
      <w:r w:rsidRPr="00780FEA">
        <w:rPr>
          <w:b/>
        </w:rPr>
        <w:t>Figure A</w:t>
      </w:r>
      <w:r w:rsidR="00C85B64">
        <w:rPr>
          <w:b/>
        </w:rPr>
        <w:t>4</w:t>
      </w:r>
      <w:r w:rsidRPr="00780FEA">
        <w:rPr>
          <w:b/>
        </w:rPr>
        <w:t>.2: The Public Reports homepage</w:t>
      </w:r>
    </w:p>
    <w:p w14:paraId="11D936B8" w14:textId="77777777" w:rsidR="00471EF7" w:rsidRDefault="00471EF7" w:rsidP="00471EF7">
      <w:r w:rsidRPr="00780FEA">
        <w:rPr>
          <w:noProof/>
        </w:rPr>
        <w:drawing>
          <wp:inline distT="0" distB="0" distL="0" distR="0" wp14:anchorId="1CF24828" wp14:editId="15C6ED0B">
            <wp:extent cx="6120130" cy="3312795"/>
            <wp:effectExtent l="0" t="0" r="0" b="1905"/>
            <wp:docPr id="34" name="Picture 34" descr="Image shows the public report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s the public reports homepage."/>
                    <pic:cNvPicPr/>
                  </pic:nvPicPr>
                  <pic:blipFill>
                    <a:blip r:embed="rId98"/>
                    <a:stretch>
                      <a:fillRect/>
                    </a:stretch>
                  </pic:blipFill>
                  <pic:spPr>
                    <a:xfrm>
                      <a:off x="0" y="0"/>
                      <a:ext cx="6120130" cy="3312795"/>
                    </a:xfrm>
                    <a:prstGeom prst="rect">
                      <a:avLst/>
                    </a:prstGeom>
                  </pic:spPr>
                </pic:pic>
              </a:graphicData>
            </a:graphic>
          </wp:inline>
        </w:drawing>
      </w:r>
    </w:p>
    <w:p w14:paraId="5514EDC2" w14:textId="77777777" w:rsidR="00471EF7" w:rsidRDefault="00471EF7" w:rsidP="00471EF7">
      <w:pPr>
        <w:pStyle w:val="Heading3"/>
        <w:rPr>
          <w:rFonts w:eastAsia="Times New Roman"/>
        </w:rPr>
      </w:pPr>
    </w:p>
    <w:p w14:paraId="1EF21F2B" w14:textId="77777777" w:rsidR="00471EF7" w:rsidRPr="00604285" w:rsidRDefault="00471EF7" w:rsidP="00471EF7">
      <w:pPr>
        <w:pStyle w:val="Heading3"/>
        <w:rPr>
          <w:rFonts w:eastAsia="Times New Roman"/>
        </w:rPr>
      </w:pPr>
      <w:bookmarkStart w:id="432" w:name="_Toc64493572"/>
      <w:r w:rsidRPr="00604285">
        <w:rPr>
          <w:rFonts w:eastAsia="Times New Roman"/>
        </w:rPr>
        <w:t>Accredited Stations report</w:t>
      </w:r>
      <w:bookmarkEnd w:id="432"/>
    </w:p>
    <w:p w14:paraId="49A2797B" w14:textId="77777777" w:rsidR="00471EF7" w:rsidRDefault="00471EF7" w:rsidP="00471EF7">
      <w:r>
        <w:t>The accredited stations report provides data on the stations which have been granted accreditation on the Renewables Obligation scheme. The table below gives information on the fields available in the report.</w:t>
      </w:r>
    </w:p>
    <w:p w14:paraId="791B3ABF" w14:textId="1FAA43E9" w:rsidR="00471EF7" w:rsidRPr="00780FEA" w:rsidRDefault="00471EF7" w:rsidP="00471EF7">
      <w:pPr>
        <w:rPr>
          <w:b/>
        </w:rPr>
      </w:pPr>
      <w:r>
        <w:rPr>
          <w:b/>
        </w:rPr>
        <w:t>Table A</w:t>
      </w:r>
      <w:r w:rsidR="00C85B64">
        <w:rPr>
          <w:b/>
        </w:rPr>
        <w:t>4</w:t>
      </w:r>
      <w:r>
        <w:rPr>
          <w:b/>
        </w:rPr>
        <w:t>.1</w:t>
      </w:r>
      <w:r w:rsidRPr="00780FEA">
        <w:rPr>
          <w:b/>
        </w:rPr>
        <w:t xml:space="preserve">: </w:t>
      </w:r>
      <w:r w:rsidRPr="003A001E">
        <w:rPr>
          <w:b/>
        </w:rPr>
        <w:t>Accredited stations report</w:t>
      </w:r>
      <w:r>
        <w:rPr>
          <w:b/>
        </w:rPr>
        <w:t xml:space="preserve"> -</w:t>
      </w:r>
      <w:r w:rsidRPr="003A001E">
        <w:rPr>
          <w:b/>
        </w:rPr>
        <w:t xml:space="preserve"> field descriptions</w:t>
      </w:r>
    </w:p>
    <w:tbl>
      <w:tblPr>
        <w:tblW w:w="93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521"/>
      </w:tblGrid>
      <w:tr w:rsidR="00471EF7" w:rsidRPr="005F3F53" w14:paraId="7F336795" w14:textId="77777777" w:rsidTr="00333F44">
        <w:trPr>
          <w:trHeight w:val="285"/>
        </w:trPr>
        <w:tc>
          <w:tcPr>
            <w:tcW w:w="2830" w:type="dxa"/>
            <w:shd w:val="clear" w:color="auto" w:fill="2363AF"/>
            <w:noWrap/>
          </w:tcPr>
          <w:p w14:paraId="24A9B423" w14:textId="77777777" w:rsidR="00471EF7" w:rsidRPr="0044612A" w:rsidRDefault="00471EF7" w:rsidP="00333F44">
            <w:pPr>
              <w:spacing w:before="120" w:after="0" w:line="240" w:lineRule="auto"/>
              <w:rPr>
                <w:rFonts w:eastAsia="Times New Roman" w:cs="Calibri"/>
                <w:color w:val="FFFFFF" w:themeColor="background1"/>
                <w:sz w:val="16"/>
                <w:szCs w:val="22"/>
              </w:rPr>
            </w:pPr>
            <w:r w:rsidRPr="0044612A">
              <w:rPr>
                <w:rFonts w:eastAsia="Times New Roman" w:cs="Calibri"/>
                <w:color w:val="FFFFFF" w:themeColor="background1"/>
                <w:sz w:val="16"/>
                <w:szCs w:val="22"/>
              </w:rPr>
              <w:t>Field name</w:t>
            </w:r>
          </w:p>
        </w:tc>
        <w:tc>
          <w:tcPr>
            <w:tcW w:w="6521" w:type="dxa"/>
            <w:shd w:val="clear" w:color="auto" w:fill="2363AF"/>
            <w:noWrap/>
            <w:vAlign w:val="bottom"/>
          </w:tcPr>
          <w:p w14:paraId="1D707B35" w14:textId="77777777" w:rsidR="00471EF7" w:rsidRPr="0044612A" w:rsidRDefault="00471EF7" w:rsidP="00333F44">
            <w:pPr>
              <w:spacing w:before="120" w:after="120" w:line="240" w:lineRule="auto"/>
              <w:rPr>
                <w:rFonts w:eastAsia="Times New Roman" w:cs="Calibri"/>
                <w:color w:val="FFFFFF" w:themeColor="background1"/>
                <w:sz w:val="16"/>
                <w:szCs w:val="22"/>
              </w:rPr>
            </w:pPr>
            <w:r w:rsidRPr="0044612A">
              <w:rPr>
                <w:rFonts w:eastAsia="Times New Roman" w:cs="Calibri"/>
                <w:color w:val="FFFFFF" w:themeColor="background1"/>
                <w:sz w:val="16"/>
                <w:szCs w:val="22"/>
              </w:rPr>
              <w:t>Description</w:t>
            </w:r>
          </w:p>
        </w:tc>
      </w:tr>
      <w:tr w:rsidR="00471EF7" w:rsidRPr="005F3F53" w14:paraId="1CBADBEF" w14:textId="77777777" w:rsidTr="00780608">
        <w:trPr>
          <w:trHeight w:val="285"/>
        </w:trPr>
        <w:tc>
          <w:tcPr>
            <w:tcW w:w="2830" w:type="dxa"/>
            <w:shd w:val="clear" w:color="auto" w:fill="auto"/>
            <w:noWrap/>
            <w:hideMark/>
          </w:tcPr>
          <w:p w14:paraId="7219BC55"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Accreditation Number</w:t>
            </w:r>
          </w:p>
        </w:tc>
        <w:tc>
          <w:tcPr>
            <w:tcW w:w="6521" w:type="dxa"/>
            <w:shd w:val="clear" w:color="auto" w:fill="auto"/>
            <w:noWrap/>
            <w:vAlign w:val="bottom"/>
            <w:hideMark/>
          </w:tcPr>
          <w:p w14:paraId="605AF6CC"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unique accreditation number given to a generating station</w:t>
            </w:r>
          </w:p>
        </w:tc>
      </w:tr>
      <w:tr w:rsidR="00471EF7" w:rsidRPr="005F3F53" w14:paraId="426D3603" w14:textId="77777777" w:rsidTr="00780608">
        <w:trPr>
          <w:trHeight w:val="285"/>
        </w:trPr>
        <w:tc>
          <w:tcPr>
            <w:tcW w:w="2830" w:type="dxa"/>
            <w:shd w:val="clear" w:color="auto" w:fill="auto"/>
            <w:noWrap/>
            <w:hideMark/>
          </w:tcPr>
          <w:p w14:paraId="479421E9"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 xml:space="preserve">Status </w:t>
            </w:r>
          </w:p>
        </w:tc>
        <w:tc>
          <w:tcPr>
            <w:tcW w:w="6521" w:type="dxa"/>
            <w:shd w:val="clear" w:color="auto" w:fill="auto"/>
            <w:noWrap/>
            <w:vAlign w:val="bottom"/>
            <w:hideMark/>
          </w:tcPr>
          <w:p w14:paraId="18E5C96E"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Denoted either ‘Live’ or ‘Preliminary’ accreditation. Only stations that are live or have been granted full accreditation are included in the annual report</w:t>
            </w:r>
          </w:p>
        </w:tc>
      </w:tr>
      <w:tr w:rsidR="00471EF7" w:rsidRPr="005F3F53" w14:paraId="30D95632" w14:textId="77777777" w:rsidTr="00780608">
        <w:trPr>
          <w:trHeight w:val="285"/>
        </w:trPr>
        <w:tc>
          <w:tcPr>
            <w:tcW w:w="2830" w:type="dxa"/>
            <w:shd w:val="clear" w:color="auto" w:fill="auto"/>
            <w:noWrap/>
            <w:hideMark/>
          </w:tcPr>
          <w:p w14:paraId="72BDDBA4"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Generating Station</w:t>
            </w:r>
          </w:p>
        </w:tc>
        <w:tc>
          <w:tcPr>
            <w:tcW w:w="6521" w:type="dxa"/>
            <w:shd w:val="clear" w:color="auto" w:fill="auto"/>
            <w:noWrap/>
            <w:vAlign w:val="bottom"/>
            <w:hideMark/>
          </w:tcPr>
          <w:p w14:paraId="78A01883"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unique name of the generating station</w:t>
            </w:r>
          </w:p>
        </w:tc>
      </w:tr>
      <w:tr w:rsidR="00471EF7" w:rsidRPr="005F3F53" w14:paraId="6EDAF4B8" w14:textId="77777777" w:rsidTr="00780608">
        <w:trPr>
          <w:trHeight w:val="285"/>
        </w:trPr>
        <w:tc>
          <w:tcPr>
            <w:tcW w:w="2830" w:type="dxa"/>
            <w:shd w:val="clear" w:color="auto" w:fill="auto"/>
            <w:noWrap/>
            <w:hideMark/>
          </w:tcPr>
          <w:p w14:paraId="1CCC98B4"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Scheme</w:t>
            </w:r>
          </w:p>
        </w:tc>
        <w:tc>
          <w:tcPr>
            <w:tcW w:w="6521" w:type="dxa"/>
            <w:shd w:val="clear" w:color="auto" w:fill="auto"/>
            <w:noWrap/>
            <w:vAlign w:val="bottom"/>
            <w:hideMark/>
          </w:tcPr>
          <w:p w14:paraId="700AF160"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name of the support scheme. For the data in this report this is the Renewables Obligation (RO)</w:t>
            </w:r>
          </w:p>
        </w:tc>
      </w:tr>
      <w:tr w:rsidR="00471EF7" w:rsidRPr="005F3F53" w14:paraId="17444254" w14:textId="77777777" w:rsidTr="00780608">
        <w:trPr>
          <w:trHeight w:val="285"/>
        </w:trPr>
        <w:tc>
          <w:tcPr>
            <w:tcW w:w="2830" w:type="dxa"/>
            <w:shd w:val="clear" w:color="auto" w:fill="auto"/>
            <w:noWrap/>
            <w:hideMark/>
          </w:tcPr>
          <w:p w14:paraId="60EB38FE"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Station DNC</w:t>
            </w:r>
          </w:p>
        </w:tc>
        <w:tc>
          <w:tcPr>
            <w:tcW w:w="6521" w:type="dxa"/>
            <w:shd w:val="clear" w:color="auto" w:fill="auto"/>
            <w:noWrap/>
            <w:vAlign w:val="bottom"/>
            <w:hideMark/>
          </w:tcPr>
          <w:p w14:paraId="3AF655BF"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Declared Net Capacity of the generating station</w:t>
            </w:r>
          </w:p>
        </w:tc>
      </w:tr>
      <w:tr w:rsidR="00471EF7" w:rsidRPr="005F3F53" w14:paraId="2AB65E0D" w14:textId="77777777" w:rsidTr="00780608">
        <w:trPr>
          <w:trHeight w:val="285"/>
        </w:trPr>
        <w:tc>
          <w:tcPr>
            <w:tcW w:w="2830" w:type="dxa"/>
            <w:shd w:val="clear" w:color="auto" w:fill="auto"/>
            <w:noWrap/>
            <w:hideMark/>
          </w:tcPr>
          <w:p w14:paraId="30B13E00"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Country</w:t>
            </w:r>
          </w:p>
        </w:tc>
        <w:tc>
          <w:tcPr>
            <w:tcW w:w="6521" w:type="dxa"/>
            <w:shd w:val="clear" w:color="auto" w:fill="auto"/>
            <w:noWrap/>
            <w:vAlign w:val="bottom"/>
            <w:hideMark/>
          </w:tcPr>
          <w:p w14:paraId="1AA4434B"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country where the generating station is located</w:t>
            </w:r>
          </w:p>
        </w:tc>
      </w:tr>
      <w:tr w:rsidR="00471EF7" w:rsidRPr="005F3F53" w14:paraId="09EE4553" w14:textId="77777777" w:rsidTr="00780608">
        <w:trPr>
          <w:trHeight w:val="285"/>
        </w:trPr>
        <w:tc>
          <w:tcPr>
            <w:tcW w:w="2830" w:type="dxa"/>
            <w:shd w:val="clear" w:color="auto" w:fill="auto"/>
            <w:noWrap/>
            <w:hideMark/>
          </w:tcPr>
          <w:p w14:paraId="3142EF57"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lastRenderedPageBreak/>
              <w:t>Technology</w:t>
            </w:r>
          </w:p>
        </w:tc>
        <w:tc>
          <w:tcPr>
            <w:tcW w:w="6521" w:type="dxa"/>
            <w:shd w:val="clear" w:color="auto" w:fill="auto"/>
            <w:noWrap/>
            <w:vAlign w:val="bottom"/>
            <w:hideMark/>
          </w:tcPr>
          <w:p w14:paraId="6FE4B58B"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renewable technology installed. Please note that for the purposes of the annual report the technology types have been simplif</w:t>
            </w:r>
            <w:r>
              <w:rPr>
                <w:rFonts w:eastAsia="Times New Roman" w:cs="Calibri"/>
                <w:sz w:val="16"/>
                <w:szCs w:val="22"/>
              </w:rPr>
              <w:t xml:space="preserve">ied </w:t>
            </w:r>
            <w:r w:rsidRPr="0044612A">
              <w:rPr>
                <w:rFonts w:eastAsia="Times New Roman" w:cs="Calibri"/>
                <w:sz w:val="16"/>
                <w:szCs w:val="22"/>
              </w:rPr>
              <w:t>to:</w:t>
            </w:r>
          </w:p>
          <w:p w14:paraId="341586A4"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Fuelled</w:t>
            </w:r>
          </w:p>
          <w:p w14:paraId="38DAFFD8"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Hydro</w:t>
            </w:r>
          </w:p>
          <w:p w14:paraId="4495D923"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Landfill gas</w:t>
            </w:r>
          </w:p>
          <w:p w14:paraId="43B7DB1F"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Offshore wind</w:t>
            </w:r>
          </w:p>
          <w:p w14:paraId="7F5E1212"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Onshore wind</w:t>
            </w:r>
          </w:p>
          <w:p w14:paraId="56E82643"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Sewage gas</w:t>
            </w:r>
          </w:p>
          <w:p w14:paraId="2310BD92"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Solar PV</w:t>
            </w:r>
          </w:p>
          <w:p w14:paraId="54454CB9"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Wave Power</w:t>
            </w:r>
          </w:p>
          <w:p w14:paraId="019D4860"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Tidal stream</w:t>
            </w:r>
          </w:p>
        </w:tc>
      </w:tr>
      <w:tr w:rsidR="00471EF7" w:rsidRPr="005F3F53" w14:paraId="792B225C" w14:textId="77777777" w:rsidTr="00780608">
        <w:trPr>
          <w:trHeight w:val="285"/>
        </w:trPr>
        <w:tc>
          <w:tcPr>
            <w:tcW w:w="2830" w:type="dxa"/>
            <w:shd w:val="clear" w:color="auto" w:fill="auto"/>
            <w:noWrap/>
            <w:hideMark/>
          </w:tcPr>
          <w:p w14:paraId="14E62858"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Contract Type</w:t>
            </w:r>
          </w:p>
        </w:tc>
        <w:tc>
          <w:tcPr>
            <w:tcW w:w="6521" w:type="dxa"/>
            <w:shd w:val="clear" w:color="auto" w:fill="auto"/>
            <w:noWrap/>
            <w:vAlign w:val="bottom"/>
            <w:hideMark/>
          </w:tcPr>
          <w:p w14:paraId="5CA676DF" w14:textId="77777777" w:rsidR="00471EF7" w:rsidRPr="0044612A" w:rsidRDefault="00471EF7" w:rsidP="00333F44">
            <w:pPr>
              <w:spacing w:before="120" w:after="120" w:line="240" w:lineRule="auto"/>
              <w:rPr>
                <w:rFonts w:eastAsia="Times New Roman" w:cs="Calibri"/>
                <w:sz w:val="16"/>
                <w:szCs w:val="22"/>
              </w:rPr>
            </w:pPr>
            <w:r>
              <w:rPr>
                <w:rFonts w:eastAsia="Times New Roman" w:cs="Calibri"/>
                <w:sz w:val="16"/>
                <w:szCs w:val="22"/>
              </w:rPr>
              <w:t>Where shown as ‘NFPA’ this field identifies stations with both NFFO and RO accreditation. The ‘General’ label identifies all other stations on the RO scheme.</w:t>
            </w:r>
          </w:p>
        </w:tc>
      </w:tr>
      <w:tr w:rsidR="00471EF7" w:rsidRPr="005F3F53" w14:paraId="3AA6253A" w14:textId="77777777" w:rsidTr="00780608">
        <w:trPr>
          <w:trHeight w:val="285"/>
        </w:trPr>
        <w:tc>
          <w:tcPr>
            <w:tcW w:w="2830" w:type="dxa"/>
            <w:shd w:val="clear" w:color="auto" w:fill="auto"/>
            <w:noWrap/>
            <w:hideMark/>
          </w:tcPr>
          <w:p w14:paraId="06D227C0"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Accreditation Date</w:t>
            </w:r>
          </w:p>
        </w:tc>
        <w:tc>
          <w:tcPr>
            <w:tcW w:w="6521" w:type="dxa"/>
            <w:shd w:val="clear" w:color="auto" w:fill="auto"/>
            <w:noWrap/>
            <w:vAlign w:val="bottom"/>
            <w:hideMark/>
          </w:tcPr>
          <w:p w14:paraId="474B9BD5"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date from which the station is eligible to receive support under the RO scheme</w:t>
            </w:r>
          </w:p>
        </w:tc>
      </w:tr>
      <w:tr w:rsidR="00471EF7" w:rsidRPr="005F3F53" w14:paraId="720A7EB8" w14:textId="77777777" w:rsidTr="00780608">
        <w:trPr>
          <w:trHeight w:val="285"/>
        </w:trPr>
        <w:tc>
          <w:tcPr>
            <w:tcW w:w="2830" w:type="dxa"/>
            <w:shd w:val="clear" w:color="auto" w:fill="auto"/>
            <w:noWrap/>
            <w:hideMark/>
          </w:tcPr>
          <w:p w14:paraId="12EEFCA9"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Commission Date</w:t>
            </w:r>
          </w:p>
        </w:tc>
        <w:tc>
          <w:tcPr>
            <w:tcW w:w="6521" w:type="dxa"/>
            <w:shd w:val="clear" w:color="auto" w:fill="auto"/>
            <w:noWrap/>
            <w:vAlign w:val="bottom"/>
            <w:hideMark/>
          </w:tcPr>
          <w:p w14:paraId="755FAA05"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date on which the station commissioned</w:t>
            </w:r>
          </w:p>
        </w:tc>
      </w:tr>
      <w:tr w:rsidR="00471EF7" w:rsidRPr="005F3F53" w14:paraId="09402E8B" w14:textId="77777777" w:rsidTr="00780608">
        <w:trPr>
          <w:trHeight w:val="285"/>
        </w:trPr>
        <w:tc>
          <w:tcPr>
            <w:tcW w:w="2830" w:type="dxa"/>
            <w:shd w:val="clear" w:color="auto" w:fill="auto"/>
            <w:noWrap/>
            <w:hideMark/>
          </w:tcPr>
          <w:p w14:paraId="17AC5142"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Organisation</w:t>
            </w:r>
          </w:p>
        </w:tc>
        <w:tc>
          <w:tcPr>
            <w:tcW w:w="6521" w:type="dxa"/>
            <w:shd w:val="clear" w:color="auto" w:fill="auto"/>
            <w:noWrap/>
            <w:vAlign w:val="bottom"/>
            <w:hideMark/>
          </w:tcPr>
          <w:p w14:paraId="48B6008E"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name of the organisation as recorded on the Renewables and CHP Register</w:t>
            </w:r>
          </w:p>
        </w:tc>
      </w:tr>
      <w:tr w:rsidR="00471EF7" w:rsidRPr="005F3F53" w14:paraId="088CDE38" w14:textId="77777777" w:rsidTr="00780608">
        <w:trPr>
          <w:trHeight w:val="285"/>
        </w:trPr>
        <w:tc>
          <w:tcPr>
            <w:tcW w:w="2830" w:type="dxa"/>
            <w:shd w:val="clear" w:color="auto" w:fill="auto"/>
            <w:noWrap/>
            <w:hideMark/>
          </w:tcPr>
          <w:p w14:paraId="7E462DA2"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Organisation Contact Address</w:t>
            </w:r>
          </w:p>
        </w:tc>
        <w:tc>
          <w:tcPr>
            <w:tcW w:w="6521" w:type="dxa"/>
            <w:shd w:val="clear" w:color="auto" w:fill="auto"/>
            <w:noWrap/>
            <w:vAlign w:val="bottom"/>
            <w:hideMark/>
          </w:tcPr>
          <w:p w14:paraId="6551A752"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organisation’s contact address</w:t>
            </w:r>
          </w:p>
        </w:tc>
      </w:tr>
      <w:tr w:rsidR="00471EF7" w:rsidRPr="005F3F53" w14:paraId="0B0F36EC" w14:textId="77777777" w:rsidTr="00780608">
        <w:trPr>
          <w:trHeight w:val="285"/>
        </w:trPr>
        <w:tc>
          <w:tcPr>
            <w:tcW w:w="2830" w:type="dxa"/>
            <w:shd w:val="clear" w:color="auto" w:fill="auto"/>
            <w:noWrap/>
            <w:hideMark/>
          </w:tcPr>
          <w:p w14:paraId="1F35AD43"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Organisation Contact Fax</w:t>
            </w:r>
          </w:p>
        </w:tc>
        <w:tc>
          <w:tcPr>
            <w:tcW w:w="6521" w:type="dxa"/>
            <w:shd w:val="clear" w:color="auto" w:fill="auto"/>
            <w:noWrap/>
            <w:vAlign w:val="bottom"/>
            <w:hideMark/>
          </w:tcPr>
          <w:p w14:paraId="6944AF8A"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 xml:space="preserve">The organisation’s </w:t>
            </w:r>
            <w:r>
              <w:rPr>
                <w:rFonts w:eastAsia="Times New Roman" w:cs="Calibri"/>
                <w:sz w:val="16"/>
                <w:szCs w:val="22"/>
              </w:rPr>
              <w:t>fax number</w:t>
            </w:r>
          </w:p>
        </w:tc>
      </w:tr>
      <w:tr w:rsidR="00471EF7" w:rsidRPr="005F3F53" w14:paraId="0FF72619" w14:textId="77777777" w:rsidTr="00780608">
        <w:trPr>
          <w:trHeight w:val="285"/>
        </w:trPr>
        <w:tc>
          <w:tcPr>
            <w:tcW w:w="2830" w:type="dxa"/>
            <w:shd w:val="clear" w:color="auto" w:fill="auto"/>
            <w:noWrap/>
            <w:hideMark/>
          </w:tcPr>
          <w:p w14:paraId="61BAC3E3" w14:textId="77777777" w:rsidR="00471EF7" w:rsidRPr="0044612A" w:rsidRDefault="00471EF7" w:rsidP="00333F44">
            <w:pPr>
              <w:spacing w:before="120" w:after="0" w:line="240" w:lineRule="auto"/>
              <w:rPr>
                <w:rFonts w:eastAsia="Times New Roman" w:cs="Calibri"/>
                <w:sz w:val="16"/>
                <w:szCs w:val="22"/>
              </w:rPr>
            </w:pPr>
            <w:r w:rsidRPr="0044612A">
              <w:rPr>
                <w:rFonts w:eastAsia="Times New Roman" w:cs="Calibri"/>
                <w:sz w:val="16"/>
                <w:szCs w:val="22"/>
              </w:rPr>
              <w:t>Generating Station Address</w:t>
            </w:r>
          </w:p>
        </w:tc>
        <w:tc>
          <w:tcPr>
            <w:tcW w:w="6521" w:type="dxa"/>
            <w:shd w:val="clear" w:color="auto" w:fill="auto"/>
            <w:noWrap/>
            <w:vAlign w:val="bottom"/>
            <w:hideMark/>
          </w:tcPr>
          <w:p w14:paraId="54F9D898"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generating station’s address</w:t>
            </w:r>
          </w:p>
        </w:tc>
      </w:tr>
    </w:tbl>
    <w:p w14:paraId="177D4F9F" w14:textId="77777777" w:rsidR="00471EF7" w:rsidRPr="003A001E" w:rsidRDefault="00471EF7" w:rsidP="00471EF7">
      <w:pPr>
        <w:rPr>
          <w:sz w:val="8"/>
        </w:rPr>
      </w:pPr>
      <w:r>
        <w:t xml:space="preserve"> </w:t>
      </w:r>
    </w:p>
    <w:p w14:paraId="3D6445A1" w14:textId="77777777" w:rsidR="00471EF7" w:rsidRPr="00604285" w:rsidRDefault="00471EF7" w:rsidP="00471EF7">
      <w:pPr>
        <w:pStyle w:val="Heading3"/>
        <w:rPr>
          <w:rFonts w:eastAsia="Times New Roman"/>
        </w:rPr>
      </w:pPr>
      <w:bookmarkStart w:id="433" w:name="_Toc61012021"/>
      <w:bookmarkStart w:id="434" w:name="_Toc64493573"/>
      <w:r>
        <w:rPr>
          <w:rFonts w:eastAsia="Times New Roman"/>
        </w:rPr>
        <w:t>Certificates</w:t>
      </w:r>
      <w:r w:rsidRPr="00604285">
        <w:rPr>
          <w:rFonts w:eastAsia="Times New Roman"/>
        </w:rPr>
        <w:t xml:space="preserve"> report</w:t>
      </w:r>
      <w:bookmarkEnd w:id="433"/>
      <w:bookmarkEnd w:id="434"/>
    </w:p>
    <w:p w14:paraId="4ACFF42D" w14:textId="77777777" w:rsidR="00471EF7" w:rsidRDefault="00471EF7" w:rsidP="00471EF7">
      <w:r>
        <w:t>The certificates report provides data on the ROCs which have been generated by the Renewables and CHP Register. The table below gives information on the fields available in the report.</w:t>
      </w:r>
    </w:p>
    <w:p w14:paraId="26D72F27" w14:textId="1E5E453D" w:rsidR="00471EF7" w:rsidRPr="00780FEA" w:rsidRDefault="00471EF7" w:rsidP="00471EF7">
      <w:pPr>
        <w:rPr>
          <w:b/>
        </w:rPr>
      </w:pPr>
      <w:r>
        <w:rPr>
          <w:b/>
        </w:rPr>
        <w:t>Table A</w:t>
      </w:r>
      <w:r w:rsidR="00C85B64">
        <w:rPr>
          <w:b/>
        </w:rPr>
        <w:t>4</w:t>
      </w:r>
      <w:r>
        <w:rPr>
          <w:b/>
        </w:rPr>
        <w:t>.</w:t>
      </w:r>
      <w:r w:rsidR="00805F00">
        <w:rPr>
          <w:b/>
        </w:rPr>
        <w:t>2</w:t>
      </w:r>
      <w:r w:rsidRPr="00780FEA">
        <w:rPr>
          <w:b/>
        </w:rPr>
        <w:t xml:space="preserve">: </w:t>
      </w:r>
      <w:r>
        <w:rPr>
          <w:b/>
        </w:rPr>
        <w:t>Certificates</w:t>
      </w:r>
      <w:r w:rsidRPr="003A001E">
        <w:rPr>
          <w:b/>
        </w:rPr>
        <w:t xml:space="preserve"> report</w:t>
      </w:r>
      <w:r>
        <w:rPr>
          <w:b/>
        </w:rPr>
        <w:t xml:space="preserve"> -</w:t>
      </w:r>
      <w:r w:rsidRPr="003A001E">
        <w:rPr>
          <w:b/>
        </w:rPr>
        <w:t xml:space="preserve"> field descriptions</w:t>
      </w: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080"/>
      </w:tblGrid>
      <w:tr w:rsidR="00471EF7" w:rsidRPr="0081093F" w14:paraId="5D186541" w14:textId="77777777" w:rsidTr="00333F44">
        <w:trPr>
          <w:trHeight w:val="285"/>
        </w:trPr>
        <w:tc>
          <w:tcPr>
            <w:tcW w:w="3180" w:type="dxa"/>
            <w:shd w:val="clear" w:color="auto" w:fill="2363AF"/>
            <w:noWrap/>
            <w:vAlign w:val="bottom"/>
            <w:hideMark/>
          </w:tcPr>
          <w:p w14:paraId="2838A59D" w14:textId="77777777" w:rsidR="00471EF7" w:rsidRPr="0081093F" w:rsidRDefault="00471EF7" w:rsidP="00333F44">
            <w:pPr>
              <w:spacing w:before="120" w:after="120" w:line="240" w:lineRule="auto"/>
              <w:rPr>
                <w:rFonts w:eastAsia="Times New Roman" w:cs="Calibri"/>
                <w:color w:val="FFFFFF" w:themeColor="background1"/>
                <w:sz w:val="16"/>
                <w:szCs w:val="22"/>
              </w:rPr>
            </w:pPr>
            <w:r w:rsidRPr="0081093F">
              <w:rPr>
                <w:rFonts w:eastAsia="Times New Roman" w:cs="Calibri"/>
                <w:color w:val="FFFFFF" w:themeColor="background1"/>
                <w:sz w:val="16"/>
                <w:szCs w:val="22"/>
              </w:rPr>
              <w:t>Field name</w:t>
            </w:r>
          </w:p>
        </w:tc>
        <w:tc>
          <w:tcPr>
            <w:tcW w:w="5080" w:type="dxa"/>
            <w:shd w:val="clear" w:color="auto" w:fill="2363AF"/>
            <w:noWrap/>
            <w:vAlign w:val="bottom"/>
            <w:hideMark/>
          </w:tcPr>
          <w:p w14:paraId="20364597" w14:textId="77777777" w:rsidR="00471EF7" w:rsidRPr="0081093F" w:rsidRDefault="00471EF7" w:rsidP="00333F44">
            <w:pPr>
              <w:spacing w:before="120" w:after="120" w:line="240" w:lineRule="auto"/>
              <w:rPr>
                <w:rFonts w:eastAsia="Times New Roman" w:cs="Calibri"/>
                <w:color w:val="FFFFFF" w:themeColor="background1"/>
                <w:sz w:val="16"/>
                <w:szCs w:val="22"/>
              </w:rPr>
            </w:pPr>
            <w:r w:rsidRPr="0081093F">
              <w:rPr>
                <w:rFonts w:eastAsia="Times New Roman" w:cs="Calibri"/>
                <w:color w:val="FFFFFF" w:themeColor="background1"/>
                <w:sz w:val="16"/>
                <w:szCs w:val="22"/>
              </w:rPr>
              <w:t>Description</w:t>
            </w:r>
          </w:p>
        </w:tc>
      </w:tr>
      <w:tr w:rsidR="00471EF7" w:rsidRPr="0081093F" w14:paraId="34944E0F" w14:textId="77777777" w:rsidTr="00780608">
        <w:trPr>
          <w:trHeight w:val="285"/>
        </w:trPr>
        <w:tc>
          <w:tcPr>
            <w:tcW w:w="3180" w:type="dxa"/>
            <w:shd w:val="clear" w:color="auto" w:fill="auto"/>
            <w:noWrap/>
            <w:hideMark/>
          </w:tcPr>
          <w:p w14:paraId="0BF15FAF"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Accreditation No.</w:t>
            </w:r>
          </w:p>
        </w:tc>
        <w:tc>
          <w:tcPr>
            <w:tcW w:w="5080" w:type="dxa"/>
            <w:shd w:val="clear" w:color="auto" w:fill="auto"/>
            <w:noWrap/>
            <w:vAlign w:val="bottom"/>
            <w:hideMark/>
          </w:tcPr>
          <w:p w14:paraId="45F073B9" w14:textId="77777777" w:rsidR="00471EF7" w:rsidRPr="0081093F"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unique accreditation number given to a generating station</w:t>
            </w:r>
          </w:p>
        </w:tc>
      </w:tr>
      <w:tr w:rsidR="00471EF7" w:rsidRPr="0081093F" w14:paraId="7B9E3D63" w14:textId="77777777" w:rsidTr="00780608">
        <w:trPr>
          <w:trHeight w:val="285"/>
        </w:trPr>
        <w:tc>
          <w:tcPr>
            <w:tcW w:w="3180" w:type="dxa"/>
            <w:shd w:val="clear" w:color="auto" w:fill="auto"/>
            <w:noWrap/>
            <w:hideMark/>
          </w:tcPr>
          <w:p w14:paraId="388364B9"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Generating Station / Agent Group</w:t>
            </w:r>
          </w:p>
        </w:tc>
        <w:tc>
          <w:tcPr>
            <w:tcW w:w="5080" w:type="dxa"/>
            <w:shd w:val="clear" w:color="auto" w:fill="auto"/>
            <w:noWrap/>
            <w:vAlign w:val="bottom"/>
            <w:hideMark/>
          </w:tcPr>
          <w:p w14:paraId="23BBEDCB" w14:textId="77777777" w:rsidR="00471EF7" w:rsidRPr="0081093F"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unique name of the generating station</w:t>
            </w:r>
          </w:p>
        </w:tc>
      </w:tr>
      <w:tr w:rsidR="00471EF7" w:rsidRPr="0081093F" w14:paraId="42C05A94" w14:textId="77777777" w:rsidTr="00780608">
        <w:trPr>
          <w:trHeight w:val="285"/>
        </w:trPr>
        <w:tc>
          <w:tcPr>
            <w:tcW w:w="3180" w:type="dxa"/>
            <w:shd w:val="clear" w:color="auto" w:fill="auto"/>
            <w:noWrap/>
            <w:hideMark/>
          </w:tcPr>
          <w:p w14:paraId="00A60B76"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Station TIC</w:t>
            </w:r>
          </w:p>
        </w:tc>
        <w:tc>
          <w:tcPr>
            <w:tcW w:w="5080" w:type="dxa"/>
            <w:shd w:val="clear" w:color="auto" w:fill="auto"/>
            <w:noWrap/>
            <w:vAlign w:val="bottom"/>
            <w:hideMark/>
          </w:tcPr>
          <w:p w14:paraId="7D125128" w14:textId="77777777" w:rsidR="00471EF7" w:rsidRPr="0081093F" w:rsidRDefault="00471EF7" w:rsidP="00333F44">
            <w:pPr>
              <w:spacing w:before="120" w:after="120" w:line="240" w:lineRule="auto"/>
              <w:rPr>
                <w:rFonts w:eastAsia="Times New Roman" w:cs="Calibri"/>
                <w:sz w:val="16"/>
                <w:szCs w:val="22"/>
              </w:rPr>
            </w:pPr>
            <w:r w:rsidRPr="0044612A">
              <w:rPr>
                <w:rFonts w:eastAsia="Times New Roman" w:cs="Calibri"/>
                <w:sz w:val="16"/>
                <w:szCs w:val="22"/>
              </w:rPr>
              <w:t xml:space="preserve">The </w:t>
            </w:r>
            <w:r>
              <w:rPr>
                <w:rFonts w:eastAsia="Times New Roman" w:cs="Calibri"/>
                <w:sz w:val="16"/>
                <w:szCs w:val="22"/>
              </w:rPr>
              <w:t>Total Installed</w:t>
            </w:r>
            <w:r w:rsidRPr="0044612A">
              <w:rPr>
                <w:rFonts w:eastAsia="Times New Roman" w:cs="Calibri"/>
                <w:sz w:val="16"/>
                <w:szCs w:val="22"/>
              </w:rPr>
              <w:t xml:space="preserve"> Capacity of the generating station</w:t>
            </w:r>
          </w:p>
        </w:tc>
      </w:tr>
      <w:tr w:rsidR="00471EF7" w:rsidRPr="0081093F" w14:paraId="77262AFF" w14:textId="77777777" w:rsidTr="00780608">
        <w:trPr>
          <w:trHeight w:val="285"/>
        </w:trPr>
        <w:tc>
          <w:tcPr>
            <w:tcW w:w="3180" w:type="dxa"/>
            <w:shd w:val="clear" w:color="auto" w:fill="auto"/>
            <w:noWrap/>
            <w:hideMark/>
          </w:tcPr>
          <w:p w14:paraId="685FA61F"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Scheme</w:t>
            </w:r>
          </w:p>
        </w:tc>
        <w:tc>
          <w:tcPr>
            <w:tcW w:w="5080" w:type="dxa"/>
            <w:shd w:val="clear" w:color="auto" w:fill="auto"/>
            <w:noWrap/>
            <w:vAlign w:val="bottom"/>
            <w:hideMark/>
          </w:tcPr>
          <w:p w14:paraId="3874E29B" w14:textId="77777777" w:rsidR="00471EF7" w:rsidRPr="0081093F"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name of the support scheme. For the data in this report this is the Renewables Obligation (RO)</w:t>
            </w:r>
          </w:p>
        </w:tc>
      </w:tr>
      <w:tr w:rsidR="00471EF7" w:rsidRPr="0081093F" w14:paraId="44C6A9D3" w14:textId="77777777" w:rsidTr="00780608">
        <w:trPr>
          <w:trHeight w:val="285"/>
        </w:trPr>
        <w:tc>
          <w:tcPr>
            <w:tcW w:w="3180" w:type="dxa"/>
            <w:shd w:val="clear" w:color="auto" w:fill="auto"/>
            <w:noWrap/>
            <w:hideMark/>
          </w:tcPr>
          <w:p w14:paraId="0E4C7EE9"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Country</w:t>
            </w:r>
          </w:p>
        </w:tc>
        <w:tc>
          <w:tcPr>
            <w:tcW w:w="5080" w:type="dxa"/>
            <w:shd w:val="clear" w:color="auto" w:fill="auto"/>
            <w:noWrap/>
            <w:vAlign w:val="bottom"/>
            <w:hideMark/>
          </w:tcPr>
          <w:p w14:paraId="27AD774E" w14:textId="77777777" w:rsidR="00471EF7" w:rsidRPr="0081093F"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country where the generating station is located</w:t>
            </w:r>
          </w:p>
        </w:tc>
      </w:tr>
      <w:tr w:rsidR="00471EF7" w:rsidRPr="0081093F" w14:paraId="22F039E1" w14:textId="77777777" w:rsidTr="00780608">
        <w:trPr>
          <w:trHeight w:val="285"/>
        </w:trPr>
        <w:tc>
          <w:tcPr>
            <w:tcW w:w="3180" w:type="dxa"/>
            <w:shd w:val="clear" w:color="auto" w:fill="auto"/>
            <w:noWrap/>
            <w:hideMark/>
          </w:tcPr>
          <w:p w14:paraId="146DF03A"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lastRenderedPageBreak/>
              <w:t>Technology Group</w:t>
            </w:r>
          </w:p>
        </w:tc>
        <w:tc>
          <w:tcPr>
            <w:tcW w:w="5080" w:type="dxa"/>
            <w:shd w:val="clear" w:color="auto" w:fill="auto"/>
            <w:noWrap/>
            <w:vAlign w:val="bottom"/>
            <w:hideMark/>
          </w:tcPr>
          <w:p w14:paraId="58A59C1D" w14:textId="77777777" w:rsidR="00471EF7" w:rsidRPr="0044612A" w:rsidRDefault="00471EF7" w:rsidP="00333F44">
            <w:pPr>
              <w:spacing w:before="120" w:after="120" w:line="240" w:lineRule="auto"/>
              <w:rPr>
                <w:rFonts w:eastAsia="Times New Roman" w:cs="Calibri"/>
                <w:sz w:val="16"/>
                <w:szCs w:val="22"/>
              </w:rPr>
            </w:pPr>
            <w:r w:rsidRPr="0044612A">
              <w:rPr>
                <w:rFonts w:eastAsia="Times New Roman" w:cs="Calibri"/>
                <w:sz w:val="16"/>
                <w:szCs w:val="22"/>
              </w:rPr>
              <w:t>The renewable technology installed. Please note that for the purposes of the annual report the technology types have been simplif</w:t>
            </w:r>
            <w:r>
              <w:rPr>
                <w:rFonts w:eastAsia="Times New Roman" w:cs="Calibri"/>
                <w:sz w:val="16"/>
                <w:szCs w:val="22"/>
              </w:rPr>
              <w:t xml:space="preserve">ied </w:t>
            </w:r>
            <w:r w:rsidRPr="0044612A">
              <w:rPr>
                <w:rFonts w:eastAsia="Times New Roman" w:cs="Calibri"/>
                <w:sz w:val="16"/>
                <w:szCs w:val="22"/>
              </w:rPr>
              <w:t>to:</w:t>
            </w:r>
          </w:p>
          <w:p w14:paraId="6462E378"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Fuelled</w:t>
            </w:r>
          </w:p>
          <w:p w14:paraId="40BD51C1"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Hydro</w:t>
            </w:r>
          </w:p>
          <w:p w14:paraId="39F626D1"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Landfill gas</w:t>
            </w:r>
          </w:p>
          <w:p w14:paraId="333BE144"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Offshore wind</w:t>
            </w:r>
          </w:p>
          <w:p w14:paraId="1B3DB02B"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Onshore wind</w:t>
            </w:r>
          </w:p>
          <w:p w14:paraId="289C1985"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Sewage gas</w:t>
            </w:r>
          </w:p>
          <w:p w14:paraId="078BCA21" w14:textId="77777777" w:rsidR="00471EF7" w:rsidRPr="0044612A"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Solar PV</w:t>
            </w:r>
          </w:p>
          <w:p w14:paraId="18D5FA0E" w14:textId="77777777" w:rsidR="00471EF7" w:rsidRDefault="00471EF7" w:rsidP="00471EF7">
            <w:pPr>
              <w:pStyle w:val="ListParagraph"/>
              <w:numPr>
                <w:ilvl w:val="0"/>
                <w:numId w:val="13"/>
              </w:numPr>
              <w:spacing w:before="120" w:after="120" w:line="240" w:lineRule="auto"/>
              <w:rPr>
                <w:rFonts w:eastAsia="Times New Roman" w:cs="Calibri"/>
                <w:sz w:val="16"/>
                <w:szCs w:val="22"/>
              </w:rPr>
            </w:pPr>
            <w:r w:rsidRPr="0044612A">
              <w:rPr>
                <w:rFonts w:eastAsia="Times New Roman" w:cs="Calibri"/>
                <w:sz w:val="16"/>
                <w:szCs w:val="22"/>
              </w:rPr>
              <w:t>Wave Power</w:t>
            </w:r>
          </w:p>
          <w:p w14:paraId="63E6A90D" w14:textId="77777777" w:rsidR="00471EF7" w:rsidRPr="0081093F" w:rsidRDefault="00471EF7" w:rsidP="00471EF7">
            <w:pPr>
              <w:pStyle w:val="ListParagraph"/>
              <w:numPr>
                <w:ilvl w:val="0"/>
                <w:numId w:val="13"/>
              </w:numPr>
              <w:spacing w:before="120" w:after="120" w:line="240" w:lineRule="auto"/>
              <w:rPr>
                <w:rFonts w:eastAsia="Times New Roman" w:cs="Calibri"/>
                <w:sz w:val="16"/>
                <w:szCs w:val="22"/>
              </w:rPr>
            </w:pPr>
            <w:r w:rsidRPr="0081093F">
              <w:rPr>
                <w:rFonts w:eastAsia="Times New Roman" w:cs="Calibri"/>
                <w:sz w:val="16"/>
                <w:szCs w:val="22"/>
              </w:rPr>
              <w:t>Tidal stream</w:t>
            </w:r>
          </w:p>
        </w:tc>
      </w:tr>
      <w:tr w:rsidR="00471EF7" w:rsidRPr="0081093F" w14:paraId="335D79EC" w14:textId="77777777" w:rsidTr="00780608">
        <w:trPr>
          <w:trHeight w:val="285"/>
        </w:trPr>
        <w:tc>
          <w:tcPr>
            <w:tcW w:w="3180" w:type="dxa"/>
            <w:shd w:val="clear" w:color="auto" w:fill="auto"/>
            <w:noWrap/>
            <w:hideMark/>
          </w:tcPr>
          <w:p w14:paraId="74E944A0"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Generation Type</w:t>
            </w:r>
          </w:p>
        </w:tc>
        <w:tc>
          <w:tcPr>
            <w:tcW w:w="5080" w:type="dxa"/>
            <w:shd w:val="clear" w:color="auto" w:fill="auto"/>
            <w:noWrap/>
            <w:vAlign w:val="bottom"/>
            <w:hideMark/>
          </w:tcPr>
          <w:p w14:paraId="33FAB0CD"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Where the technology type is ‘Fuelled’ or ‘Biomass 50kW DNC or less’ this field gives further information about the renewable technology used</w:t>
            </w:r>
          </w:p>
        </w:tc>
      </w:tr>
      <w:tr w:rsidR="00471EF7" w:rsidRPr="0081093F" w14:paraId="1B5C3075" w14:textId="77777777" w:rsidTr="00780608">
        <w:trPr>
          <w:trHeight w:val="285"/>
        </w:trPr>
        <w:tc>
          <w:tcPr>
            <w:tcW w:w="3180" w:type="dxa"/>
            <w:shd w:val="clear" w:color="auto" w:fill="auto"/>
            <w:noWrap/>
            <w:hideMark/>
          </w:tcPr>
          <w:p w14:paraId="241B1739"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Output Period</w:t>
            </w:r>
          </w:p>
        </w:tc>
        <w:tc>
          <w:tcPr>
            <w:tcW w:w="5080" w:type="dxa"/>
            <w:shd w:val="clear" w:color="auto" w:fill="auto"/>
            <w:noWrap/>
            <w:vAlign w:val="bottom"/>
            <w:hideMark/>
          </w:tcPr>
          <w:p w14:paraId="3E5699EF"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month and year when the generation took place</w:t>
            </w:r>
          </w:p>
        </w:tc>
      </w:tr>
      <w:tr w:rsidR="00471EF7" w:rsidRPr="0081093F" w14:paraId="4451B0C2" w14:textId="77777777" w:rsidTr="00780608">
        <w:trPr>
          <w:trHeight w:val="285"/>
        </w:trPr>
        <w:tc>
          <w:tcPr>
            <w:tcW w:w="3180" w:type="dxa"/>
            <w:shd w:val="clear" w:color="auto" w:fill="auto"/>
            <w:noWrap/>
            <w:hideMark/>
          </w:tcPr>
          <w:p w14:paraId="3ABBA8AF"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No. Of Certificates</w:t>
            </w:r>
          </w:p>
        </w:tc>
        <w:tc>
          <w:tcPr>
            <w:tcW w:w="5080" w:type="dxa"/>
            <w:shd w:val="clear" w:color="auto" w:fill="auto"/>
            <w:noWrap/>
            <w:vAlign w:val="bottom"/>
            <w:hideMark/>
          </w:tcPr>
          <w:p w14:paraId="4C43138C"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number of certificates generated in relation to the renewable generation</w:t>
            </w:r>
          </w:p>
        </w:tc>
      </w:tr>
      <w:tr w:rsidR="00471EF7" w:rsidRPr="0081093F" w14:paraId="3D6D007E" w14:textId="77777777" w:rsidTr="00780608">
        <w:trPr>
          <w:trHeight w:val="285"/>
        </w:trPr>
        <w:tc>
          <w:tcPr>
            <w:tcW w:w="3180" w:type="dxa"/>
            <w:shd w:val="clear" w:color="auto" w:fill="auto"/>
            <w:noWrap/>
            <w:hideMark/>
          </w:tcPr>
          <w:p w14:paraId="0CF6E696"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 xml:space="preserve">Start Certificate No. </w:t>
            </w:r>
          </w:p>
        </w:tc>
        <w:tc>
          <w:tcPr>
            <w:tcW w:w="5080" w:type="dxa"/>
            <w:shd w:val="clear" w:color="auto" w:fill="auto"/>
            <w:noWrap/>
            <w:vAlign w:val="bottom"/>
            <w:hideMark/>
          </w:tcPr>
          <w:p w14:paraId="76F8AF60"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start certificate reference number for the certificates generated</w:t>
            </w:r>
          </w:p>
        </w:tc>
      </w:tr>
      <w:tr w:rsidR="00471EF7" w:rsidRPr="0081093F" w14:paraId="130609F6" w14:textId="77777777" w:rsidTr="00780608">
        <w:trPr>
          <w:trHeight w:val="285"/>
        </w:trPr>
        <w:tc>
          <w:tcPr>
            <w:tcW w:w="3180" w:type="dxa"/>
            <w:shd w:val="clear" w:color="auto" w:fill="auto"/>
            <w:noWrap/>
            <w:hideMark/>
          </w:tcPr>
          <w:p w14:paraId="19B8BD1D"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End Certificate No.</w:t>
            </w:r>
          </w:p>
        </w:tc>
        <w:tc>
          <w:tcPr>
            <w:tcW w:w="5080" w:type="dxa"/>
            <w:shd w:val="clear" w:color="auto" w:fill="auto"/>
            <w:noWrap/>
            <w:vAlign w:val="bottom"/>
            <w:hideMark/>
          </w:tcPr>
          <w:p w14:paraId="5F3BC51E"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end certificate reference number for the certificates generated</w:t>
            </w:r>
          </w:p>
        </w:tc>
      </w:tr>
      <w:tr w:rsidR="00471EF7" w:rsidRPr="0081093F" w14:paraId="60DC2B7B" w14:textId="77777777" w:rsidTr="00780608">
        <w:trPr>
          <w:trHeight w:val="285"/>
        </w:trPr>
        <w:tc>
          <w:tcPr>
            <w:tcW w:w="3180" w:type="dxa"/>
            <w:shd w:val="clear" w:color="auto" w:fill="auto"/>
            <w:noWrap/>
            <w:hideMark/>
          </w:tcPr>
          <w:p w14:paraId="69B8D1B8"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MWh Per Certificate</w:t>
            </w:r>
          </w:p>
        </w:tc>
        <w:tc>
          <w:tcPr>
            <w:tcW w:w="5080" w:type="dxa"/>
            <w:shd w:val="clear" w:color="auto" w:fill="auto"/>
            <w:noWrap/>
            <w:vAlign w:val="bottom"/>
            <w:hideMark/>
          </w:tcPr>
          <w:p w14:paraId="72527840" w14:textId="5CB7BEE6"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 xml:space="preserve">The number of MWh of generation the station needs to generate </w:t>
            </w:r>
            <w:r w:rsidR="00EC481A">
              <w:rPr>
                <w:rFonts w:eastAsia="Times New Roman" w:cs="Calibri"/>
                <w:sz w:val="16"/>
                <w:szCs w:val="22"/>
              </w:rPr>
              <w:t>to</w:t>
            </w:r>
            <w:r>
              <w:rPr>
                <w:rFonts w:eastAsia="Times New Roman" w:cs="Calibri"/>
                <w:sz w:val="16"/>
                <w:szCs w:val="22"/>
              </w:rPr>
              <w:t xml:space="preserve"> earn one ROC</w:t>
            </w:r>
          </w:p>
        </w:tc>
      </w:tr>
      <w:tr w:rsidR="00471EF7" w:rsidRPr="0081093F" w14:paraId="79E9020C" w14:textId="77777777" w:rsidTr="00780608">
        <w:trPr>
          <w:trHeight w:val="285"/>
        </w:trPr>
        <w:tc>
          <w:tcPr>
            <w:tcW w:w="3180" w:type="dxa"/>
            <w:shd w:val="clear" w:color="auto" w:fill="auto"/>
            <w:noWrap/>
            <w:hideMark/>
          </w:tcPr>
          <w:p w14:paraId="797CEDD0"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Issue Date</w:t>
            </w:r>
          </w:p>
        </w:tc>
        <w:tc>
          <w:tcPr>
            <w:tcW w:w="5080" w:type="dxa"/>
            <w:shd w:val="clear" w:color="auto" w:fill="auto"/>
            <w:noWrap/>
            <w:vAlign w:val="bottom"/>
            <w:hideMark/>
          </w:tcPr>
          <w:p w14:paraId="48BC467D"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date on which the ROCs were generated by the Renewables &amp; CHP Register</w:t>
            </w:r>
          </w:p>
        </w:tc>
      </w:tr>
      <w:tr w:rsidR="00471EF7" w:rsidRPr="0081093F" w14:paraId="4E553633" w14:textId="77777777" w:rsidTr="00780608">
        <w:trPr>
          <w:trHeight w:val="285"/>
        </w:trPr>
        <w:tc>
          <w:tcPr>
            <w:tcW w:w="3180" w:type="dxa"/>
            <w:shd w:val="clear" w:color="auto" w:fill="auto"/>
            <w:noWrap/>
            <w:hideMark/>
          </w:tcPr>
          <w:p w14:paraId="7B0081FD"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Certificate Status</w:t>
            </w:r>
          </w:p>
        </w:tc>
        <w:tc>
          <w:tcPr>
            <w:tcW w:w="5080" w:type="dxa"/>
            <w:shd w:val="clear" w:color="auto" w:fill="auto"/>
            <w:noWrap/>
            <w:vAlign w:val="bottom"/>
            <w:hideMark/>
          </w:tcPr>
          <w:p w14:paraId="5D87BC06" w14:textId="77777777" w:rsidR="00471EF7" w:rsidRDefault="00471EF7" w:rsidP="00333F44">
            <w:pPr>
              <w:spacing w:before="120" w:after="120" w:line="240" w:lineRule="auto"/>
              <w:rPr>
                <w:rFonts w:eastAsia="Times New Roman" w:cs="Calibri"/>
                <w:sz w:val="16"/>
                <w:szCs w:val="22"/>
              </w:rPr>
            </w:pPr>
            <w:r>
              <w:rPr>
                <w:rFonts w:eastAsia="Times New Roman" w:cs="Calibri"/>
                <w:sz w:val="16"/>
                <w:szCs w:val="22"/>
              </w:rPr>
              <w:t>Identifies the current status of the certificates. This can be either:</w:t>
            </w:r>
          </w:p>
          <w:p w14:paraId="3B45086C" w14:textId="77777777" w:rsidR="00471EF7" w:rsidRDefault="00471EF7" w:rsidP="00471EF7">
            <w:pPr>
              <w:pStyle w:val="ListParagraph"/>
              <w:numPr>
                <w:ilvl w:val="0"/>
                <w:numId w:val="14"/>
              </w:numPr>
              <w:spacing w:before="120" w:after="120" w:line="240" w:lineRule="auto"/>
              <w:rPr>
                <w:rFonts w:eastAsia="Times New Roman" w:cs="Calibri"/>
                <w:sz w:val="16"/>
                <w:szCs w:val="22"/>
              </w:rPr>
            </w:pPr>
            <w:r w:rsidRPr="00D7432C">
              <w:rPr>
                <w:rFonts w:eastAsia="Times New Roman" w:cs="Calibri"/>
                <w:sz w:val="16"/>
                <w:szCs w:val="22"/>
              </w:rPr>
              <w:t>Issued</w:t>
            </w:r>
          </w:p>
          <w:p w14:paraId="6260F3B2" w14:textId="77777777" w:rsidR="00471EF7" w:rsidRDefault="00471EF7" w:rsidP="00471EF7">
            <w:pPr>
              <w:pStyle w:val="ListParagraph"/>
              <w:numPr>
                <w:ilvl w:val="0"/>
                <w:numId w:val="14"/>
              </w:numPr>
              <w:spacing w:before="120" w:after="120" w:line="240" w:lineRule="auto"/>
              <w:rPr>
                <w:rFonts w:eastAsia="Times New Roman" w:cs="Calibri"/>
                <w:sz w:val="16"/>
                <w:szCs w:val="22"/>
              </w:rPr>
            </w:pPr>
            <w:r>
              <w:rPr>
                <w:rFonts w:eastAsia="Times New Roman" w:cs="Calibri"/>
                <w:sz w:val="16"/>
                <w:szCs w:val="22"/>
              </w:rPr>
              <w:t>Revoked</w:t>
            </w:r>
          </w:p>
          <w:p w14:paraId="3C71D30C" w14:textId="77777777" w:rsidR="00471EF7" w:rsidRDefault="00471EF7" w:rsidP="00471EF7">
            <w:pPr>
              <w:pStyle w:val="ListParagraph"/>
              <w:numPr>
                <w:ilvl w:val="0"/>
                <w:numId w:val="14"/>
              </w:numPr>
              <w:spacing w:before="120" w:after="120" w:line="240" w:lineRule="auto"/>
              <w:rPr>
                <w:rFonts w:eastAsia="Times New Roman" w:cs="Calibri"/>
                <w:sz w:val="16"/>
                <w:szCs w:val="22"/>
              </w:rPr>
            </w:pPr>
            <w:r>
              <w:rPr>
                <w:rFonts w:eastAsia="Times New Roman" w:cs="Calibri"/>
                <w:sz w:val="16"/>
                <w:szCs w:val="22"/>
              </w:rPr>
              <w:t>Retired</w:t>
            </w:r>
          </w:p>
          <w:p w14:paraId="75BA55F6" w14:textId="77777777" w:rsidR="00471EF7" w:rsidRDefault="00471EF7" w:rsidP="00471EF7">
            <w:pPr>
              <w:pStyle w:val="ListParagraph"/>
              <w:numPr>
                <w:ilvl w:val="0"/>
                <w:numId w:val="14"/>
              </w:numPr>
              <w:spacing w:before="120" w:after="120" w:line="240" w:lineRule="auto"/>
              <w:rPr>
                <w:rFonts w:eastAsia="Times New Roman" w:cs="Calibri"/>
                <w:sz w:val="16"/>
                <w:szCs w:val="22"/>
              </w:rPr>
            </w:pPr>
            <w:r>
              <w:rPr>
                <w:rFonts w:eastAsia="Times New Roman" w:cs="Calibri"/>
                <w:sz w:val="16"/>
                <w:szCs w:val="22"/>
              </w:rPr>
              <w:t>Redeemed</w:t>
            </w:r>
          </w:p>
          <w:p w14:paraId="0880C012" w14:textId="77777777" w:rsidR="00471EF7" w:rsidRPr="00D7432C" w:rsidRDefault="00471EF7" w:rsidP="00471EF7">
            <w:pPr>
              <w:pStyle w:val="ListParagraph"/>
              <w:numPr>
                <w:ilvl w:val="0"/>
                <w:numId w:val="14"/>
              </w:numPr>
              <w:spacing w:before="120" w:after="120" w:line="240" w:lineRule="auto"/>
              <w:rPr>
                <w:rFonts w:eastAsia="Times New Roman" w:cs="Calibri"/>
                <w:sz w:val="16"/>
                <w:szCs w:val="22"/>
              </w:rPr>
            </w:pPr>
            <w:r>
              <w:rPr>
                <w:rFonts w:eastAsia="Times New Roman" w:cs="Calibri"/>
                <w:sz w:val="16"/>
                <w:szCs w:val="22"/>
              </w:rPr>
              <w:t>Expired</w:t>
            </w:r>
          </w:p>
        </w:tc>
      </w:tr>
      <w:tr w:rsidR="00471EF7" w:rsidRPr="0081093F" w14:paraId="3139C57A" w14:textId="77777777" w:rsidTr="00780608">
        <w:trPr>
          <w:trHeight w:val="285"/>
        </w:trPr>
        <w:tc>
          <w:tcPr>
            <w:tcW w:w="3180" w:type="dxa"/>
            <w:shd w:val="clear" w:color="auto" w:fill="auto"/>
            <w:noWrap/>
            <w:hideMark/>
          </w:tcPr>
          <w:p w14:paraId="360D1D31"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Status Date</w:t>
            </w:r>
          </w:p>
        </w:tc>
        <w:tc>
          <w:tcPr>
            <w:tcW w:w="5080" w:type="dxa"/>
            <w:shd w:val="clear" w:color="auto" w:fill="auto"/>
            <w:noWrap/>
            <w:vAlign w:val="bottom"/>
            <w:hideMark/>
          </w:tcPr>
          <w:p w14:paraId="3025B266"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date of the most recent certificate status change. This will usually be the date when the ROCs changed to the status shown in the previous field.</w:t>
            </w:r>
          </w:p>
        </w:tc>
      </w:tr>
      <w:tr w:rsidR="00471EF7" w:rsidRPr="0081093F" w14:paraId="4A9D2000" w14:textId="77777777" w:rsidTr="00780608">
        <w:trPr>
          <w:trHeight w:val="285"/>
        </w:trPr>
        <w:tc>
          <w:tcPr>
            <w:tcW w:w="3180" w:type="dxa"/>
            <w:shd w:val="clear" w:color="auto" w:fill="auto"/>
            <w:noWrap/>
            <w:hideMark/>
          </w:tcPr>
          <w:p w14:paraId="1059ABAB"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Current Holder Organisation Name</w:t>
            </w:r>
          </w:p>
        </w:tc>
        <w:tc>
          <w:tcPr>
            <w:tcW w:w="5080" w:type="dxa"/>
            <w:shd w:val="clear" w:color="auto" w:fill="auto"/>
            <w:noWrap/>
            <w:vAlign w:val="bottom"/>
            <w:hideMark/>
          </w:tcPr>
          <w:p w14:paraId="5B1B8A7F"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name of the organisation currently holding the ROCs</w:t>
            </w:r>
          </w:p>
        </w:tc>
      </w:tr>
      <w:tr w:rsidR="00471EF7" w:rsidRPr="0081093F" w14:paraId="46E4CB51" w14:textId="77777777" w:rsidTr="00780608">
        <w:trPr>
          <w:trHeight w:val="285"/>
        </w:trPr>
        <w:tc>
          <w:tcPr>
            <w:tcW w:w="3180" w:type="dxa"/>
            <w:shd w:val="clear" w:color="auto" w:fill="auto"/>
            <w:noWrap/>
            <w:hideMark/>
          </w:tcPr>
          <w:p w14:paraId="08E16F21" w14:textId="77777777" w:rsidR="00471EF7" w:rsidRPr="0081093F" w:rsidRDefault="00471EF7" w:rsidP="00333F44">
            <w:pPr>
              <w:spacing w:before="120" w:after="120" w:line="240" w:lineRule="auto"/>
              <w:rPr>
                <w:rFonts w:eastAsia="Times New Roman" w:cs="Calibri"/>
                <w:sz w:val="16"/>
                <w:szCs w:val="22"/>
              </w:rPr>
            </w:pPr>
            <w:r w:rsidRPr="0081093F">
              <w:rPr>
                <w:rFonts w:eastAsia="Times New Roman" w:cs="Calibri"/>
                <w:sz w:val="16"/>
                <w:szCs w:val="22"/>
              </w:rPr>
              <w:t>Company Registration Number</w:t>
            </w:r>
          </w:p>
        </w:tc>
        <w:tc>
          <w:tcPr>
            <w:tcW w:w="5080" w:type="dxa"/>
            <w:shd w:val="clear" w:color="auto" w:fill="auto"/>
            <w:noWrap/>
            <w:vAlign w:val="bottom"/>
            <w:hideMark/>
          </w:tcPr>
          <w:p w14:paraId="4B70F145" w14:textId="77777777" w:rsidR="00471EF7" w:rsidRPr="0081093F" w:rsidRDefault="00471EF7" w:rsidP="00333F44">
            <w:pPr>
              <w:spacing w:before="120" w:after="120" w:line="240" w:lineRule="auto"/>
              <w:rPr>
                <w:rFonts w:eastAsia="Times New Roman" w:cs="Calibri"/>
                <w:sz w:val="16"/>
                <w:szCs w:val="22"/>
              </w:rPr>
            </w:pPr>
            <w:r>
              <w:rPr>
                <w:rFonts w:eastAsia="Times New Roman" w:cs="Calibri"/>
                <w:sz w:val="16"/>
                <w:szCs w:val="22"/>
              </w:rPr>
              <w:t>The company registration number of the current holder organisation</w:t>
            </w:r>
          </w:p>
        </w:tc>
      </w:tr>
    </w:tbl>
    <w:p w14:paraId="5258C7CE" w14:textId="77777777" w:rsidR="00471EF7" w:rsidRDefault="00471EF7" w:rsidP="00471EF7">
      <w:r>
        <w:br w:type="page"/>
      </w:r>
    </w:p>
    <w:p w14:paraId="173B0959" w14:textId="21010CB1" w:rsidR="0017609D" w:rsidRPr="00F25AF8" w:rsidRDefault="0017609D" w:rsidP="00780608">
      <w:pPr>
        <w:pStyle w:val="Heading2"/>
        <w:rPr>
          <w:rStyle w:val="Heading2Char"/>
          <w:sz w:val="36"/>
          <w:szCs w:val="36"/>
        </w:rPr>
      </w:pPr>
      <w:bookmarkStart w:id="435" w:name="_Toc98852194"/>
      <w:r w:rsidRPr="002B175A">
        <w:rPr>
          <w:rStyle w:val="Heading2Char"/>
          <w:b/>
          <w:sz w:val="36"/>
          <w:szCs w:val="36"/>
        </w:rPr>
        <w:lastRenderedPageBreak/>
        <w:t xml:space="preserve">Appendix </w:t>
      </w:r>
      <w:r w:rsidR="00C85B64" w:rsidRPr="00780608">
        <w:rPr>
          <w:rStyle w:val="Heading2Char"/>
          <w:b/>
          <w:sz w:val="36"/>
          <w:szCs w:val="36"/>
        </w:rPr>
        <w:t>5</w:t>
      </w:r>
      <w:r w:rsidRPr="002B175A">
        <w:rPr>
          <w:rStyle w:val="Heading2Char"/>
          <w:b/>
          <w:sz w:val="36"/>
          <w:szCs w:val="36"/>
        </w:rPr>
        <w:t xml:space="preserve"> – Glossary of terms</w:t>
      </w:r>
      <w:bookmarkEnd w:id="435"/>
    </w:p>
    <w:p w14:paraId="3F2D4E92"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A</w:t>
      </w:r>
    </w:p>
    <w:p w14:paraId="482BFCA6" w14:textId="77777777" w:rsidR="00D81174" w:rsidRPr="00FF1484" w:rsidRDefault="00D81174" w:rsidP="00D81174">
      <w:pPr>
        <w:pStyle w:val="Default"/>
        <w:rPr>
          <w:color w:val="000000" w:themeColor="text1"/>
          <w:sz w:val="20"/>
          <w:szCs w:val="20"/>
        </w:rPr>
      </w:pPr>
      <w:r w:rsidRPr="00FF1484">
        <w:rPr>
          <w:b/>
          <w:bCs/>
          <w:color w:val="000000" w:themeColor="text1"/>
          <w:sz w:val="20"/>
          <w:szCs w:val="20"/>
        </w:rPr>
        <w:t xml:space="preserve"> </w:t>
      </w:r>
    </w:p>
    <w:p w14:paraId="5A883C54" w14:textId="77777777" w:rsidR="00D81174" w:rsidRDefault="00D81174" w:rsidP="00D81174">
      <w:r>
        <w:rPr>
          <w:b/>
          <w:bCs/>
        </w:rPr>
        <w:t>Anaerobic Digestion (</w:t>
      </w:r>
      <w:r w:rsidRPr="00526D0F">
        <w:rPr>
          <w:b/>
          <w:bCs/>
        </w:rPr>
        <w:t>AD</w:t>
      </w:r>
      <w:r>
        <w:rPr>
          <w:b/>
          <w:bCs/>
        </w:rPr>
        <w:t>)</w:t>
      </w:r>
      <w:r>
        <w:t xml:space="preserve"> – Natural process in which micro-organisms break down organic matter (e.g., animal manure or waste food) within a contained environment. This produces biogas which can then be used as fuel to generate electricity.</w:t>
      </w:r>
    </w:p>
    <w:p w14:paraId="377F3C0E" w14:textId="72491A07" w:rsidR="00D81174" w:rsidRPr="00FF1484" w:rsidRDefault="00D81174" w:rsidP="00D81174">
      <w:pPr>
        <w:pStyle w:val="Default"/>
        <w:spacing w:line="360" w:lineRule="auto"/>
        <w:rPr>
          <w:rFonts w:cstheme="minorBidi"/>
          <w:noProof/>
          <w:color w:val="000000" w:themeColor="text1"/>
          <w:sz w:val="20"/>
          <w:szCs w:val="20"/>
          <w:lang w:eastAsia="en-GB"/>
        </w:rPr>
      </w:pPr>
      <w:r w:rsidRPr="008B0B76">
        <w:rPr>
          <w:rFonts w:cstheme="minorBidi"/>
          <w:b/>
          <w:bCs/>
          <w:noProof/>
          <w:color w:val="000000" w:themeColor="text1"/>
          <w:sz w:val="20"/>
          <w:szCs w:val="20"/>
          <w:lang w:eastAsia="en-GB"/>
        </w:rPr>
        <w:t>Authority</w:t>
      </w:r>
      <w:r w:rsidRPr="00FF1484">
        <w:rPr>
          <w:rFonts w:cstheme="minorBidi"/>
          <w:noProof/>
          <w:color w:val="000000" w:themeColor="text1"/>
          <w:sz w:val="20"/>
          <w:szCs w:val="20"/>
          <w:lang w:eastAsia="en-GB"/>
        </w:rPr>
        <w:t xml:space="preserve"> - </w:t>
      </w:r>
      <w:r w:rsidR="00DE7E0D" w:rsidRPr="00DE7E0D">
        <w:rPr>
          <w:rFonts w:cstheme="minorBidi"/>
          <w:noProof/>
          <w:color w:val="000000" w:themeColor="text1"/>
          <w:sz w:val="20"/>
          <w:szCs w:val="20"/>
          <w:lang w:eastAsia="en-GB"/>
        </w:rPr>
        <w:t>The Gas and Electricity Markets Authority (GEMA) (the Authority) is the statutory body responsible for administering the RO and ROS in Great Britain (GB). The Authority’s day-to-day functions are performed by Ofgem, the office of the Authority.</w:t>
      </w:r>
    </w:p>
    <w:p w14:paraId="272FC140" w14:textId="77777777" w:rsidR="00D81174" w:rsidRPr="00FF1484" w:rsidRDefault="00D81174" w:rsidP="00D81174">
      <w:pPr>
        <w:pStyle w:val="Default"/>
        <w:spacing w:line="360" w:lineRule="auto"/>
        <w:rPr>
          <w:b/>
          <w:bCs/>
          <w:color w:val="000000" w:themeColor="text1"/>
          <w:sz w:val="20"/>
          <w:szCs w:val="20"/>
        </w:rPr>
      </w:pPr>
    </w:p>
    <w:p w14:paraId="6E1577C2"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B</w:t>
      </w:r>
    </w:p>
    <w:p w14:paraId="48A04091"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 xml:space="preserve"> </w:t>
      </w:r>
    </w:p>
    <w:p w14:paraId="61A26516" w14:textId="3635D6DD" w:rsidR="00375BC5" w:rsidRDefault="00375BC5" w:rsidP="00375BC5">
      <w:pPr>
        <w:pStyle w:val="Default"/>
        <w:spacing w:after="200" w:line="360" w:lineRule="auto"/>
        <w:rPr>
          <w:b/>
          <w:color w:val="000000" w:themeColor="text1"/>
          <w:sz w:val="20"/>
          <w:szCs w:val="20"/>
        </w:rPr>
      </w:pPr>
      <w:r w:rsidRPr="00162363">
        <w:rPr>
          <w:b/>
          <w:color w:val="000000" w:themeColor="text1"/>
          <w:sz w:val="20"/>
          <w:szCs w:val="20"/>
        </w:rPr>
        <w:t>Banked ROCs</w:t>
      </w:r>
      <w:r>
        <w:rPr>
          <w:b/>
          <w:color w:val="000000" w:themeColor="text1"/>
          <w:sz w:val="20"/>
          <w:szCs w:val="20"/>
        </w:rPr>
        <w:t xml:space="preserve"> – </w:t>
      </w:r>
      <w:r w:rsidRPr="00780608">
        <w:rPr>
          <w:bCs/>
          <w:color w:val="000000" w:themeColor="text1"/>
          <w:sz w:val="20"/>
          <w:szCs w:val="20"/>
        </w:rPr>
        <w:t>Banked</w:t>
      </w:r>
      <w:r>
        <w:rPr>
          <w:b/>
          <w:color w:val="000000" w:themeColor="text1"/>
          <w:sz w:val="20"/>
          <w:szCs w:val="20"/>
        </w:rPr>
        <w:t xml:space="preserve"> </w:t>
      </w:r>
      <w:r w:rsidRPr="00780608">
        <w:rPr>
          <w:bCs/>
          <w:color w:val="000000" w:themeColor="text1"/>
          <w:sz w:val="20"/>
          <w:szCs w:val="20"/>
        </w:rPr>
        <w:t>ROCs</w:t>
      </w:r>
      <w:r>
        <w:rPr>
          <w:bCs/>
          <w:color w:val="000000" w:themeColor="text1"/>
          <w:sz w:val="20"/>
          <w:szCs w:val="20"/>
        </w:rPr>
        <w:t xml:space="preserve"> are ROCs issued against electricity generation in the previous compliance period, that were not presented to fulfil </w:t>
      </w:r>
      <w:r w:rsidR="00EC481A">
        <w:rPr>
          <w:bCs/>
          <w:color w:val="000000" w:themeColor="text1"/>
          <w:sz w:val="20"/>
          <w:szCs w:val="20"/>
        </w:rPr>
        <w:t>a</w:t>
      </w:r>
      <w:r>
        <w:rPr>
          <w:bCs/>
          <w:color w:val="000000" w:themeColor="text1"/>
          <w:sz w:val="20"/>
          <w:szCs w:val="20"/>
        </w:rPr>
        <w:t xml:space="preserve"> supplier obligation within that compliance period. These banked ROCs </w:t>
      </w:r>
      <w:r w:rsidR="00162363">
        <w:rPr>
          <w:bCs/>
          <w:color w:val="000000" w:themeColor="text1"/>
          <w:sz w:val="20"/>
          <w:szCs w:val="20"/>
        </w:rPr>
        <w:t>remain eligible for</w:t>
      </w:r>
      <w:r>
        <w:rPr>
          <w:bCs/>
          <w:color w:val="000000" w:themeColor="text1"/>
          <w:sz w:val="20"/>
          <w:szCs w:val="20"/>
        </w:rPr>
        <w:t xml:space="preserve"> use towards supplier obligations in the period following </w:t>
      </w:r>
      <w:r w:rsidR="00162363">
        <w:rPr>
          <w:bCs/>
          <w:color w:val="000000" w:themeColor="text1"/>
          <w:sz w:val="20"/>
          <w:szCs w:val="20"/>
        </w:rPr>
        <w:t>the one when they were issued.</w:t>
      </w:r>
      <w:r>
        <w:rPr>
          <w:bCs/>
          <w:color w:val="000000" w:themeColor="text1"/>
          <w:sz w:val="20"/>
          <w:szCs w:val="20"/>
        </w:rPr>
        <w:t xml:space="preserve"> </w:t>
      </w:r>
    </w:p>
    <w:p w14:paraId="46D9D484" w14:textId="77777777" w:rsidR="00D81174" w:rsidRPr="00FF1484" w:rsidRDefault="00D81174" w:rsidP="00780608">
      <w:pPr>
        <w:pStyle w:val="Default"/>
        <w:spacing w:after="200" w:line="360" w:lineRule="auto"/>
        <w:rPr>
          <w:color w:val="000000" w:themeColor="text1"/>
          <w:sz w:val="20"/>
          <w:szCs w:val="20"/>
        </w:rPr>
      </w:pPr>
      <w:r w:rsidRPr="008B0B76">
        <w:rPr>
          <w:b/>
          <w:color w:val="000000" w:themeColor="text1"/>
          <w:sz w:val="20"/>
          <w:szCs w:val="20"/>
        </w:rPr>
        <w:t>BEIS</w:t>
      </w:r>
      <w:r w:rsidRPr="00FF1484">
        <w:rPr>
          <w:color w:val="000000" w:themeColor="text1"/>
          <w:sz w:val="20"/>
          <w:szCs w:val="20"/>
        </w:rPr>
        <w:t xml:space="preserve"> - Department for Business, Energy and Industrial Strategy </w:t>
      </w:r>
    </w:p>
    <w:p w14:paraId="6393B17E" w14:textId="15201268" w:rsidR="00375BC5" w:rsidRPr="00780608" w:rsidRDefault="00375BC5" w:rsidP="00375BC5">
      <w:pPr>
        <w:pStyle w:val="Default"/>
        <w:spacing w:after="200" w:line="360" w:lineRule="auto"/>
        <w:rPr>
          <w:color w:val="000000" w:themeColor="text1"/>
          <w:sz w:val="20"/>
          <w:szCs w:val="20"/>
          <w:highlight w:val="yellow"/>
        </w:rPr>
      </w:pPr>
      <w:r w:rsidRPr="00780608">
        <w:rPr>
          <w:b/>
          <w:bCs/>
          <w:color w:val="000000" w:themeColor="text1"/>
          <w:sz w:val="20"/>
          <w:szCs w:val="20"/>
        </w:rPr>
        <w:t xml:space="preserve">Biogas – </w:t>
      </w:r>
      <w:r w:rsidR="00162363" w:rsidRPr="00780608">
        <w:rPr>
          <w:color w:val="000000" w:themeColor="text1"/>
          <w:sz w:val="20"/>
          <w:szCs w:val="20"/>
        </w:rPr>
        <w:t>Biogas is a renewable fuel produced by the breakdown of organic matter</w:t>
      </w:r>
      <w:r w:rsidR="00162363">
        <w:rPr>
          <w:color w:val="000000" w:themeColor="text1"/>
          <w:sz w:val="20"/>
          <w:szCs w:val="20"/>
        </w:rPr>
        <w:t xml:space="preserve"> and is used for electricity generation under the RO in a</w:t>
      </w:r>
      <w:r w:rsidR="00162363" w:rsidRPr="00162363">
        <w:rPr>
          <w:color w:val="000000" w:themeColor="text1"/>
          <w:sz w:val="20"/>
          <w:szCs w:val="20"/>
        </w:rPr>
        <w:t xml:space="preserve">naerobic </w:t>
      </w:r>
      <w:r w:rsidR="00162363">
        <w:rPr>
          <w:color w:val="000000" w:themeColor="text1"/>
          <w:sz w:val="20"/>
          <w:szCs w:val="20"/>
        </w:rPr>
        <w:t>d</w:t>
      </w:r>
      <w:r w:rsidR="00162363" w:rsidRPr="00162363">
        <w:rPr>
          <w:color w:val="000000" w:themeColor="text1"/>
          <w:sz w:val="20"/>
          <w:szCs w:val="20"/>
        </w:rPr>
        <w:t>igestion</w:t>
      </w:r>
      <w:r w:rsidR="00162363">
        <w:rPr>
          <w:color w:val="000000" w:themeColor="text1"/>
          <w:sz w:val="20"/>
          <w:szCs w:val="20"/>
        </w:rPr>
        <w:t xml:space="preserve"> (AD) and gasification generating stations.</w:t>
      </w:r>
    </w:p>
    <w:p w14:paraId="06BF3FA6" w14:textId="7CD14897" w:rsidR="00375BC5" w:rsidRDefault="00375BC5" w:rsidP="00780608">
      <w:pPr>
        <w:pStyle w:val="Default"/>
        <w:spacing w:after="200" w:line="360" w:lineRule="auto"/>
        <w:rPr>
          <w:color w:val="000000" w:themeColor="text1"/>
          <w:sz w:val="20"/>
          <w:szCs w:val="20"/>
        </w:rPr>
      </w:pPr>
      <w:r w:rsidRPr="00780608">
        <w:rPr>
          <w:b/>
          <w:bCs/>
          <w:color w:val="000000" w:themeColor="text1"/>
          <w:sz w:val="20"/>
          <w:szCs w:val="20"/>
        </w:rPr>
        <w:t>Buy-out fund</w:t>
      </w:r>
      <w:r>
        <w:rPr>
          <w:color w:val="000000" w:themeColor="text1"/>
          <w:sz w:val="20"/>
          <w:szCs w:val="20"/>
        </w:rPr>
        <w:t xml:space="preserve"> – </w:t>
      </w:r>
      <w:r w:rsidR="00162363">
        <w:rPr>
          <w:color w:val="000000" w:themeColor="text1"/>
          <w:sz w:val="20"/>
          <w:szCs w:val="20"/>
        </w:rPr>
        <w:t>Is the sum collected from suppliers making payments towards fulfilment of their Renewables Obligation by the 31 August deadline.</w:t>
      </w:r>
    </w:p>
    <w:p w14:paraId="4A04AAB1" w14:textId="15722937" w:rsidR="00375BC5" w:rsidRPr="00FF1484" w:rsidRDefault="00375BC5" w:rsidP="00780608">
      <w:pPr>
        <w:pStyle w:val="Default"/>
        <w:spacing w:after="200" w:line="360" w:lineRule="auto"/>
        <w:rPr>
          <w:color w:val="000000" w:themeColor="text1"/>
          <w:sz w:val="20"/>
          <w:szCs w:val="20"/>
        </w:rPr>
      </w:pPr>
      <w:r w:rsidRPr="00780608">
        <w:rPr>
          <w:b/>
          <w:bCs/>
          <w:color w:val="000000" w:themeColor="text1"/>
          <w:sz w:val="20"/>
          <w:szCs w:val="20"/>
        </w:rPr>
        <w:t>Buy-out price</w:t>
      </w:r>
      <w:r>
        <w:rPr>
          <w:color w:val="000000" w:themeColor="text1"/>
          <w:sz w:val="20"/>
          <w:szCs w:val="20"/>
        </w:rPr>
        <w:t xml:space="preserve"> - </w:t>
      </w:r>
      <w:r w:rsidRPr="00375BC5">
        <w:rPr>
          <w:color w:val="000000" w:themeColor="text1"/>
          <w:sz w:val="20"/>
          <w:szCs w:val="20"/>
        </w:rPr>
        <w:t>The buy-out price is the sum that suppliers must pay for each ROC not presented towards their obligation.</w:t>
      </w:r>
    </w:p>
    <w:p w14:paraId="2DBA9DA0" w14:textId="77777777" w:rsidR="00D81174" w:rsidRPr="00FF1484" w:rsidRDefault="00D81174" w:rsidP="00D81174">
      <w:pPr>
        <w:pStyle w:val="Default"/>
        <w:spacing w:line="360" w:lineRule="auto"/>
        <w:rPr>
          <w:b/>
          <w:bCs/>
          <w:color w:val="000000" w:themeColor="text1"/>
          <w:sz w:val="20"/>
          <w:szCs w:val="20"/>
        </w:rPr>
      </w:pPr>
    </w:p>
    <w:p w14:paraId="6B3DDC83"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C</w:t>
      </w:r>
    </w:p>
    <w:p w14:paraId="3F41822E"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4F2BEA76" w14:textId="77777777" w:rsidR="00D81174" w:rsidRDefault="00D81174" w:rsidP="00D81174">
      <w:r>
        <w:rPr>
          <w:b/>
          <w:bCs/>
        </w:rPr>
        <w:t>Combined Heat and Power (</w:t>
      </w:r>
      <w:r w:rsidRPr="00526D0F">
        <w:rPr>
          <w:b/>
          <w:bCs/>
        </w:rPr>
        <w:t>CHP</w:t>
      </w:r>
      <w:r>
        <w:rPr>
          <w:b/>
          <w:bCs/>
        </w:rPr>
        <w:t>)</w:t>
      </w:r>
      <w:r>
        <w:t xml:space="preserve"> – The process of capturing and using heat which is created as a by-product of the electricity generation process.</w:t>
      </w:r>
    </w:p>
    <w:p w14:paraId="62CEA335" w14:textId="27C62EA5" w:rsidR="00D81174" w:rsidRPr="006D4864" w:rsidRDefault="00D81174" w:rsidP="00780608">
      <w:pPr>
        <w:rPr>
          <w:bCs/>
          <w:color w:val="000000" w:themeColor="text1"/>
        </w:rPr>
      </w:pPr>
      <w:r w:rsidRPr="00780608">
        <w:rPr>
          <w:b/>
          <w:color w:val="000000" w:themeColor="text1"/>
        </w:rPr>
        <w:t xml:space="preserve">Contracts for Difference </w:t>
      </w:r>
      <w:r w:rsidR="006D4864" w:rsidRPr="00780608">
        <w:rPr>
          <w:b/>
          <w:color w:val="000000" w:themeColor="text1"/>
        </w:rPr>
        <w:t>(</w:t>
      </w:r>
      <w:proofErr w:type="spellStart"/>
      <w:r w:rsidR="006D4864" w:rsidRPr="00780608">
        <w:rPr>
          <w:b/>
          <w:color w:val="000000" w:themeColor="text1"/>
        </w:rPr>
        <w:t>CfD</w:t>
      </w:r>
      <w:proofErr w:type="spellEnd"/>
      <w:r w:rsidR="006D4864" w:rsidRPr="00780608">
        <w:rPr>
          <w:b/>
          <w:color w:val="000000" w:themeColor="text1"/>
        </w:rPr>
        <w:t>)</w:t>
      </w:r>
      <w:r w:rsidR="006D4864" w:rsidRPr="00780608">
        <w:rPr>
          <w:bCs/>
          <w:color w:val="000000" w:themeColor="text1"/>
        </w:rPr>
        <w:t xml:space="preserve"> </w:t>
      </w:r>
      <w:r w:rsidR="006D4864">
        <w:rPr>
          <w:bCs/>
          <w:color w:val="000000" w:themeColor="text1"/>
        </w:rPr>
        <w:t xml:space="preserve">– The </w:t>
      </w:r>
      <w:proofErr w:type="spellStart"/>
      <w:r w:rsidR="006D4864">
        <w:rPr>
          <w:bCs/>
          <w:color w:val="000000" w:themeColor="text1"/>
        </w:rPr>
        <w:t>CfD</w:t>
      </w:r>
      <w:proofErr w:type="spellEnd"/>
      <w:r w:rsidR="006D4864">
        <w:rPr>
          <w:bCs/>
          <w:color w:val="000000" w:themeColor="text1"/>
        </w:rPr>
        <w:t xml:space="preserve"> </w:t>
      </w:r>
      <w:r w:rsidR="006D4864" w:rsidRPr="006D4864">
        <w:rPr>
          <w:rFonts w:cs="Verdana"/>
          <w:bCs/>
          <w:color w:val="000000" w:themeColor="text1"/>
          <w:lang w:eastAsia="en-US"/>
        </w:rPr>
        <w:t>scheme is the government’s main mechanism for supporting low-carbon electricity generation.</w:t>
      </w:r>
      <w:r w:rsidR="006D4864">
        <w:rPr>
          <w:rFonts w:cs="Verdana"/>
          <w:bCs/>
          <w:color w:val="000000" w:themeColor="text1"/>
          <w:lang w:eastAsia="en-US"/>
        </w:rPr>
        <w:t xml:space="preserve"> </w:t>
      </w:r>
      <w:proofErr w:type="spellStart"/>
      <w:r w:rsidR="006D4864" w:rsidRPr="006D4864">
        <w:rPr>
          <w:bCs/>
          <w:color w:val="000000" w:themeColor="text1"/>
        </w:rPr>
        <w:t>CfDs</w:t>
      </w:r>
      <w:proofErr w:type="spellEnd"/>
      <w:r w:rsidR="006D4864">
        <w:rPr>
          <w:bCs/>
          <w:color w:val="000000" w:themeColor="text1"/>
        </w:rPr>
        <w:t xml:space="preserve"> </w:t>
      </w:r>
      <w:r w:rsidR="006D4864" w:rsidRPr="006D4864">
        <w:rPr>
          <w:bCs/>
          <w:color w:val="000000" w:themeColor="text1"/>
        </w:rPr>
        <w:t>incentivise investment in renewable energy by providing developers of projects with high upfront costs and long lifetimes with direct protection from volatile wholesale prices, and they protect consumers from paying increased support costs when electricity prices are high.</w:t>
      </w:r>
    </w:p>
    <w:p w14:paraId="2C580923" w14:textId="77777777" w:rsidR="00D81174" w:rsidRPr="00FF1484" w:rsidRDefault="00D81174" w:rsidP="00D81174">
      <w:pPr>
        <w:pStyle w:val="Default"/>
        <w:spacing w:line="360" w:lineRule="auto"/>
        <w:rPr>
          <w:b/>
          <w:bCs/>
          <w:color w:val="000000" w:themeColor="text1"/>
          <w:sz w:val="20"/>
          <w:szCs w:val="20"/>
        </w:rPr>
      </w:pPr>
    </w:p>
    <w:p w14:paraId="4863583C"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D</w:t>
      </w:r>
    </w:p>
    <w:p w14:paraId="263CCB71"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57C0C885" w14:textId="77777777" w:rsidR="00F249C7" w:rsidRDefault="00F249C7" w:rsidP="00F249C7">
      <w:r w:rsidRPr="00526D0F">
        <w:rPr>
          <w:b/>
          <w:bCs/>
        </w:rPr>
        <w:t>DECC</w:t>
      </w:r>
      <w:r>
        <w:t xml:space="preserve"> – Department of Energy and Climate Change. </w:t>
      </w:r>
      <w:r w:rsidRPr="00B20F29">
        <w:t>From July 2016 the new Department for Business, Energy and Industrial Strategy assumed the roles and responsibilities of DECC</w:t>
      </w:r>
      <w:r>
        <w:t>.</w:t>
      </w:r>
    </w:p>
    <w:p w14:paraId="3B14C0FA" w14:textId="6B5BD59D" w:rsidR="00D81174" w:rsidRDefault="00D81174" w:rsidP="00780608">
      <w:pPr>
        <w:pStyle w:val="Default"/>
        <w:spacing w:after="200" w:line="360" w:lineRule="auto"/>
        <w:rPr>
          <w:bCs/>
          <w:color w:val="000000" w:themeColor="text1"/>
          <w:sz w:val="20"/>
          <w:szCs w:val="20"/>
        </w:rPr>
      </w:pPr>
      <w:r w:rsidRPr="008B0B76">
        <w:rPr>
          <w:b/>
          <w:color w:val="000000" w:themeColor="text1"/>
          <w:sz w:val="20"/>
          <w:szCs w:val="20"/>
        </w:rPr>
        <w:t>Digestate</w:t>
      </w:r>
      <w:r w:rsidRPr="00B25453">
        <w:rPr>
          <w:bCs/>
          <w:color w:val="000000" w:themeColor="text1"/>
          <w:sz w:val="20"/>
          <w:szCs w:val="20"/>
        </w:rPr>
        <w:t xml:space="preserve"> </w:t>
      </w:r>
      <w:r>
        <w:rPr>
          <w:bCs/>
          <w:color w:val="000000" w:themeColor="text1"/>
          <w:sz w:val="20"/>
          <w:szCs w:val="20"/>
        </w:rPr>
        <w:t xml:space="preserve">– Material remaining after </w:t>
      </w:r>
      <w:r w:rsidRPr="00B25453">
        <w:rPr>
          <w:bCs/>
          <w:color w:val="000000" w:themeColor="text1"/>
          <w:sz w:val="20"/>
          <w:szCs w:val="20"/>
        </w:rPr>
        <w:t>anaerobic digestion</w:t>
      </w:r>
      <w:r>
        <w:rPr>
          <w:bCs/>
          <w:color w:val="000000" w:themeColor="text1"/>
          <w:sz w:val="20"/>
          <w:szCs w:val="20"/>
        </w:rPr>
        <w:t xml:space="preserve"> process</w:t>
      </w:r>
    </w:p>
    <w:p w14:paraId="263C166E" w14:textId="77777777" w:rsidR="00D81174" w:rsidRDefault="00D81174" w:rsidP="00D81174">
      <w:r>
        <w:rPr>
          <w:b/>
          <w:bCs/>
        </w:rPr>
        <w:t>Declared Net Capacity (</w:t>
      </w:r>
      <w:r w:rsidRPr="00526D0F">
        <w:rPr>
          <w:b/>
          <w:bCs/>
        </w:rPr>
        <w:t>DNC</w:t>
      </w:r>
      <w:r>
        <w:rPr>
          <w:b/>
          <w:bCs/>
        </w:rPr>
        <w:t>)</w:t>
      </w:r>
      <w:r>
        <w:t xml:space="preserve"> – </w:t>
      </w:r>
      <w:r w:rsidRPr="00CE3589">
        <w:t xml:space="preserve">The maximum capacity an installation can be operated </w:t>
      </w:r>
      <w:r>
        <w:t>at over</w:t>
      </w:r>
      <w:r w:rsidRPr="00CE3589">
        <w:t xml:space="preserve"> a sustained period without damaging it (assuming the source of power used by it to generate electricity was available to it without interruption) minus the amount of electricity that is consumed by the </w:t>
      </w:r>
      <w:r>
        <w:t>installation</w:t>
      </w:r>
      <w:r w:rsidRPr="00CE3589">
        <w:t>.</w:t>
      </w:r>
    </w:p>
    <w:p w14:paraId="6A354B1B" w14:textId="77777777" w:rsidR="00D81174" w:rsidRDefault="00D81174" w:rsidP="00D81174">
      <w:pPr>
        <w:pStyle w:val="Default"/>
        <w:spacing w:line="360" w:lineRule="auto"/>
        <w:rPr>
          <w:color w:val="000000" w:themeColor="text1"/>
          <w:sz w:val="20"/>
          <w:szCs w:val="20"/>
        </w:rPr>
      </w:pPr>
    </w:p>
    <w:p w14:paraId="198F4026"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E</w:t>
      </w:r>
    </w:p>
    <w:p w14:paraId="279CB684" w14:textId="77777777" w:rsidR="00D81174" w:rsidRPr="00F70DA7" w:rsidRDefault="00D81174" w:rsidP="00D81174">
      <w:pPr>
        <w:pStyle w:val="Default"/>
        <w:rPr>
          <w:b/>
          <w:bCs/>
          <w:color w:val="000000" w:themeColor="text1"/>
          <w:sz w:val="20"/>
          <w:szCs w:val="20"/>
        </w:rPr>
      </w:pPr>
    </w:p>
    <w:p w14:paraId="4212AF15" w14:textId="77777777" w:rsidR="00D81174" w:rsidRPr="00026A7D" w:rsidRDefault="00D81174" w:rsidP="00D81174">
      <w:r w:rsidRPr="00A817A0">
        <w:rPr>
          <w:b/>
          <w:bCs/>
        </w:rPr>
        <w:t>Energy Intensive Industr</w:t>
      </w:r>
      <w:r>
        <w:rPr>
          <w:b/>
          <w:bCs/>
        </w:rPr>
        <w:t>ies</w:t>
      </w:r>
      <w:r>
        <w:rPr>
          <w:b/>
        </w:rPr>
        <w:t xml:space="preserve"> </w:t>
      </w:r>
      <w:r>
        <w:rPr>
          <w:b/>
          <w:bCs/>
        </w:rPr>
        <w:t>(EII)</w:t>
      </w:r>
      <w:r>
        <w:t xml:space="preserve"> – Industries which consume large amounts of energy in their industrial processes.</w:t>
      </w:r>
    </w:p>
    <w:p w14:paraId="0E44C4A5" w14:textId="77777777" w:rsidR="00D81174" w:rsidRPr="00FF1484" w:rsidRDefault="00D81174" w:rsidP="00D81174">
      <w:pPr>
        <w:pStyle w:val="Default"/>
        <w:spacing w:line="360" w:lineRule="auto"/>
        <w:rPr>
          <w:b/>
          <w:bCs/>
          <w:color w:val="000000" w:themeColor="text1"/>
          <w:sz w:val="20"/>
          <w:szCs w:val="20"/>
        </w:rPr>
      </w:pPr>
    </w:p>
    <w:p w14:paraId="7F38B558"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F</w:t>
      </w:r>
    </w:p>
    <w:p w14:paraId="3D91F525"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23764FCE" w14:textId="77777777" w:rsidR="00D81174" w:rsidRPr="00F70DA7" w:rsidRDefault="00D81174" w:rsidP="00D81174">
      <w:pPr>
        <w:pStyle w:val="Default"/>
        <w:spacing w:line="360" w:lineRule="auto"/>
        <w:rPr>
          <w:bCs/>
          <w:color w:val="000000" w:themeColor="text1"/>
          <w:sz w:val="20"/>
          <w:szCs w:val="20"/>
        </w:rPr>
      </w:pPr>
      <w:r w:rsidRPr="008B0B76">
        <w:rPr>
          <w:b/>
          <w:color w:val="000000" w:themeColor="text1"/>
          <w:sz w:val="20"/>
          <w:szCs w:val="20"/>
        </w:rPr>
        <w:t>FIT</w:t>
      </w:r>
      <w:r>
        <w:rPr>
          <w:b/>
          <w:color w:val="000000" w:themeColor="text1"/>
          <w:sz w:val="20"/>
          <w:szCs w:val="20"/>
        </w:rPr>
        <w:t xml:space="preserve"> (Feed-in-Tariff) scheme</w:t>
      </w:r>
      <w:r w:rsidRPr="00F70DA7">
        <w:rPr>
          <w:bCs/>
          <w:color w:val="000000" w:themeColor="text1"/>
          <w:sz w:val="20"/>
          <w:szCs w:val="20"/>
        </w:rPr>
        <w:t xml:space="preserve"> </w:t>
      </w:r>
      <w:r>
        <w:rPr>
          <w:bCs/>
          <w:color w:val="000000" w:themeColor="text1"/>
          <w:sz w:val="20"/>
          <w:szCs w:val="20"/>
        </w:rPr>
        <w:t>–</w:t>
      </w:r>
      <w:r w:rsidRPr="00F70DA7">
        <w:rPr>
          <w:bCs/>
          <w:color w:val="000000" w:themeColor="text1"/>
          <w:sz w:val="20"/>
          <w:szCs w:val="20"/>
        </w:rPr>
        <w:t xml:space="preserve"> </w:t>
      </w:r>
      <w:r>
        <w:rPr>
          <w:bCs/>
          <w:color w:val="000000" w:themeColor="text1"/>
          <w:sz w:val="20"/>
          <w:szCs w:val="20"/>
        </w:rPr>
        <w:t xml:space="preserve">The FIT scheme is </w:t>
      </w:r>
      <w:r w:rsidRPr="00160A8E">
        <w:rPr>
          <w:bCs/>
          <w:color w:val="000000" w:themeColor="text1"/>
          <w:sz w:val="20"/>
          <w:szCs w:val="20"/>
        </w:rPr>
        <w:t>a government scheme designed to promote the uptake of small-scale renewable and low-carbon electricity generation technologies.</w:t>
      </w:r>
    </w:p>
    <w:p w14:paraId="0CE050A1" w14:textId="77777777" w:rsidR="00D81174" w:rsidRPr="00FF1484" w:rsidRDefault="00D81174" w:rsidP="00D81174">
      <w:pPr>
        <w:pStyle w:val="Default"/>
        <w:spacing w:line="360" w:lineRule="auto"/>
        <w:rPr>
          <w:b/>
          <w:bCs/>
          <w:color w:val="000000" w:themeColor="text1"/>
          <w:sz w:val="20"/>
          <w:szCs w:val="20"/>
        </w:rPr>
      </w:pPr>
    </w:p>
    <w:p w14:paraId="1481EC36"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G</w:t>
      </w:r>
    </w:p>
    <w:p w14:paraId="3ABD3ABD" w14:textId="77777777" w:rsidR="00B30B49" w:rsidRDefault="00B30B49" w:rsidP="00D81174">
      <w:pPr>
        <w:pStyle w:val="Default"/>
        <w:spacing w:line="360" w:lineRule="auto"/>
        <w:rPr>
          <w:b/>
          <w:color w:val="000000" w:themeColor="text1"/>
          <w:sz w:val="20"/>
          <w:szCs w:val="20"/>
        </w:rPr>
      </w:pPr>
    </w:p>
    <w:p w14:paraId="67593166" w14:textId="2F35D93A" w:rsidR="00375BC5" w:rsidRPr="00780608" w:rsidRDefault="00375BC5" w:rsidP="002D510D">
      <w:pPr>
        <w:pStyle w:val="Default"/>
        <w:spacing w:after="200" w:line="360" w:lineRule="auto"/>
        <w:rPr>
          <w:bCs/>
          <w:color w:val="000000" w:themeColor="text1"/>
          <w:sz w:val="20"/>
          <w:szCs w:val="20"/>
          <w:highlight w:val="yellow"/>
        </w:rPr>
      </w:pPr>
      <w:r w:rsidRPr="00780608">
        <w:rPr>
          <w:b/>
          <w:color w:val="000000" w:themeColor="text1"/>
          <w:sz w:val="20"/>
          <w:szCs w:val="20"/>
        </w:rPr>
        <w:t xml:space="preserve">Gasification – </w:t>
      </w:r>
      <w:r w:rsidR="00DE7E0D" w:rsidRPr="00780608">
        <w:rPr>
          <w:bCs/>
          <w:color w:val="000000" w:themeColor="text1"/>
          <w:sz w:val="20"/>
          <w:szCs w:val="20"/>
        </w:rPr>
        <w:t xml:space="preserve">Gasification converts fuel into a synthetic gas by partial combustion. This can then be </w:t>
      </w:r>
      <w:r w:rsidR="00DE7E0D">
        <w:rPr>
          <w:bCs/>
          <w:color w:val="000000" w:themeColor="text1"/>
          <w:sz w:val="20"/>
          <w:szCs w:val="20"/>
        </w:rPr>
        <w:t>burnt</w:t>
      </w:r>
      <w:r w:rsidR="00DE7E0D" w:rsidRPr="00780608">
        <w:rPr>
          <w:bCs/>
          <w:color w:val="000000" w:themeColor="text1"/>
          <w:sz w:val="20"/>
          <w:szCs w:val="20"/>
        </w:rPr>
        <w:t xml:space="preserve"> in a generating station</w:t>
      </w:r>
      <w:r w:rsidR="00DE7E0D">
        <w:rPr>
          <w:bCs/>
          <w:color w:val="000000" w:themeColor="text1"/>
          <w:sz w:val="20"/>
          <w:szCs w:val="20"/>
        </w:rPr>
        <w:t xml:space="preserve"> to produce electricity</w:t>
      </w:r>
      <w:r w:rsidR="00DE7E0D" w:rsidRPr="00780608">
        <w:rPr>
          <w:bCs/>
          <w:color w:val="000000" w:themeColor="text1"/>
          <w:sz w:val="20"/>
          <w:szCs w:val="20"/>
        </w:rPr>
        <w:t>. ‘Gasification’ is defined in Article 2 of the ROO (as amended), ROS 2009 (as amended) and NIRO 2009 (as amended).</w:t>
      </w:r>
    </w:p>
    <w:p w14:paraId="300CCDC1" w14:textId="77777777" w:rsidR="00DE7E0D" w:rsidRDefault="002D510D" w:rsidP="002D510D">
      <w:pPr>
        <w:pStyle w:val="Default"/>
        <w:spacing w:after="200" w:line="360" w:lineRule="auto"/>
        <w:rPr>
          <w:rFonts w:cstheme="minorBidi"/>
          <w:noProof/>
          <w:color w:val="000000" w:themeColor="text1"/>
          <w:sz w:val="20"/>
          <w:szCs w:val="20"/>
          <w:lang w:eastAsia="en-GB"/>
        </w:rPr>
      </w:pPr>
      <w:r w:rsidRPr="00DE7E0D">
        <w:rPr>
          <w:b/>
          <w:color w:val="000000" w:themeColor="text1"/>
          <w:sz w:val="20"/>
          <w:szCs w:val="20"/>
        </w:rPr>
        <w:t>GEMA</w:t>
      </w:r>
      <w:r>
        <w:rPr>
          <w:b/>
          <w:color w:val="000000" w:themeColor="text1"/>
          <w:sz w:val="20"/>
          <w:szCs w:val="20"/>
        </w:rPr>
        <w:t xml:space="preserve"> – </w:t>
      </w:r>
      <w:r w:rsidR="00DE7E0D" w:rsidRPr="00DE7E0D">
        <w:rPr>
          <w:rFonts w:cstheme="minorBidi"/>
          <w:noProof/>
          <w:color w:val="000000" w:themeColor="text1"/>
          <w:sz w:val="20"/>
          <w:szCs w:val="20"/>
          <w:lang w:eastAsia="en-GB"/>
        </w:rPr>
        <w:t>The Gas and Electricity Markets Authority</w:t>
      </w:r>
      <w:r w:rsidR="00DE7E0D">
        <w:rPr>
          <w:rFonts w:cstheme="minorBidi"/>
          <w:noProof/>
          <w:color w:val="000000" w:themeColor="text1"/>
          <w:sz w:val="20"/>
          <w:szCs w:val="20"/>
          <w:lang w:eastAsia="en-GB"/>
        </w:rPr>
        <w:t xml:space="preserve"> (GEMA)</w:t>
      </w:r>
      <w:r w:rsidR="00DE7E0D" w:rsidRPr="00DE7E0D">
        <w:rPr>
          <w:rFonts w:cstheme="minorBidi"/>
          <w:noProof/>
          <w:color w:val="000000" w:themeColor="text1"/>
          <w:sz w:val="20"/>
          <w:szCs w:val="20"/>
          <w:lang w:eastAsia="en-GB"/>
        </w:rPr>
        <w:t xml:space="preserve"> (the Authority) is the statutory body responsible for administering the RO and ROS in Great Britain (GB). The Authority’s day-to-day functions are performed by Ofgem, the office of the Authority.</w:t>
      </w:r>
    </w:p>
    <w:p w14:paraId="76EB3C5E" w14:textId="238649C6" w:rsidR="00F314F0" w:rsidRDefault="00D81174" w:rsidP="00780608">
      <w:pPr>
        <w:pStyle w:val="Default"/>
        <w:spacing w:after="200" w:line="360" w:lineRule="auto"/>
        <w:rPr>
          <w:bCs/>
          <w:color w:val="000000" w:themeColor="text1"/>
          <w:sz w:val="20"/>
          <w:szCs w:val="20"/>
        </w:rPr>
      </w:pPr>
      <w:r w:rsidRPr="00780608">
        <w:rPr>
          <w:b/>
          <w:color w:val="000000" w:themeColor="text1"/>
        </w:rPr>
        <w:t>GHG</w:t>
      </w:r>
      <w:r w:rsidRPr="00F70DA7">
        <w:rPr>
          <w:bCs/>
          <w:color w:val="000000" w:themeColor="text1"/>
          <w:sz w:val="20"/>
          <w:szCs w:val="20"/>
        </w:rPr>
        <w:t xml:space="preserve"> - Greenhouse Gas </w:t>
      </w:r>
    </w:p>
    <w:p w14:paraId="282A208C" w14:textId="009DCE54" w:rsidR="00D81174" w:rsidRDefault="00D81174" w:rsidP="00D81174">
      <w:r>
        <w:rPr>
          <w:b/>
          <w:bCs/>
        </w:rPr>
        <w:t>GW</w:t>
      </w:r>
      <w:r>
        <w:t xml:space="preserve"> – Gigawatt, equal to one billion watts.</w:t>
      </w:r>
    </w:p>
    <w:p w14:paraId="732F6902" w14:textId="41012C5B" w:rsidR="00D81174" w:rsidRPr="00E86912" w:rsidRDefault="00D81174" w:rsidP="00D81174">
      <w:r>
        <w:rPr>
          <w:b/>
          <w:bCs/>
        </w:rPr>
        <w:t>GWh</w:t>
      </w:r>
      <w:r>
        <w:t xml:space="preserve"> – Gigawatt hour, equivalent to one billion watt hours of electricity output.</w:t>
      </w:r>
    </w:p>
    <w:p w14:paraId="692D6736" w14:textId="77777777" w:rsidR="00D81174" w:rsidRPr="00FF1484" w:rsidRDefault="00D81174" w:rsidP="00D81174">
      <w:pPr>
        <w:pStyle w:val="Default"/>
        <w:spacing w:line="360" w:lineRule="auto"/>
        <w:rPr>
          <w:b/>
          <w:bCs/>
          <w:color w:val="000000" w:themeColor="text1"/>
          <w:sz w:val="20"/>
          <w:szCs w:val="20"/>
        </w:rPr>
      </w:pPr>
    </w:p>
    <w:p w14:paraId="0DDD5F88"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lastRenderedPageBreak/>
        <w:t>K</w:t>
      </w:r>
    </w:p>
    <w:p w14:paraId="00A6A0E1" w14:textId="77777777" w:rsidR="00D81174" w:rsidRPr="00F70DA7" w:rsidRDefault="00D81174" w:rsidP="00D81174">
      <w:pPr>
        <w:pStyle w:val="Default"/>
        <w:rPr>
          <w:b/>
          <w:bCs/>
          <w:color w:val="000000" w:themeColor="text1"/>
          <w:sz w:val="20"/>
          <w:szCs w:val="20"/>
        </w:rPr>
      </w:pPr>
    </w:p>
    <w:p w14:paraId="13767B42" w14:textId="77777777" w:rsidR="00D81174" w:rsidRPr="000943C9" w:rsidRDefault="00D81174" w:rsidP="00D81174">
      <w:r>
        <w:rPr>
          <w:b/>
          <w:bCs/>
        </w:rPr>
        <w:t>kW</w:t>
      </w:r>
      <w:r>
        <w:t xml:space="preserve"> – Kilowatt, equal to one thousand watts.</w:t>
      </w:r>
    </w:p>
    <w:p w14:paraId="43634A33" w14:textId="77777777" w:rsidR="00D81174" w:rsidRPr="000943C9" w:rsidRDefault="00D81174" w:rsidP="00D81174">
      <w:r>
        <w:rPr>
          <w:b/>
          <w:bCs/>
        </w:rPr>
        <w:t>kWh</w:t>
      </w:r>
      <w:r>
        <w:t xml:space="preserve"> – Kilowatt hour, equivalent to one thousand watt hours of electricity output.</w:t>
      </w:r>
    </w:p>
    <w:p w14:paraId="2B2AF70A" w14:textId="77777777" w:rsidR="002D510D" w:rsidRPr="000943C9" w:rsidRDefault="002D510D" w:rsidP="00D81174"/>
    <w:p w14:paraId="6D8899B9" w14:textId="3022B3D9" w:rsidR="002D510D" w:rsidRPr="008B0B76" w:rsidRDefault="002D510D" w:rsidP="002D510D">
      <w:pPr>
        <w:pStyle w:val="Default"/>
        <w:rPr>
          <w:b/>
          <w:bCs/>
          <w:color w:val="000000" w:themeColor="text1"/>
          <w:sz w:val="28"/>
          <w:szCs w:val="28"/>
        </w:rPr>
      </w:pPr>
      <w:r>
        <w:rPr>
          <w:b/>
          <w:bCs/>
          <w:color w:val="000000" w:themeColor="text1"/>
          <w:sz w:val="28"/>
          <w:szCs w:val="28"/>
        </w:rPr>
        <w:t>L</w:t>
      </w:r>
    </w:p>
    <w:p w14:paraId="2C7E3622" w14:textId="77777777" w:rsidR="002D510D" w:rsidRPr="00F70DA7" w:rsidRDefault="002D510D" w:rsidP="002D510D">
      <w:pPr>
        <w:pStyle w:val="Default"/>
        <w:rPr>
          <w:b/>
          <w:bCs/>
          <w:color w:val="000000" w:themeColor="text1"/>
          <w:sz w:val="20"/>
          <w:szCs w:val="20"/>
        </w:rPr>
      </w:pPr>
    </w:p>
    <w:p w14:paraId="00EF8DCC" w14:textId="424FC097" w:rsidR="002D510D" w:rsidRPr="000943C9" w:rsidRDefault="002D510D" w:rsidP="002D510D">
      <w:r w:rsidRPr="00DE7E0D">
        <w:rPr>
          <w:b/>
          <w:bCs/>
        </w:rPr>
        <w:t>Late</w:t>
      </w:r>
      <w:r>
        <w:rPr>
          <w:b/>
          <w:bCs/>
        </w:rPr>
        <w:t xml:space="preserve"> payment fund</w:t>
      </w:r>
      <w:r>
        <w:t xml:space="preserve"> – </w:t>
      </w:r>
      <w:r w:rsidR="00162363">
        <w:rPr>
          <w:color w:val="000000" w:themeColor="text1"/>
        </w:rPr>
        <w:t xml:space="preserve">Is the sum collected from suppliers making payment </w:t>
      </w:r>
      <w:r w:rsidR="00DE7E0D">
        <w:rPr>
          <w:color w:val="000000" w:themeColor="text1"/>
        </w:rPr>
        <w:t xml:space="preserve">to fulfil their obligation </w:t>
      </w:r>
      <w:r w:rsidR="00162363">
        <w:rPr>
          <w:color w:val="000000" w:themeColor="text1"/>
        </w:rPr>
        <w:t xml:space="preserve">after the 31 August </w:t>
      </w:r>
      <w:r w:rsidR="00DE7E0D">
        <w:rPr>
          <w:color w:val="000000" w:themeColor="text1"/>
        </w:rPr>
        <w:t xml:space="preserve">buy-out payment </w:t>
      </w:r>
      <w:r w:rsidR="00162363">
        <w:rPr>
          <w:color w:val="000000" w:themeColor="text1"/>
        </w:rPr>
        <w:t>deadline</w:t>
      </w:r>
      <w:r w:rsidR="00DE7E0D">
        <w:rPr>
          <w:color w:val="000000" w:themeColor="text1"/>
        </w:rPr>
        <w:t>, but before the late payment deadline of 31 October.</w:t>
      </w:r>
    </w:p>
    <w:p w14:paraId="532266D9" w14:textId="77777777" w:rsidR="00D81174" w:rsidRDefault="00D81174" w:rsidP="00780608">
      <w:pPr>
        <w:spacing w:after="0" w:line="276" w:lineRule="auto"/>
        <w:rPr>
          <w:rFonts w:cs="Verdana"/>
          <w:b/>
          <w:bCs/>
          <w:color w:val="000000" w:themeColor="text1"/>
          <w:lang w:eastAsia="en-US"/>
        </w:rPr>
      </w:pPr>
    </w:p>
    <w:p w14:paraId="69D06C98"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M</w:t>
      </w:r>
    </w:p>
    <w:p w14:paraId="7BE2F448"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097BA0AE" w14:textId="5E741D67" w:rsidR="00F314F0" w:rsidRPr="00780608" w:rsidRDefault="00F314F0" w:rsidP="00F314F0">
      <w:r>
        <w:rPr>
          <w:b/>
          <w:bCs/>
        </w:rPr>
        <w:t xml:space="preserve">Mutualisation - </w:t>
      </w:r>
      <w:r>
        <w:t xml:space="preserve">A mechanism to account for shortfalls in suppliers’ obligations. </w:t>
      </w:r>
      <w:r w:rsidRPr="00780608">
        <w:t xml:space="preserve">If a supplier or suppliers are unable to meet their obligations under the RO or ROS, </w:t>
      </w:r>
      <w:r>
        <w:t xml:space="preserve">and the shortfall is </w:t>
      </w:r>
      <w:r w:rsidR="001048F9">
        <w:t xml:space="preserve">above a certain threshold, mutualisation is triggered. </w:t>
      </w:r>
      <w:r w:rsidR="001048F9" w:rsidRPr="00EB6FB0">
        <w:t xml:space="preserve">If mutualisation is triggered, suppliers that discharged their obligations in full or in part under the RO and ROS must make additional payments to make up the shortfall. </w:t>
      </w:r>
      <w:r w:rsidRPr="00780608">
        <w:t>Mutualisation does not apply in Northern Ireland.</w:t>
      </w:r>
    </w:p>
    <w:p w14:paraId="2CE3CDA0" w14:textId="650F6F9B" w:rsidR="00D81174" w:rsidRDefault="00D81174" w:rsidP="00D81174">
      <w:r>
        <w:rPr>
          <w:b/>
          <w:bCs/>
        </w:rPr>
        <w:t>MW</w:t>
      </w:r>
      <w:r>
        <w:t xml:space="preserve"> – Megawatt, equal to one million watts.</w:t>
      </w:r>
    </w:p>
    <w:p w14:paraId="5A9D6AC1" w14:textId="77777777" w:rsidR="00D81174" w:rsidRPr="00D31210" w:rsidRDefault="00D81174" w:rsidP="00D81174">
      <w:pPr>
        <w:rPr>
          <w:b/>
          <w:bCs/>
          <w:color w:val="004125"/>
          <w:sz w:val="28"/>
          <w:szCs w:val="28"/>
        </w:rPr>
      </w:pPr>
      <w:r>
        <w:rPr>
          <w:b/>
          <w:bCs/>
        </w:rPr>
        <w:t>MWh</w:t>
      </w:r>
      <w:r>
        <w:t xml:space="preserve"> – Megawatt hour, equivalent to one million watt hours of electricity output.</w:t>
      </w:r>
    </w:p>
    <w:p w14:paraId="641563C0" w14:textId="77777777" w:rsidR="00D81174" w:rsidRDefault="00D81174" w:rsidP="00D81174">
      <w:pPr>
        <w:pStyle w:val="Default"/>
        <w:spacing w:line="360" w:lineRule="auto"/>
        <w:rPr>
          <w:b/>
          <w:bCs/>
          <w:color w:val="000000" w:themeColor="text1"/>
          <w:sz w:val="20"/>
          <w:szCs w:val="20"/>
        </w:rPr>
      </w:pPr>
    </w:p>
    <w:p w14:paraId="23A09D56"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N</w:t>
      </w:r>
    </w:p>
    <w:p w14:paraId="63C0A4E3"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253C4978" w14:textId="52D0CCD7" w:rsidR="00C547D7" w:rsidRPr="00C547D7" w:rsidRDefault="00D81174" w:rsidP="00C547D7">
      <w:pPr>
        <w:rPr>
          <w:rFonts w:cs="Verdana"/>
          <w:bCs/>
          <w:color w:val="000000" w:themeColor="text1"/>
          <w:lang w:eastAsia="en-US"/>
        </w:rPr>
      </w:pPr>
      <w:r w:rsidRPr="00780608">
        <w:rPr>
          <w:b/>
          <w:color w:val="000000" w:themeColor="text1"/>
        </w:rPr>
        <w:t>Non-Fossil Fuel Obligation</w:t>
      </w:r>
      <w:r w:rsidR="00C547D7" w:rsidRPr="00780608">
        <w:rPr>
          <w:b/>
          <w:color w:val="000000" w:themeColor="text1"/>
        </w:rPr>
        <w:t xml:space="preserve"> (NFFO)</w:t>
      </w:r>
      <w:r w:rsidRPr="00C547D7">
        <w:rPr>
          <w:bCs/>
          <w:color w:val="000000" w:themeColor="text1"/>
        </w:rPr>
        <w:t xml:space="preserve"> </w:t>
      </w:r>
      <w:r w:rsidR="00C547D7" w:rsidRPr="00C547D7">
        <w:rPr>
          <w:bCs/>
          <w:color w:val="000000" w:themeColor="text1"/>
        </w:rPr>
        <w:t xml:space="preserve">– </w:t>
      </w:r>
      <w:r w:rsidR="00C547D7" w:rsidRPr="00C547D7">
        <w:rPr>
          <w:rFonts w:cs="Verdana"/>
          <w:bCs/>
          <w:color w:val="000000" w:themeColor="text1"/>
          <w:lang w:eastAsia="en-US"/>
        </w:rPr>
        <w:t>Before the introduction of the Renewables Obligation</w:t>
      </w:r>
      <w:r w:rsidR="00C547D7">
        <w:rPr>
          <w:rFonts w:cs="Verdana"/>
          <w:bCs/>
          <w:color w:val="000000" w:themeColor="text1"/>
          <w:lang w:eastAsia="en-US"/>
        </w:rPr>
        <w:t xml:space="preserve"> </w:t>
      </w:r>
      <w:r w:rsidR="00C547D7" w:rsidRPr="00C547D7">
        <w:rPr>
          <w:rFonts w:cs="Verdana"/>
          <w:bCs/>
          <w:color w:val="000000" w:themeColor="text1"/>
          <w:lang w:eastAsia="en-US"/>
        </w:rPr>
        <w:t xml:space="preserve">(RO), the Non-Fossil Fuel Obligation </w:t>
      </w:r>
      <w:r w:rsidR="00C547D7">
        <w:rPr>
          <w:rFonts w:cs="Verdana"/>
          <w:bCs/>
          <w:color w:val="000000" w:themeColor="text1"/>
          <w:lang w:eastAsia="en-US"/>
        </w:rPr>
        <w:t>was one of</w:t>
      </w:r>
      <w:r w:rsidR="00C547D7" w:rsidRPr="00C547D7">
        <w:rPr>
          <w:rFonts w:cs="Verdana"/>
          <w:bCs/>
          <w:color w:val="000000" w:themeColor="text1"/>
          <w:lang w:eastAsia="en-US"/>
        </w:rPr>
        <w:t xml:space="preserve"> the government's primary instruments of renewable energy policy.</w:t>
      </w:r>
    </w:p>
    <w:p w14:paraId="70827E97" w14:textId="14DB4588" w:rsidR="00D81174" w:rsidRPr="00F70DA7" w:rsidRDefault="00D81174" w:rsidP="00D81174">
      <w:pPr>
        <w:pStyle w:val="Default"/>
        <w:spacing w:line="360" w:lineRule="auto"/>
        <w:rPr>
          <w:bCs/>
          <w:color w:val="000000" w:themeColor="text1"/>
          <w:sz w:val="20"/>
          <w:szCs w:val="20"/>
        </w:rPr>
      </w:pPr>
    </w:p>
    <w:p w14:paraId="25DFED34" w14:textId="10BEAA86" w:rsidR="007C17A7" w:rsidRPr="00F70DA7" w:rsidRDefault="00D81174" w:rsidP="00780608">
      <w:pPr>
        <w:pStyle w:val="Default"/>
        <w:spacing w:after="200" w:line="360" w:lineRule="auto"/>
        <w:rPr>
          <w:bCs/>
          <w:color w:val="000000" w:themeColor="text1"/>
          <w:sz w:val="20"/>
          <w:szCs w:val="20"/>
        </w:rPr>
      </w:pPr>
      <w:r w:rsidRPr="00780608">
        <w:rPr>
          <w:b/>
          <w:color w:val="000000" w:themeColor="text1"/>
        </w:rPr>
        <w:t xml:space="preserve">Non-Fossil Fuel Purchasing Agency </w:t>
      </w:r>
      <w:r w:rsidR="007C17A7" w:rsidRPr="00780608">
        <w:rPr>
          <w:b/>
          <w:color w:val="000000" w:themeColor="text1"/>
        </w:rPr>
        <w:t xml:space="preserve">(NFPA) </w:t>
      </w:r>
      <w:r w:rsidR="007C17A7" w:rsidRPr="007C17A7">
        <w:rPr>
          <w:bCs/>
          <w:color w:val="000000" w:themeColor="text1"/>
          <w:sz w:val="20"/>
          <w:szCs w:val="20"/>
        </w:rPr>
        <w:t>– The public body responsible for administering the NFFO.</w:t>
      </w:r>
      <w:r w:rsidR="007C17A7">
        <w:rPr>
          <w:bCs/>
          <w:color w:val="000000" w:themeColor="text1"/>
          <w:sz w:val="20"/>
          <w:szCs w:val="20"/>
        </w:rPr>
        <w:t xml:space="preserve"> </w:t>
      </w:r>
    </w:p>
    <w:p w14:paraId="5327CED3" w14:textId="7284280C" w:rsidR="00D81174" w:rsidRPr="00F70DA7" w:rsidRDefault="00BD2456" w:rsidP="00780608">
      <w:r w:rsidRPr="00780608">
        <w:rPr>
          <w:b/>
          <w:color w:val="000000" w:themeColor="text1"/>
        </w:rPr>
        <w:t>Northern Ireland Authority for Utility Regulation (</w:t>
      </w:r>
      <w:r w:rsidR="00D81174" w:rsidRPr="00780608">
        <w:rPr>
          <w:b/>
          <w:color w:val="000000" w:themeColor="text1"/>
        </w:rPr>
        <w:t>NIAUR</w:t>
      </w:r>
      <w:r w:rsidRPr="00E12F77">
        <w:rPr>
          <w:b/>
          <w:color w:val="000000" w:themeColor="text1"/>
        </w:rPr>
        <w:t>)</w:t>
      </w:r>
      <w:r w:rsidR="00D81174">
        <w:rPr>
          <w:bCs/>
          <w:color w:val="000000" w:themeColor="text1"/>
        </w:rPr>
        <w:t xml:space="preserve"> -</w:t>
      </w:r>
      <w:r w:rsidR="0060042E">
        <w:rPr>
          <w:bCs/>
          <w:color w:val="000000" w:themeColor="text1"/>
        </w:rPr>
        <w:t xml:space="preserve"> </w:t>
      </w:r>
      <w:r w:rsidR="00D81174" w:rsidRPr="00F76A33">
        <w:rPr>
          <w:color w:val="000000" w:themeColor="text1"/>
        </w:rPr>
        <w:t xml:space="preserve">We administer the NIRO on behalf of the </w:t>
      </w:r>
      <w:r w:rsidR="00D81174" w:rsidRPr="00AC73AF">
        <w:rPr>
          <w:color w:val="000000" w:themeColor="text1"/>
        </w:rPr>
        <w:t>Northern Ireland Authority for Utility Regulation (NIAUR)</w:t>
      </w:r>
      <w:r w:rsidR="00D81174">
        <w:rPr>
          <w:color w:val="000000" w:themeColor="text1"/>
        </w:rPr>
        <w:t>;</w:t>
      </w:r>
      <w:r w:rsidR="00D81174" w:rsidRPr="00F76A33">
        <w:rPr>
          <w:color w:val="000000" w:themeColor="text1"/>
        </w:rPr>
        <w:t xml:space="preserve"> however</w:t>
      </w:r>
      <w:r w:rsidR="00D81174">
        <w:rPr>
          <w:color w:val="000000" w:themeColor="text1"/>
        </w:rPr>
        <w:t>,</w:t>
      </w:r>
      <w:r w:rsidR="00D81174" w:rsidRPr="00F76A33">
        <w:rPr>
          <w:color w:val="000000" w:themeColor="text1"/>
        </w:rPr>
        <w:t xml:space="preserve"> </w:t>
      </w:r>
      <w:r w:rsidR="00D81174">
        <w:rPr>
          <w:color w:val="000000" w:themeColor="text1"/>
        </w:rPr>
        <w:t>NIAUR</w:t>
      </w:r>
      <w:r w:rsidR="00D81174" w:rsidRPr="00F76A33">
        <w:rPr>
          <w:color w:val="000000" w:themeColor="text1"/>
        </w:rPr>
        <w:t xml:space="preserve"> retains the statutory responsibility for administering the NIRO. The Authority’s day-to-day functions are performed by Ofgem, the office of the Authority.</w:t>
      </w:r>
    </w:p>
    <w:p w14:paraId="39364C18" w14:textId="44846C33" w:rsidR="00D81174" w:rsidRPr="00F70DA7" w:rsidRDefault="00BD2456" w:rsidP="00780608">
      <w:pPr>
        <w:pStyle w:val="Default"/>
        <w:spacing w:after="200" w:line="360" w:lineRule="auto"/>
        <w:rPr>
          <w:bCs/>
          <w:color w:val="000000" w:themeColor="text1"/>
          <w:sz w:val="20"/>
          <w:szCs w:val="20"/>
        </w:rPr>
      </w:pPr>
      <w:r w:rsidRPr="00780608">
        <w:rPr>
          <w:b/>
          <w:color w:val="000000" w:themeColor="text1"/>
        </w:rPr>
        <w:lastRenderedPageBreak/>
        <w:t>Northern Ireland Electricity Networks</w:t>
      </w:r>
      <w:r w:rsidRPr="00BD2456">
        <w:rPr>
          <w:b/>
          <w:color w:val="000000" w:themeColor="text1"/>
          <w:sz w:val="20"/>
          <w:szCs w:val="20"/>
        </w:rPr>
        <w:t xml:space="preserve"> </w:t>
      </w:r>
      <w:r>
        <w:rPr>
          <w:b/>
          <w:color w:val="000000" w:themeColor="text1"/>
          <w:sz w:val="20"/>
          <w:szCs w:val="20"/>
        </w:rPr>
        <w:t>(</w:t>
      </w:r>
      <w:r w:rsidR="00D81174" w:rsidRPr="00780608">
        <w:rPr>
          <w:b/>
          <w:color w:val="000000" w:themeColor="text1"/>
        </w:rPr>
        <w:t>NIE</w:t>
      </w:r>
      <w:r>
        <w:rPr>
          <w:b/>
          <w:color w:val="000000" w:themeColor="text1"/>
          <w:sz w:val="20"/>
          <w:szCs w:val="20"/>
        </w:rPr>
        <w:t>)</w:t>
      </w:r>
      <w:r w:rsidR="00D81174" w:rsidRPr="00F70DA7">
        <w:rPr>
          <w:bCs/>
          <w:color w:val="000000" w:themeColor="text1"/>
          <w:sz w:val="20"/>
          <w:szCs w:val="20"/>
        </w:rPr>
        <w:t xml:space="preserve"> -</w:t>
      </w:r>
      <w:r>
        <w:rPr>
          <w:bCs/>
          <w:color w:val="000000" w:themeColor="text1"/>
          <w:sz w:val="20"/>
          <w:szCs w:val="20"/>
        </w:rPr>
        <w:t xml:space="preserve"> the owner of the electricity transmission and distribution networks in Norther Ireland.</w:t>
      </w:r>
    </w:p>
    <w:p w14:paraId="5A2819F5" w14:textId="79DD31B6" w:rsidR="0060042E" w:rsidRDefault="0060042E" w:rsidP="00780608">
      <w:pPr>
        <w:pStyle w:val="Default"/>
        <w:spacing w:after="200" w:line="360" w:lineRule="auto"/>
        <w:rPr>
          <w:bCs/>
          <w:color w:val="000000" w:themeColor="text1"/>
          <w:sz w:val="20"/>
          <w:szCs w:val="20"/>
        </w:rPr>
      </w:pPr>
      <w:r w:rsidRPr="00780608">
        <w:rPr>
          <w:b/>
          <w:color w:val="000000" w:themeColor="text1"/>
        </w:rPr>
        <w:t>Northern Ireland Renewables Obligation (</w:t>
      </w:r>
      <w:r w:rsidR="00D81174" w:rsidRPr="00780608">
        <w:rPr>
          <w:b/>
          <w:color w:val="000000" w:themeColor="text1"/>
        </w:rPr>
        <w:t>NIRO</w:t>
      </w:r>
      <w:r w:rsidRPr="00780608">
        <w:rPr>
          <w:b/>
          <w:color w:val="000000" w:themeColor="text1"/>
        </w:rPr>
        <w:t>)</w:t>
      </w:r>
      <w:r w:rsidR="00D81174" w:rsidRPr="00F70DA7">
        <w:rPr>
          <w:bCs/>
          <w:color w:val="000000" w:themeColor="text1"/>
          <w:sz w:val="20"/>
          <w:szCs w:val="20"/>
        </w:rPr>
        <w:t xml:space="preserve"> - </w:t>
      </w:r>
      <w:r w:rsidRPr="0060042E">
        <w:rPr>
          <w:bCs/>
          <w:color w:val="000000" w:themeColor="text1"/>
          <w:sz w:val="20"/>
          <w:szCs w:val="20"/>
        </w:rPr>
        <w:t>Northern Ireland Renewables Obligation (NIRO) is an environmental scheme to encourage the use of renewable electricity in Northern Ireland.</w:t>
      </w:r>
      <w:r>
        <w:rPr>
          <w:bCs/>
          <w:color w:val="000000" w:themeColor="text1"/>
          <w:sz w:val="20"/>
          <w:szCs w:val="20"/>
        </w:rPr>
        <w:t xml:space="preserve"> We </w:t>
      </w:r>
      <w:r w:rsidRPr="0060042E">
        <w:rPr>
          <w:bCs/>
          <w:color w:val="000000" w:themeColor="text1"/>
          <w:sz w:val="20"/>
          <w:szCs w:val="20"/>
        </w:rPr>
        <w:t>administer the NIRO in accordance with the NIRO Order on behalf of</w:t>
      </w:r>
      <w:r>
        <w:rPr>
          <w:bCs/>
          <w:color w:val="000000" w:themeColor="text1"/>
          <w:sz w:val="20"/>
          <w:szCs w:val="20"/>
        </w:rPr>
        <w:t xml:space="preserve"> UREGNI. </w:t>
      </w:r>
    </w:p>
    <w:p w14:paraId="7FFC6A98" w14:textId="0794A204" w:rsidR="00187A9D" w:rsidRDefault="00D81174" w:rsidP="00780608">
      <w:pPr>
        <w:pStyle w:val="Default"/>
        <w:spacing w:after="200" w:line="360" w:lineRule="auto"/>
        <w:rPr>
          <w:bCs/>
          <w:color w:val="000000" w:themeColor="text1"/>
          <w:sz w:val="20"/>
          <w:szCs w:val="20"/>
        </w:rPr>
      </w:pPr>
      <w:r w:rsidRPr="00780608">
        <w:rPr>
          <w:b/>
          <w:color w:val="000000" w:themeColor="text1"/>
          <w:sz w:val="20"/>
          <w:szCs w:val="20"/>
        </w:rPr>
        <w:t xml:space="preserve">Northern Ireland Renewables Obligation Certificate </w:t>
      </w:r>
      <w:r w:rsidR="0060042E" w:rsidRPr="00780608">
        <w:rPr>
          <w:b/>
          <w:color w:val="000000" w:themeColor="text1"/>
          <w:sz w:val="20"/>
          <w:szCs w:val="20"/>
        </w:rPr>
        <w:t>(NIROC)</w:t>
      </w:r>
      <w:r w:rsidR="0060042E" w:rsidRPr="00187A9D">
        <w:rPr>
          <w:bCs/>
          <w:color w:val="000000" w:themeColor="text1"/>
          <w:sz w:val="20"/>
          <w:szCs w:val="20"/>
        </w:rPr>
        <w:t xml:space="preserve"> </w:t>
      </w:r>
      <w:r w:rsidR="00187A9D">
        <w:rPr>
          <w:bCs/>
          <w:color w:val="000000" w:themeColor="text1"/>
          <w:sz w:val="20"/>
          <w:szCs w:val="20"/>
        </w:rPr>
        <w:t xml:space="preserve">– NIROCs </w:t>
      </w:r>
      <w:r w:rsidR="00187A9D" w:rsidRPr="00F67209">
        <w:rPr>
          <w:bCs/>
          <w:color w:val="000000" w:themeColor="text1"/>
          <w:sz w:val="20"/>
          <w:szCs w:val="20"/>
        </w:rPr>
        <w:t>are certificates issued to operators of accredited renewable generating stations</w:t>
      </w:r>
      <w:r w:rsidR="00187A9D">
        <w:rPr>
          <w:bCs/>
          <w:color w:val="000000" w:themeColor="text1"/>
          <w:sz w:val="20"/>
          <w:szCs w:val="20"/>
        </w:rPr>
        <w:t xml:space="preserve"> in Northern Ireland</w:t>
      </w:r>
      <w:r w:rsidR="00187A9D" w:rsidRPr="00F67209">
        <w:rPr>
          <w:bCs/>
          <w:color w:val="000000" w:themeColor="text1"/>
          <w:sz w:val="20"/>
          <w:szCs w:val="20"/>
        </w:rPr>
        <w:t xml:space="preserve"> for the eligible renewable electricity they generate.</w:t>
      </w:r>
    </w:p>
    <w:p w14:paraId="169FF74E" w14:textId="11924D3F" w:rsidR="00D81174" w:rsidRPr="00F70DA7" w:rsidRDefault="00D81174" w:rsidP="00D81174">
      <w:pPr>
        <w:pStyle w:val="Default"/>
        <w:spacing w:line="360" w:lineRule="auto"/>
        <w:rPr>
          <w:bCs/>
          <w:color w:val="000000" w:themeColor="text1"/>
          <w:sz w:val="20"/>
          <w:szCs w:val="20"/>
        </w:rPr>
      </w:pPr>
    </w:p>
    <w:p w14:paraId="044F7CED"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P</w:t>
      </w:r>
    </w:p>
    <w:p w14:paraId="787843A5"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38C80FF2" w14:textId="35C90010" w:rsidR="00D81174" w:rsidRDefault="001048F9" w:rsidP="00D81174">
      <w:pPr>
        <w:pStyle w:val="Default"/>
        <w:spacing w:line="360" w:lineRule="auto"/>
        <w:rPr>
          <w:bCs/>
          <w:color w:val="000000" w:themeColor="text1"/>
          <w:sz w:val="20"/>
          <w:szCs w:val="20"/>
        </w:rPr>
      </w:pPr>
      <w:r>
        <w:rPr>
          <w:b/>
          <w:color w:val="000000" w:themeColor="text1"/>
          <w:sz w:val="20"/>
          <w:szCs w:val="20"/>
        </w:rPr>
        <w:t xml:space="preserve">Photovoltaic (Solar </w:t>
      </w:r>
      <w:r w:rsidR="00D81174" w:rsidRPr="008B0B76">
        <w:rPr>
          <w:b/>
          <w:color w:val="000000" w:themeColor="text1"/>
          <w:sz w:val="20"/>
          <w:szCs w:val="20"/>
        </w:rPr>
        <w:t>PV</w:t>
      </w:r>
      <w:r>
        <w:rPr>
          <w:b/>
          <w:color w:val="000000" w:themeColor="text1"/>
          <w:sz w:val="20"/>
          <w:szCs w:val="20"/>
        </w:rPr>
        <w:t>)</w:t>
      </w:r>
      <w:r w:rsidR="00D81174" w:rsidRPr="00F70DA7">
        <w:rPr>
          <w:bCs/>
          <w:color w:val="000000" w:themeColor="text1"/>
          <w:sz w:val="20"/>
          <w:szCs w:val="20"/>
        </w:rPr>
        <w:t xml:space="preserve"> </w:t>
      </w:r>
      <w:r w:rsidR="00D81174">
        <w:rPr>
          <w:bCs/>
          <w:color w:val="000000" w:themeColor="text1"/>
          <w:sz w:val="20"/>
          <w:szCs w:val="20"/>
        </w:rPr>
        <w:t>–</w:t>
      </w:r>
      <w:r w:rsidR="00D81174" w:rsidRPr="00F70DA7">
        <w:rPr>
          <w:bCs/>
          <w:color w:val="000000" w:themeColor="text1"/>
          <w:sz w:val="20"/>
          <w:szCs w:val="20"/>
        </w:rPr>
        <w:t xml:space="preserve"> </w:t>
      </w:r>
      <w:r>
        <w:rPr>
          <w:bCs/>
          <w:color w:val="000000" w:themeColor="text1"/>
          <w:sz w:val="20"/>
          <w:szCs w:val="20"/>
        </w:rPr>
        <w:t>Solar electricity panels</w:t>
      </w:r>
    </w:p>
    <w:p w14:paraId="6E188C41" w14:textId="77777777" w:rsidR="00D81174" w:rsidRPr="00F70DA7" w:rsidRDefault="00D81174" w:rsidP="00D81174">
      <w:pPr>
        <w:pStyle w:val="Default"/>
        <w:spacing w:line="360" w:lineRule="auto"/>
        <w:rPr>
          <w:bCs/>
          <w:color w:val="000000" w:themeColor="text1"/>
          <w:sz w:val="20"/>
          <w:szCs w:val="20"/>
        </w:rPr>
      </w:pPr>
    </w:p>
    <w:p w14:paraId="3EC9958C"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t>R</w:t>
      </w:r>
    </w:p>
    <w:p w14:paraId="567AE01E"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42F4CAF2" w14:textId="12B680AD" w:rsidR="00D81174" w:rsidRDefault="00BD2456">
      <w:pPr>
        <w:pStyle w:val="Default"/>
        <w:spacing w:line="360" w:lineRule="auto"/>
        <w:rPr>
          <w:bCs/>
          <w:color w:val="000000" w:themeColor="text1"/>
          <w:sz w:val="20"/>
          <w:szCs w:val="20"/>
        </w:rPr>
      </w:pPr>
      <w:r w:rsidRPr="00780608">
        <w:rPr>
          <w:b/>
          <w:color w:val="000000" w:themeColor="text1"/>
          <w:sz w:val="20"/>
          <w:szCs w:val="20"/>
        </w:rPr>
        <w:t>Renewables and CHP Register (</w:t>
      </w:r>
      <w:r w:rsidR="00D81174" w:rsidRPr="00780608">
        <w:rPr>
          <w:b/>
          <w:color w:val="000000" w:themeColor="text1"/>
          <w:sz w:val="20"/>
          <w:szCs w:val="20"/>
        </w:rPr>
        <w:t>R&amp;CHP Register</w:t>
      </w:r>
      <w:r w:rsidRPr="00780608">
        <w:rPr>
          <w:b/>
          <w:color w:val="000000" w:themeColor="text1"/>
          <w:sz w:val="20"/>
          <w:szCs w:val="20"/>
        </w:rPr>
        <w:t>)</w:t>
      </w:r>
      <w:r w:rsidR="00D81174" w:rsidRPr="00780608">
        <w:rPr>
          <w:b/>
          <w:color w:val="000000" w:themeColor="text1"/>
          <w:sz w:val="20"/>
          <w:szCs w:val="20"/>
        </w:rPr>
        <w:t xml:space="preserve"> </w:t>
      </w:r>
      <w:r w:rsidRPr="00780608">
        <w:rPr>
          <w:b/>
          <w:color w:val="000000" w:themeColor="text1"/>
          <w:sz w:val="20"/>
          <w:szCs w:val="20"/>
        </w:rPr>
        <w:t>(</w:t>
      </w:r>
      <w:r w:rsidR="00F249C7">
        <w:rPr>
          <w:b/>
          <w:color w:val="000000" w:themeColor="text1"/>
          <w:sz w:val="20"/>
          <w:szCs w:val="20"/>
        </w:rPr>
        <w:t xml:space="preserve">The </w:t>
      </w:r>
      <w:r w:rsidRPr="00780608">
        <w:rPr>
          <w:b/>
          <w:color w:val="000000" w:themeColor="text1"/>
          <w:sz w:val="20"/>
          <w:szCs w:val="20"/>
        </w:rPr>
        <w:t>Register)</w:t>
      </w:r>
      <w:r>
        <w:rPr>
          <w:bCs/>
          <w:color w:val="000000" w:themeColor="text1"/>
          <w:sz w:val="20"/>
          <w:szCs w:val="20"/>
        </w:rPr>
        <w:t xml:space="preserve"> </w:t>
      </w:r>
      <w:r w:rsidR="00C82935">
        <w:rPr>
          <w:bCs/>
          <w:color w:val="000000" w:themeColor="text1"/>
          <w:sz w:val="20"/>
          <w:szCs w:val="20"/>
        </w:rPr>
        <w:t>–</w:t>
      </w:r>
      <w:r w:rsidR="00D81174">
        <w:rPr>
          <w:bCs/>
          <w:color w:val="000000" w:themeColor="text1"/>
          <w:sz w:val="20"/>
          <w:szCs w:val="20"/>
        </w:rPr>
        <w:t xml:space="preserve"> </w:t>
      </w:r>
      <w:r w:rsidR="00B045B3" w:rsidRPr="00B045B3">
        <w:rPr>
          <w:bCs/>
          <w:color w:val="000000" w:themeColor="text1"/>
          <w:sz w:val="20"/>
          <w:szCs w:val="20"/>
        </w:rPr>
        <w:t>a web-based system used to manage several schemes that we administer on behalf of government</w:t>
      </w:r>
      <w:r w:rsidR="00B045B3">
        <w:rPr>
          <w:bCs/>
          <w:color w:val="000000" w:themeColor="text1"/>
          <w:sz w:val="20"/>
          <w:szCs w:val="20"/>
        </w:rPr>
        <w:t xml:space="preserve">, including the RO. </w:t>
      </w:r>
    </w:p>
    <w:p w14:paraId="55144207" w14:textId="77777777" w:rsidR="00C82935" w:rsidRDefault="00C82935" w:rsidP="00D81174">
      <w:pPr>
        <w:pStyle w:val="Default"/>
        <w:spacing w:line="360" w:lineRule="auto"/>
        <w:rPr>
          <w:bCs/>
          <w:color w:val="000000" w:themeColor="text1"/>
          <w:sz w:val="20"/>
          <w:szCs w:val="20"/>
        </w:rPr>
      </w:pPr>
    </w:p>
    <w:p w14:paraId="4736A5B3" w14:textId="694E10F0" w:rsidR="00D81174" w:rsidRDefault="00D81174" w:rsidP="00D81174">
      <w:pPr>
        <w:pStyle w:val="Default"/>
        <w:spacing w:line="360" w:lineRule="auto"/>
        <w:rPr>
          <w:bCs/>
          <w:color w:val="000000" w:themeColor="text1"/>
          <w:sz w:val="20"/>
          <w:szCs w:val="20"/>
        </w:rPr>
      </w:pPr>
      <w:r w:rsidRPr="00780608">
        <w:rPr>
          <w:b/>
          <w:color w:val="000000" w:themeColor="text1"/>
          <w:sz w:val="20"/>
          <w:szCs w:val="20"/>
        </w:rPr>
        <w:t>Renewables Obligation</w:t>
      </w:r>
      <w:r w:rsidR="00187A9D" w:rsidRPr="00780608">
        <w:rPr>
          <w:b/>
          <w:color w:val="000000" w:themeColor="text1"/>
          <w:sz w:val="20"/>
          <w:szCs w:val="20"/>
        </w:rPr>
        <w:t xml:space="preserve"> (RO)</w:t>
      </w:r>
      <w:r w:rsidRPr="00187A9D">
        <w:rPr>
          <w:bCs/>
          <w:color w:val="000000" w:themeColor="text1"/>
          <w:sz w:val="20"/>
          <w:szCs w:val="20"/>
        </w:rPr>
        <w:t xml:space="preserve"> </w:t>
      </w:r>
      <w:r w:rsidR="00187A9D">
        <w:rPr>
          <w:bCs/>
          <w:color w:val="000000" w:themeColor="text1"/>
          <w:sz w:val="20"/>
          <w:szCs w:val="20"/>
        </w:rPr>
        <w:t xml:space="preserve">– one </w:t>
      </w:r>
      <w:r w:rsidR="00F67209" w:rsidRPr="00F67209">
        <w:rPr>
          <w:bCs/>
          <w:color w:val="000000" w:themeColor="text1"/>
          <w:sz w:val="20"/>
          <w:szCs w:val="20"/>
        </w:rPr>
        <w:t>of the main support mechanisms for large-scale renewable electricity projects in the UK.</w:t>
      </w:r>
    </w:p>
    <w:p w14:paraId="569FD2EC" w14:textId="77777777" w:rsidR="00C82935" w:rsidRPr="00780608" w:rsidRDefault="00C82935" w:rsidP="00D81174">
      <w:pPr>
        <w:pStyle w:val="Default"/>
        <w:spacing w:line="360" w:lineRule="auto"/>
        <w:rPr>
          <w:bCs/>
          <w:color w:val="000000" w:themeColor="text1"/>
          <w:sz w:val="20"/>
          <w:szCs w:val="20"/>
          <w:highlight w:val="yellow"/>
        </w:rPr>
      </w:pPr>
    </w:p>
    <w:p w14:paraId="167FA091" w14:textId="74660BA6" w:rsidR="00D81174" w:rsidRDefault="00D81174" w:rsidP="00D81174">
      <w:pPr>
        <w:pStyle w:val="Default"/>
        <w:spacing w:line="360" w:lineRule="auto"/>
        <w:rPr>
          <w:bCs/>
          <w:color w:val="000000" w:themeColor="text1"/>
          <w:sz w:val="20"/>
          <w:szCs w:val="20"/>
        </w:rPr>
      </w:pPr>
      <w:r w:rsidRPr="00780608">
        <w:rPr>
          <w:b/>
          <w:color w:val="000000" w:themeColor="text1"/>
          <w:sz w:val="20"/>
          <w:szCs w:val="20"/>
        </w:rPr>
        <w:t>Renewables Obligation Certificate</w:t>
      </w:r>
      <w:r w:rsidR="00187A9D" w:rsidRPr="00780608">
        <w:rPr>
          <w:b/>
          <w:color w:val="000000" w:themeColor="text1"/>
          <w:sz w:val="20"/>
          <w:szCs w:val="20"/>
        </w:rPr>
        <w:t xml:space="preserve"> (ROC)</w:t>
      </w:r>
      <w:r w:rsidR="00F67209">
        <w:rPr>
          <w:bCs/>
          <w:color w:val="000000" w:themeColor="text1"/>
          <w:sz w:val="20"/>
          <w:szCs w:val="20"/>
        </w:rPr>
        <w:t xml:space="preserve"> </w:t>
      </w:r>
      <w:r w:rsidR="00187A9D">
        <w:rPr>
          <w:bCs/>
          <w:color w:val="000000" w:themeColor="text1"/>
          <w:sz w:val="20"/>
          <w:szCs w:val="20"/>
        </w:rPr>
        <w:t xml:space="preserve">– ROCs </w:t>
      </w:r>
      <w:r w:rsidR="00F67209" w:rsidRPr="00F67209">
        <w:rPr>
          <w:bCs/>
          <w:color w:val="000000" w:themeColor="text1"/>
          <w:sz w:val="20"/>
          <w:szCs w:val="20"/>
        </w:rPr>
        <w:t>are certificates issued to operators of accredited renewable generating stations for the eligible renewable electricity they generate.</w:t>
      </w:r>
    </w:p>
    <w:p w14:paraId="490283EE" w14:textId="77777777" w:rsidR="00F67209" w:rsidRDefault="00F67209" w:rsidP="00D81174">
      <w:pPr>
        <w:pStyle w:val="Default"/>
        <w:spacing w:line="360" w:lineRule="auto"/>
        <w:rPr>
          <w:bCs/>
          <w:color w:val="000000" w:themeColor="text1"/>
          <w:sz w:val="20"/>
          <w:szCs w:val="20"/>
        </w:rPr>
      </w:pPr>
    </w:p>
    <w:p w14:paraId="581D4A3E" w14:textId="2A2173C8" w:rsidR="00D81174" w:rsidRPr="00780608" w:rsidRDefault="00D81174">
      <w:pPr>
        <w:pStyle w:val="Default"/>
        <w:spacing w:line="360" w:lineRule="auto"/>
        <w:rPr>
          <w:bCs/>
          <w:color w:val="000000" w:themeColor="text1"/>
          <w:sz w:val="20"/>
          <w:szCs w:val="20"/>
        </w:rPr>
      </w:pPr>
      <w:r w:rsidRPr="00780608">
        <w:rPr>
          <w:b/>
          <w:color w:val="000000" w:themeColor="text1"/>
          <w:sz w:val="20"/>
          <w:szCs w:val="20"/>
        </w:rPr>
        <w:t>Renewables Obligation Order</w:t>
      </w:r>
      <w:r w:rsidR="00090818" w:rsidRPr="00780608">
        <w:rPr>
          <w:b/>
          <w:color w:val="000000" w:themeColor="text1"/>
          <w:sz w:val="20"/>
          <w:szCs w:val="20"/>
        </w:rPr>
        <w:t xml:space="preserve"> (ROO)</w:t>
      </w:r>
      <w:r w:rsidRPr="00090818">
        <w:rPr>
          <w:bCs/>
          <w:color w:val="000000" w:themeColor="text1"/>
          <w:sz w:val="20"/>
          <w:szCs w:val="20"/>
        </w:rPr>
        <w:t xml:space="preserve"> </w:t>
      </w:r>
      <w:r w:rsidR="00090818" w:rsidRPr="00780608">
        <w:rPr>
          <w:bCs/>
          <w:color w:val="000000" w:themeColor="text1"/>
          <w:sz w:val="20"/>
          <w:szCs w:val="20"/>
        </w:rPr>
        <w:t xml:space="preserve">– the legislation which underpins the RO scheme. </w:t>
      </w:r>
      <w:r w:rsidR="00090818" w:rsidRPr="00090818">
        <w:rPr>
          <w:bCs/>
          <w:color w:val="000000" w:themeColor="text1"/>
          <w:sz w:val="20"/>
          <w:szCs w:val="20"/>
        </w:rPr>
        <w:t>These include the Renewables Obligation Order 2015 (England and Wales), the Renewables Obligation (Scotland) Order 2009 (as amended) and the Renewables Obligation Order (Northern Ireland) 2009 (as amended).</w:t>
      </w:r>
    </w:p>
    <w:p w14:paraId="4ADF6098" w14:textId="77777777" w:rsidR="00C82935" w:rsidRPr="00780608" w:rsidRDefault="00C82935" w:rsidP="00D81174">
      <w:pPr>
        <w:pStyle w:val="Default"/>
        <w:spacing w:line="360" w:lineRule="auto"/>
        <w:rPr>
          <w:bCs/>
          <w:color w:val="000000" w:themeColor="text1"/>
          <w:sz w:val="20"/>
          <w:szCs w:val="20"/>
          <w:highlight w:val="yellow"/>
        </w:rPr>
      </w:pPr>
    </w:p>
    <w:p w14:paraId="76B6083C" w14:textId="357E0401" w:rsidR="00D81174" w:rsidRDefault="00D81174" w:rsidP="00D81174">
      <w:pPr>
        <w:pStyle w:val="Default"/>
        <w:spacing w:line="360" w:lineRule="auto"/>
        <w:rPr>
          <w:bCs/>
          <w:color w:val="000000" w:themeColor="text1"/>
          <w:sz w:val="20"/>
          <w:szCs w:val="20"/>
        </w:rPr>
      </w:pPr>
      <w:r w:rsidRPr="00780608">
        <w:rPr>
          <w:b/>
          <w:color w:val="000000" w:themeColor="text1"/>
          <w:sz w:val="20"/>
          <w:szCs w:val="20"/>
        </w:rPr>
        <w:t>ROS - Renewables Obligation Scotland</w:t>
      </w:r>
      <w:r w:rsidRPr="00F70DA7">
        <w:rPr>
          <w:bCs/>
          <w:color w:val="000000" w:themeColor="text1"/>
          <w:sz w:val="20"/>
          <w:szCs w:val="20"/>
        </w:rPr>
        <w:t xml:space="preserve"> </w:t>
      </w:r>
      <w:r w:rsidR="00C82935">
        <w:rPr>
          <w:bCs/>
          <w:color w:val="000000" w:themeColor="text1"/>
          <w:sz w:val="20"/>
          <w:szCs w:val="20"/>
        </w:rPr>
        <w:t xml:space="preserve">(ROS) – one of </w:t>
      </w:r>
      <w:r w:rsidR="00C82935" w:rsidRPr="00C82935">
        <w:rPr>
          <w:bCs/>
          <w:color w:val="000000" w:themeColor="text1"/>
          <w:sz w:val="20"/>
          <w:szCs w:val="20"/>
        </w:rPr>
        <w:t xml:space="preserve">three separate, but similar pieces of legislation </w:t>
      </w:r>
      <w:r w:rsidR="00C82935">
        <w:rPr>
          <w:bCs/>
          <w:color w:val="000000" w:themeColor="text1"/>
          <w:sz w:val="20"/>
          <w:szCs w:val="20"/>
        </w:rPr>
        <w:t xml:space="preserve">which govern the RO scheme. </w:t>
      </w:r>
    </w:p>
    <w:p w14:paraId="3E6C78D9" w14:textId="77777777" w:rsidR="00C82935" w:rsidRPr="00F70DA7" w:rsidRDefault="00C82935" w:rsidP="00D81174">
      <w:pPr>
        <w:pStyle w:val="Default"/>
        <w:spacing w:line="360" w:lineRule="auto"/>
        <w:rPr>
          <w:bCs/>
          <w:color w:val="000000" w:themeColor="text1"/>
          <w:sz w:val="20"/>
          <w:szCs w:val="20"/>
        </w:rPr>
      </w:pPr>
    </w:p>
    <w:p w14:paraId="5B2F7F84" w14:textId="3C4A9C6C" w:rsidR="00DE7E0D" w:rsidRDefault="00BE5B0C" w:rsidP="004C6553">
      <w:pPr>
        <w:pStyle w:val="Default"/>
        <w:spacing w:line="360" w:lineRule="auto"/>
        <w:rPr>
          <w:b/>
          <w:bCs/>
          <w:color w:val="000000" w:themeColor="text1"/>
          <w:sz w:val="28"/>
          <w:szCs w:val="28"/>
        </w:rPr>
      </w:pPr>
      <w:r w:rsidRPr="00780608">
        <w:rPr>
          <w:b/>
          <w:color w:val="000000" w:themeColor="text1"/>
          <w:sz w:val="20"/>
          <w:szCs w:val="20"/>
        </w:rPr>
        <w:t>Retail Price Index (</w:t>
      </w:r>
      <w:r w:rsidR="00D81174" w:rsidRPr="00780608">
        <w:rPr>
          <w:b/>
          <w:color w:val="000000" w:themeColor="text1"/>
          <w:sz w:val="20"/>
          <w:szCs w:val="20"/>
        </w:rPr>
        <w:t>RPI</w:t>
      </w:r>
      <w:r w:rsidRPr="00780608">
        <w:rPr>
          <w:b/>
          <w:color w:val="000000" w:themeColor="text1"/>
          <w:sz w:val="20"/>
          <w:szCs w:val="20"/>
        </w:rPr>
        <w:t>)</w:t>
      </w:r>
      <w:r w:rsidR="00D81174" w:rsidRPr="00BB0244">
        <w:rPr>
          <w:bCs/>
          <w:color w:val="000000" w:themeColor="text1"/>
          <w:sz w:val="20"/>
          <w:szCs w:val="20"/>
        </w:rPr>
        <w:t xml:space="preserve"> </w:t>
      </w:r>
      <w:r w:rsidRPr="00780608">
        <w:rPr>
          <w:bCs/>
          <w:color w:val="000000" w:themeColor="text1"/>
          <w:sz w:val="20"/>
          <w:szCs w:val="20"/>
        </w:rPr>
        <w:t>–</w:t>
      </w:r>
      <w:r w:rsidR="00D81174" w:rsidRPr="00BB0244">
        <w:rPr>
          <w:bCs/>
          <w:color w:val="000000" w:themeColor="text1"/>
          <w:sz w:val="20"/>
          <w:szCs w:val="20"/>
        </w:rPr>
        <w:t xml:space="preserve"> </w:t>
      </w:r>
      <w:r>
        <w:rPr>
          <w:bCs/>
          <w:color w:val="000000" w:themeColor="text1"/>
          <w:sz w:val="20"/>
          <w:szCs w:val="20"/>
        </w:rPr>
        <w:t xml:space="preserve">a measure of inflation published monthly by the Office for National Statistics which measures the change in the cost of a representative sample of retail goods and services. </w:t>
      </w:r>
      <w:r w:rsidR="00DE7E0D">
        <w:rPr>
          <w:b/>
          <w:bCs/>
          <w:color w:val="000000" w:themeColor="text1"/>
          <w:sz w:val="28"/>
          <w:szCs w:val="28"/>
        </w:rPr>
        <w:br w:type="page"/>
      </w:r>
    </w:p>
    <w:p w14:paraId="49D1B85B" w14:textId="77777777" w:rsidR="00D81174" w:rsidRPr="008B0B76" w:rsidRDefault="00D81174" w:rsidP="00D81174">
      <w:pPr>
        <w:pStyle w:val="Default"/>
        <w:rPr>
          <w:b/>
          <w:bCs/>
          <w:color w:val="000000" w:themeColor="text1"/>
          <w:sz w:val="28"/>
          <w:szCs w:val="28"/>
        </w:rPr>
      </w:pPr>
      <w:r w:rsidRPr="008B0B76">
        <w:rPr>
          <w:b/>
          <w:bCs/>
          <w:color w:val="000000" w:themeColor="text1"/>
          <w:sz w:val="28"/>
          <w:szCs w:val="28"/>
        </w:rPr>
        <w:lastRenderedPageBreak/>
        <w:t>S</w:t>
      </w:r>
    </w:p>
    <w:p w14:paraId="0D9A5DBE"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760AFDF7" w14:textId="6EF23AB0" w:rsidR="00D81174" w:rsidRDefault="00D81174" w:rsidP="00D81174">
      <w:pPr>
        <w:pStyle w:val="Default"/>
        <w:spacing w:line="360" w:lineRule="auto"/>
        <w:rPr>
          <w:bCs/>
          <w:color w:val="000000" w:themeColor="text1"/>
          <w:sz w:val="20"/>
          <w:szCs w:val="20"/>
        </w:rPr>
      </w:pPr>
      <w:r w:rsidRPr="00780608">
        <w:rPr>
          <w:b/>
          <w:color w:val="000000" w:themeColor="text1"/>
          <w:sz w:val="20"/>
          <w:szCs w:val="20"/>
        </w:rPr>
        <w:t xml:space="preserve">Scottish Renewables Obligation </w:t>
      </w:r>
      <w:r w:rsidR="00F71643" w:rsidRPr="00780608">
        <w:rPr>
          <w:b/>
          <w:color w:val="000000" w:themeColor="text1"/>
          <w:sz w:val="20"/>
          <w:szCs w:val="20"/>
        </w:rPr>
        <w:t>(SRO)</w:t>
      </w:r>
      <w:r w:rsidR="00F71643">
        <w:rPr>
          <w:bCs/>
          <w:color w:val="000000" w:themeColor="text1"/>
          <w:sz w:val="20"/>
          <w:szCs w:val="20"/>
        </w:rPr>
        <w:t xml:space="preserve"> – </w:t>
      </w:r>
      <w:r w:rsidR="00F71643" w:rsidRPr="0060042E">
        <w:rPr>
          <w:bCs/>
          <w:color w:val="000000" w:themeColor="text1"/>
          <w:sz w:val="20"/>
          <w:szCs w:val="20"/>
        </w:rPr>
        <w:t>an</w:t>
      </w:r>
      <w:r w:rsidR="00F71643">
        <w:rPr>
          <w:bCs/>
          <w:color w:val="000000" w:themeColor="text1"/>
          <w:sz w:val="20"/>
          <w:szCs w:val="20"/>
        </w:rPr>
        <w:t xml:space="preserve"> </w:t>
      </w:r>
      <w:r w:rsidR="00F71643" w:rsidRPr="0060042E">
        <w:rPr>
          <w:bCs/>
          <w:color w:val="000000" w:themeColor="text1"/>
          <w:sz w:val="20"/>
          <w:szCs w:val="20"/>
        </w:rPr>
        <w:t>environmental scheme to encourage the use of renewable electricity in Northern Ireland.</w:t>
      </w:r>
      <w:r w:rsidR="00F71643">
        <w:rPr>
          <w:bCs/>
          <w:color w:val="000000" w:themeColor="text1"/>
          <w:sz w:val="20"/>
          <w:szCs w:val="20"/>
        </w:rPr>
        <w:t xml:space="preserve"> </w:t>
      </w:r>
    </w:p>
    <w:p w14:paraId="4CA20AE4" w14:textId="77777777" w:rsidR="00C82935" w:rsidRPr="00F70DA7" w:rsidRDefault="00C82935" w:rsidP="00D81174">
      <w:pPr>
        <w:pStyle w:val="Default"/>
        <w:spacing w:line="360" w:lineRule="auto"/>
        <w:rPr>
          <w:bCs/>
          <w:color w:val="000000" w:themeColor="text1"/>
          <w:sz w:val="20"/>
          <w:szCs w:val="20"/>
        </w:rPr>
      </w:pPr>
    </w:p>
    <w:p w14:paraId="1EBDD28F" w14:textId="66FB7D07" w:rsidR="00D81174" w:rsidRPr="00F70DA7" w:rsidRDefault="00D81174" w:rsidP="00D81174">
      <w:pPr>
        <w:pStyle w:val="Default"/>
        <w:spacing w:line="360" w:lineRule="auto"/>
        <w:rPr>
          <w:bCs/>
          <w:color w:val="000000" w:themeColor="text1"/>
          <w:sz w:val="20"/>
          <w:szCs w:val="20"/>
        </w:rPr>
      </w:pPr>
      <w:r w:rsidRPr="00780608">
        <w:rPr>
          <w:b/>
          <w:color w:val="000000" w:themeColor="text1"/>
          <w:sz w:val="20"/>
          <w:szCs w:val="20"/>
        </w:rPr>
        <w:t>Scottish Renewables Obligation Certificates</w:t>
      </w:r>
      <w:r w:rsidR="00C82935" w:rsidRPr="00780608">
        <w:rPr>
          <w:b/>
          <w:color w:val="000000" w:themeColor="text1"/>
          <w:sz w:val="20"/>
          <w:szCs w:val="20"/>
        </w:rPr>
        <w:t xml:space="preserve"> (SROC)</w:t>
      </w:r>
      <w:r w:rsidR="00C82935">
        <w:rPr>
          <w:bCs/>
          <w:color w:val="000000" w:themeColor="text1"/>
          <w:sz w:val="20"/>
          <w:szCs w:val="20"/>
        </w:rPr>
        <w:t xml:space="preserve"> – One of three types of certificates which collectively make up all ROCs issued under the RO scheme. </w:t>
      </w:r>
    </w:p>
    <w:p w14:paraId="73438C17" w14:textId="77777777" w:rsidR="00D81174" w:rsidRPr="002F510B" w:rsidRDefault="00D81174" w:rsidP="00D81174">
      <w:pPr>
        <w:pStyle w:val="Default"/>
        <w:spacing w:line="360" w:lineRule="auto"/>
        <w:rPr>
          <w:b/>
          <w:bCs/>
          <w:color w:val="000000" w:themeColor="text1"/>
          <w:sz w:val="20"/>
        </w:rPr>
      </w:pPr>
    </w:p>
    <w:p w14:paraId="01624DE3" w14:textId="77777777" w:rsidR="00D81174" w:rsidRPr="008B0B76" w:rsidRDefault="00D81174" w:rsidP="00D81174">
      <w:pPr>
        <w:spacing w:line="276" w:lineRule="auto"/>
        <w:rPr>
          <w:b/>
          <w:bCs/>
          <w:color w:val="000000" w:themeColor="text1"/>
          <w:sz w:val="28"/>
          <w:szCs w:val="28"/>
        </w:rPr>
      </w:pPr>
      <w:r w:rsidRPr="008B0B76">
        <w:rPr>
          <w:b/>
          <w:bCs/>
          <w:color w:val="000000" w:themeColor="text1"/>
          <w:sz w:val="28"/>
          <w:szCs w:val="28"/>
        </w:rPr>
        <w:t>T</w:t>
      </w:r>
    </w:p>
    <w:p w14:paraId="3352B6F0" w14:textId="77777777" w:rsidR="00D81174" w:rsidRPr="00F70DA7" w:rsidRDefault="00D81174" w:rsidP="00D81174">
      <w:pPr>
        <w:pStyle w:val="Default"/>
        <w:rPr>
          <w:b/>
          <w:bCs/>
          <w:color w:val="000000" w:themeColor="text1"/>
          <w:sz w:val="20"/>
          <w:szCs w:val="20"/>
        </w:rPr>
      </w:pPr>
      <w:r w:rsidRPr="00FF1484">
        <w:rPr>
          <w:b/>
          <w:bCs/>
          <w:color w:val="000000" w:themeColor="text1"/>
          <w:sz w:val="20"/>
          <w:szCs w:val="20"/>
        </w:rPr>
        <w:t xml:space="preserve"> </w:t>
      </w:r>
    </w:p>
    <w:p w14:paraId="0740D4E2" w14:textId="77777777" w:rsidR="00D81174" w:rsidRDefault="00D81174" w:rsidP="00D81174">
      <w:r>
        <w:rPr>
          <w:b/>
          <w:bCs/>
        </w:rPr>
        <w:t>Total Installed Capacity (</w:t>
      </w:r>
      <w:r w:rsidRPr="00240251">
        <w:rPr>
          <w:b/>
          <w:bCs/>
        </w:rPr>
        <w:t>TIC</w:t>
      </w:r>
      <w:r>
        <w:rPr>
          <w:b/>
          <w:bCs/>
        </w:rPr>
        <w:t>)</w:t>
      </w:r>
      <w:r>
        <w:t xml:space="preserve"> – </w:t>
      </w:r>
      <w:r w:rsidRPr="00CE3589">
        <w:t xml:space="preserve">The maximum capacity an installation can be operated </w:t>
      </w:r>
      <w:r>
        <w:t>at over</w:t>
      </w:r>
      <w:r w:rsidRPr="00CE3589">
        <w:t xml:space="preserve"> a sustained period without damaging it (assuming the source of power used by it to generate electricity was available to it without interruption)</w:t>
      </w:r>
      <w:r>
        <w:t>.</w:t>
      </w:r>
    </w:p>
    <w:p w14:paraId="5D3389D9" w14:textId="77777777" w:rsidR="00D81174" w:rsidRPr="00D31210" w:rsidRDefault="00D81174" w:rsidP="00D81174">
      <w:r>
        <w:rPr>
          <w:b/>
          <w:bCs/>
        </w:rPr>
        <w:t>TW</w:t>
      </w:r>
      <w:r>
        <w:t xml:space="preserve"> – Terawatt, equal to one trillion watts.</w:t>
      </w:r>
      <w:r w:rsidDel="006A578C">
        <w:t xml:space="preserve"> </w:t>
      </w:r>
    </w:p>
    <w:p w14:paraId="1D3C44AE" w14:textId="77777777" w:rsidR="00D81174" w:rsidRPr="00633B09" w:rsidRDefault="00D81174" w:rsidP="00D81174">
      <w:proofErr w:type="spellStart"/>
      <w:r>
        <w:rPr>
          <w:b/>
          <w:bCs/>
        </w:rPr>
        <w:t>TWh</w:t>
      </w:r>
      <w:proofErr w:type="spellEnd"/>
      <w:r>
        <w:rPr>
          <w:b/>
          <w:bCs/>
        </w:rPr>
        <w:t xml:space="preserve"> </w:t>
      </w:r>
      <w:r>
        <w:t>– Terawatt hour, equivalent to one trillion watt hours of electricity output.</w:t>
      </w:r>
    </w:p>
    <w:p w14:paraId="622519C5" w14:textId="3E4ABBD4" w:rsidR="00B84318" w:rsidRPr="00237C32" w:rsidRDefault="00B84318" w:rsidP="00780608">
      <w:pPr>
        <w:rPr>
          <w:b/>
        </w:rPr>
      </w:pPr>
    </w:p>
    <w:sectPr w:rsidR="00B84318" w:rsidRPr="00237C32" w:rsidSect="00995971">
      <w:footerReference w:type="default" r:id="rId99"/>
      <w:headerReference w:type="first" r:id="rId100"/>
      <w:pgSz w:w="11906" w:h="16838"/>
      <w:pgMar w:top="1701" w:right="1134" w:bottom="1134" w:left="1134" w:header="709" w:footer="33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11396" w14:textId="77777777" w:rsidR="00482956" w:rsidRDefault="00482956" w:rsidP="007E1963">
      <w:r>
        <w:separator/>
      </w:r>
    </w:p>
  </w:endnote>
  <w:endnote w:type="continuationSeparator" w:id="0">
    <w:p w14:paraId="24884C8A" w14:textId="77777777" w:rsidR="00482956" w:rsidRDefault="00482956" w:rsidP="007E1963">
      <w:r>
        <w:continuationSeparator/>
      </w:r>
    </w:p>
  </w:endnote>
  <w:endnote w:type="continuationNotice" w:id="1">
    <w:p w14:paraId="6E513543" w14:textId="77777777" w:rsidR="00482956" w:rsidRDefault="00482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F61B" w14:textId="77777777" w:rsidR="00955823" w:rsidRDefault="00955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B83D" w14:textId="77777777" w:rsidR="00955823" w:rsidRDefault="00955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17CC" w14:textId="75014546" w:rsidR="004A396C" w:rsidRDefault="004A396C" w:rsidP="00CC2C71">
    <w:pPr>
      <w:pStyle w:val="Footer"/>
    </w:pPr>
    <w:r>
      <w:rPr>
        <w:noProof/>
      </w:rPr>
      <w:drawing>
        <wp:anchor distT="0" distB="0" distL="114300" distR="114300" simplePos="0" relativeHeight="251658241" behindDoc="0" locked="0" layoutInCell="1" allowOverlap="1" wp14:anchorId="50EDE32F" wp14:editId="273406A4">
          <wp:simplePos x="0" y="0"/>
          <wp:positionH relativeFrom="column">
            <wp:posOffset>-286385</wp:posOffset>
          </wp:positionH>
          <wp:positionV relativeFrom="paragraph">
            <wp:posOffset>239866</wp:posOffset>
          </wp:positionV>
          <wp:extent cx="597600" cy="1764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600" cy="17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59517D1" wp14:editId="11EF894A">
          <wp:simplePos x="0" y="0"/>
          <wp:positionH relativeFrom="margin">
            <wp:posOffset>-262890</wp:posOffset>
          </wp:positionH>
          <wp:positionV relativeFrom="margin">
            <wp:posOffset>7292975</wp:posOffset>
          </wp:positionV>
          <wp:extent cx="6631200" cy="43200"/>
          <wp:effectExtent l="0" t="0" r="0" b="0"/>
          <wp:wrapNone/>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6631200" cy="4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2611" w14:textId="26AFA9F4" w:rsidR="00CC2C71" w:rsidRDefault="00CC2C71" w:rsidP="00CC2C71">
    <w:pPr>
      <w:pStyle w:val="Footer"/>
      <w:tabs>
        <w:tab w:val="clear" w:pos="4513"/>
        <w:tab w:val="clear" w:pos="9026"/>
        <w:tab w:val="left" w:pos="7371"/>
      </w:tabs>
    </w:pPr>
  </w:p>
  <w:p w14:paraId="21B7CFBC" w14:textId="2E9C06D0" w:rsidR="004A396C" w:rsidRDefault="004A396C" w:rsidP="00995971">
    <w:pPr>
      <w:pStyle w:val="Footer"/>
      <w:tabs>
        <w:tab w:val="clear" w:pos="4513"/>
        <w:tab w:val="clear" w:pos="9026"/>
        <w:tab w:val="left" w:pos="7371"/>
      </w:tabs>
    </w:pPr>
    <w:r>
      <w:rPr>
        <w:noProof/>
      </w:rPr>
      <w:drawing>
        <wp:anchor distT="0" distB="0" distL="114300" distR="114300" simplePos="0" relativeHeight="251658243" behindDoc="1" locked="0" layoutInCell="1" allowOverlap="1" wp14:anchorId="0872F480" wp14:editId="563F8FA4">
          <wp:simplePos x="0" y="0"/>
          <wp:positionH relativeFrom="margin">
            <wp:posOffset>-255270</wp:posOffset>
          </wp:positionH>
          <wp:positionV relativeFrom="margin">
            <wp:posOffset>8946515</wp:posOffset>
          </wp:positionV>
          <wp:extent cx="6630670" cy="4318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stretch>
                    <a:fillRect/>
                  </a:stretch>
                </pic:blipFill>
                <pic:spPr>
                  <a:xfrm>
                    <a:off x="0" y="0"/>
                    <a:ext cx="6630670" cy="43180"/>
                  </a:xfrm>
                  <a:prstGeom prst="rect">
                    <a:avLst/>
                  </a:prstGeom>
                </pic:spPr>
              </pic:pic>
            </a:graphicData>
          </a:graphic>
          <wp14:sizeRelH relativeFrom="margin">
            <wp14:pctWidth>0</wp14:pctWidth>
          </wp14:sizeRelH>
          <wp14:sizeRelV relativeFrom="margin">
            <wp14:pctHeight>0</wp14:pctHeight>
          </wp14:sizeRelV>
        </wp:anchor>
      </w:drawing>
    </w:r>
    <w:sdt>
      <w:sdtPr>
        <w:id w:val="-1169641661"/>
        <w:docPartObj>
          <w:docPartGallery w:val="Page Numbers (Bottom of Page)"/>
          <w:docPartUnique/>
        </w:docPartObj>
      </w:sdtPr>
      <w:sdtEndPr/>
      <w:sdtContent>
        <w:r>
          <w:fldChar w:fldCharType="begin"/>
        </w:r>
        <w:r>
          <w:instrText xml:space="preserve"> PAGE   \* MERGEFORMAT </w:instrText>
        </w:r>
        <w:r>
          <w:fldChar w:fldCharType="separate"/>
        </w:r>
        <w:r>
          <w:t>2</w:t>
        </w:r>
        <w:r>
          <w:fldChar w:fldCharType="end"/>
        </w:r>
      </w:sdtContent>
    </w:sdt>
    <w:r>
      <w:tab/>
      <w:t>www.ofgem.gov.uk/ro</w:t>
    </w:r>
  </w:p>
  <w:p w14:paraId="02DEAB6C" w14:textId="77777777" w:rsidR="004A396C" w:rsidRDefault="004A396C" w:rsidP="007E1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60007" w14:textId="77777777" w:rsidR="00482956" w:rsidRDefault="00482956" w:rsidP="007E1963">
      <w:r>
        <w:separator/>
      </w:r>
    </w:p>
  </w:footnote>
  <w:footnote w:type="continuationSeparator" w:id="0">
    <w:p w14:paraId="3F4C8132" w14:textId="77777777" w:rsidR="00482956" w:rsidRDefault="00482956" w:rsidP="007E1963">
      <w:r>
        <w:continuationSeparator/>
      </w:r>
    </w:p>
  </w:footnote>
  <w:footnote w:type="continuationNotice" w:id="1">
    <w:p w14:paraId="60AA5D3F" w14:textId="77777777" w:rsidR="00482956" w:rsidRDefault="00482956">
      <w:pPr>
        <w:spacing w:after="0" w:line="240" w:lineRule="auto"/>
      </w:pPr>
    </w:p>
  </w:footnote>
  <w:footnote w:id="2">
    <w:p w14:paraId="1CA148CA" w14:textId="66A60C8C" w:rsidR="004A396C" w:rsidRDefault="004A396C" w:rsidP="00577416">
      <w:pPr>
        <w:pStyle w:val="FootnoteText"/>
      </w:pPr>
      <w:r>
        <w:rPr>
          <w:rStyle w:val="FootnoteReference"/>
        </w:rPr>
        <w:footnoteRef/>
      </w:r>
      <w:r>
        <w:t xml:space="preserve"> </w:t>
      </w:r>
      <w:r w:rsidRPr="00056832">
        <w:rPr>
          <w:sz w:val="16"/>
        </w:rPr>
        <w:t>The buy</w:t>
      </w:r>
      <w:r>
        <w:rPr>
          <w:sz w:val="16"/>
        </w:rPr>
        <w:t xml:space="preserve">-out price is the sum that suppliers must pay for each ROC not presented towards their obligation. </w:t>
      </w:r>
      <w:hyperlink r:id="rId1" w:history="1">
        <w:r w:rsidRPr="00935E78">
          <w:rPr>
            <w:rStyle w:val="Hyperlink"/>
            <w:sz w:val="16"/>
          </w:rPr>
          <w:t>Link to buy-out price information for 2020-21</w:t>
        </w:r>
      </w:hyperlink>
      <w:r>
        <w:rPr>
          <w:sz w:val="16"/>
        </w:rPr>
        <w:t xml:space="preserve">: </w:t>
      </w:r>
      <w:r w:rsidRPr="00DF4689">
        <w:rPr>
          <w:sz w:val="16"/>
          <w:szCs w:val="16"/>
        </w:rPr>
        <w:t>&lt;</w:t>
      </w:r>
      <w:r w:rsidRPr="003B35B0">
        <w:rPr>
          <w:sz w:val="16"/>
          <w:szCs w:val="16"/>
        </w:rPr>
        <w:t>https://www.ofgem.gov.uk/publications/renewables-obligation-ro-buy-out-price-and-mutualisation-ceilings-2020-21</w:t>
      </w:r>
      <w:r w:rsidRPr="00AB52A9">
        <w:rPr>
          <w:sz w:val="16"/>
          <w:szCs w:val="16"/>
        </w:rPr>
        <w:t>&gt;</w:t>
      </w:r>
    </w:p>
  </w:footnote>
  <w:footnote w:id="3">
    <w:p w14:paraId="29903992" w14:textId="54DFB376" w:rsidR="004A396C" w:rsidRDefault="004A396C">
      <w:pPr>
        <w:pStyle w:val="FootnoteText"/>
      </w:pPr>
      <w:r w:rsidRPr="00C64B66">
        <w:rPr>
          <w:rStyle w:val="FootnoteReference"/>
        </w:rPr>
        <w:footnoteRef/>
      </w:r>
      <w:r w:rsidRPr="003B35B0">
        <w:rPr>
          <w:sz w:val="16"/>
          <w:szCs w:val="16"/>
        </w:rPr>
        <w:t xml:space="preserve"> </w:t>
      </w:r>
      <w:hyperlink r:id="rId2" w:history="1">
        <w:r w:rsidRPr="003B35B0">
          <w:rPr>
            <w:rStyle w:val="Hyperlink"/>
            <w:sz w:val="16"/>
            <w:szCs w:val="16"/>
          </w:rPr>
          <w:t>Link to information on the sustainability criteria:</w:t>
        </w:r>
      </w:hyperlink>
      <w:r w:rsidRPr="003B35B0">
        <w:rPr>
          <w:sz w:val="16"/>
          <w:szCs w:val="16"/>
        </w:rPr>
        <w:t xml:space="preserve"> &lt;https://www.ofgem.gov.uk/environmental-programmes/ro/applicants/biomass-sustainability&gt;</w:t>
      </w:r>
    </w:p>
  </w:footnote>
  <w:footnote w:id="4">
    <w:p w14:paraId="77B208C7" w14:textId="77777777" w:rsidR="004A396C" w:rsidRPr="00316C09" w:rsidRDefault="004A396C" w:rsidP="00AA6043">
      <w:pPr>
        <w:pStyle w:val="FootnoteText"/>
        <w:rPr>
          <w:sz w:val="16"/>
          <w:szCs w:val="16"/>
        </w:rPr>
      </w:pPr>
      <w:r w:rsidRPr="00C64B66">
        <w:rPr>
          <w:rStyle w:val="FootnoteReference"/>
        </w:rPr>
        <w:footnoteRef/>
      </w:r>
      <w:r w:rsidRPr="000371B8">
        <w:rPr>
          <w:sz w:val="16"/>
          <w:szCs w:val="16"/>
        </w:rPr>
        <w:t xml:space="preserve"> </w:t>
      </w:r>
      <w:r>
        <w:rPr>
          <w:sz w:val="16"/>
          <w:szCs w:val="16"/>
        </w:rPr>
        <w:t>Twenty</w:t>
      </w:r>
      <w:r w:rsidRPr="00316C09">
        <w:rPr>
          <w:sz w:val="16"/>
          <w:szCs w:val="16"/>
        </w:rPr>
        <w:t xml:space="preserve"> years from the date of accreditation or until 31 March 2037, whichever is earlier</w:t>
      </w:r>
      <w:r>
        <w:rPr>
          <w:sz w:val="16"/>
          <w:szCs w:val="16"/>
        </w:rPr>
        <w:t xml:space="preserve"> - except for g</w:t>
      </w:r>
      <w:r w:rsidRPr="00BD68E0">
        <w:rPr>
          <w:sz w:val="16"/>
          <w:szCs w:val="16"/>
        </w:rPr>
        <w:t>enerators accredited before 26 June 2008 that are eligible to claim ROCs on generation that occurs until 31 March 2027.</w:t>
      </w:r>
    </w:p>
  </w:footnote>
  <w:footnote w:id="5">
    <w:p w14:paraId="0407BD46" w14:textId="792E18D9" w:rsidR="004A396C" w:rsidRDefault="004A396C" w:rsidP="00AA6043">
      <w:pPr>
        <w:pStyle w:val="FootnoteText"/>
      </w:pPr>
      <w:r w:rsidRPr="00C64B66">
        <w:rPr>
          <w:rStyle w:val="FootnoteReference"/>
        </w:rPr>
        <w:footnoteRef/>
      </w:r>
      <w:r w:rsidRPr="00C64B66">
        <w:t xml:space="preserve"> </w:t>
      </w:r>
      <w:r w:rsidRPr="00BD68E0">
        <w:rPr>
          <w:sz w:val="16"/>
          <w:szCs w:val="16"/>
        </w:rPr>
        <w:t>The buy</w:t>
      </w:r>
      <w:r>
        <w:rPr>
          <w:sz w:val="16"/>
        </w:rPr>
        <w:t xml:space="preserve">-out price is the sum that suppliers must pay for each ROC not presented towards their obligation. </w:t>
      </w:r>
      <w:hyperlink r:id="rId3" w:history="1">
        <w:r w:rsidRPr="00056832">
          <w:rPr>
            <w:rStyle w:val="Hyperlink"/>
            <w:sz w:val="16"/>
          </w:rPr>
          <w:t>Link to buy-out price information for 20</w:t>
        </w:r>
        <w:r>
          <w:rPr>
            <w:rStyle w:val="Hyperlink"/>
            <w:sz w:val="16"/>
          </w:rPr>
          <w:t>20</w:t>
        </w:r>
        <w:r w:rsidRPr="00056832">
          <w:rPr>
            <w:rStyle w:val="Hyperlink"/>
            <w:sz w:val="16"/>
          </w:rPr>
          <w:t>-2</w:t>
        </w:r>
        <w:r>
          <w:rPr>
            <w:rStyle w:val="Hyperlink"/>
            <w:sz w:val="16"/>
          </w:rPr>
          <w:t>1</w:t>
        </w:r>
      </w:hyperlink>
      <w:r>
        <w:rPr>
          <w:sz w:val="16"/>
        </w:rPr>
        <w:t xml:space="preserve">: </w:t>
      </w:r>
      <w:r w:rsidRPr="00DF4689">
        <w:rPr>
          <w:sz w:val="16"/>
          <w:szCs w:val="16"/>
        </w:rPr>
        <w:t>&lt;</w:t>
      </w:r>
      <w:r w:rsidRPr="003B35B0">
        <w:rPr>
          <w:sz w:val="16"/>
          <w:szCs w:val="16"/>
        </w:rPr>
        <w:t>https://www.ofgem.gov.uk/publications/renewables-obligation-ro-buy-out-price-and-mutualisation-ceilings-2020-21</w:t>
      </w:r>
      <w:r w:rsidRPr="00AB52A9">
        <w:rPr>
          <w:sz w:val="16"/>
          <w:szCs w:val="16"/>
        </w:rPr>
        <w:t>&gt;</w:t>
      </w:r>
    </w:p>
  </w:footnote>
  <w:footnote w:id="6">
    <w:p w14:paraId="37F4C706" w14:textId="77777777" w:rsidR="004A396C" w:rsidRDefault="004A396C" w:rsidP="00AA6043">
      <w:pPr>
        <w:pStyle w:val="FootnoteText"/>
      </w:pPr>
      <w:r w:rsidRPr="00C64B66">
        <w:rPr>
          <w:rStyle w:val="FootnoteReference"/>
        </w:rPr>
        <w:footnoteRef/>
      </w:r>
      <w:r w:rsidRPr="003B35B0">
        <w:rPr>
          <w:sz w:val="16"/>
          <w:szCs w:val="16"/>
        </w:rPr>
        <w:t xml:space="preserve"> </w:t>
      </w:r>
      <w:hyperlink r:id="rId4" w:history="1">
        <w:r w:rsidRPr="00305121">
          <w:rPr>
            <w:rStyle w:val="Hyperlink"/>
            <w:sz w:val="16"/>
          </w:rPr>
          <w:t>Link to information on the RO closure</w:t>
        </w:r>
      </w:hyperlink>
      <w:r>
        <w:rPr>
          <w:sz w:val="16"/>
        </w:rPr>
        <w:t>: &lt;</w:t>
      </w:r>
      <w:r w:rsidRPr="00305121">
        <w:rPr>
          <w:sz w:val="16"/>
        </w:rPr>
        <w:t>https://www.ofgem.gov.uk/environmental-programmes/ro/about-ro/ro-closure</w:t>
      </w:r>
      <w:r>
        <w:rPr>
          <w:sz w:val="16"/>
        </w:rPr>
        <w:t>&gt;</w:t>
      </w:r>
    </w:p>
  </w:footnote>
  <w:footnote w:id="7">
    <w:p w14:paraId="11D90D6A" w14:textId="77777777" w:rsidR="004A396C" w:rsidRPr="003E03B5" w:rsidRDefault="004A396C" w:rsidP="00E84F9D">
      <w:pPr>
        <w:pStyle w:val="FootnoteText"/>
        <w:rPr>
          <w:color w:val="000000" w:themeColor="text1"/>
        </w:rPr>
      </w:pPr>
      <w:r w:rsidRPr="00CD4578">
        <w:rPr>
          <w:color w:val="000000" w:themeColor="text1"/>
          <w:szCs w:val="16"/>
          <w:vertAlign w:val="superscript"/>
        </w:rPr>
        <w:footnoteRef/>
      </w:r>
      <w:r w:rsidRPr="003E03B5">
        <w:rPr>
          <w:color w:val="000000" w:themeColor="text1"/>
          <w:sz w:val="16"/>
          <w:szCs w:val="16"/>
          <w:vertAlign w:val="superscript"/>
        </w:rPr>
        <w:t xml:space="preserve"> </w:t>
      </w:r>
      <w:r w:rsidRPr="003E03B5">
        <w:rPr>
          <w:color w:val="000000" w:themeColor="text1"/>
          <w:sz w:val="16"/>
          <w:szCs w:val="16"/>
        </w:rPr>
        <w:t>Article 86(1)(f) of the RO, Article 57(1)(f) of the ROS and Article 49(1)(e) of the NIRO list the requirements for the annual report.</w:t>
      </w:r>
    </w:p>
  </w:footnote>
  <w:footnote w:id="8">
    <w:p w14:paraId="47B67966" w14:textId="622A55F5" w:rsidR="004A396C" w:rsidRPr="003B35B0" w:rsidRDefault="004A396C">
      <w:pPr>
        <w:pStyle w:val="FootnoteText"/>
        <w:rPr>
          <w:b/>
          <w:bCs/>
          <w:sz w:val="16"/>
          <w:szCs w:val="16"/>
        </w:rPr>
      </w:pPr>
      <w:r w:rsidRPr="00C64B66">
        <w:rPr>
          <w:rStyle w:val="FootnoteReference"/>
        </w:rPr>
        <w:footnoteRef/>
      </w:r>
      <w:r w:rsidRPr="00C64B66">
        <w:t xml:space="preserve"> </w:t>
      </w:r>
      <w:r w:rsidRPr="00DF4689">
        <w:rPr>
          <w:sz w:val="16"/>
          <w:szCs w:val="16"/>
        </w:rPr>
        <w:t xml:space="preserve">For information on extracting data from the </w:t>
      </w:r>
      <w:r>
        <w:rPr>
          <w:sz w:val="16"/>
          <w:szCs w:val="16"/>
        </w:rPr>
        <w:t xml:space="preserve">Register </w:t>
      </w:r>
      <w:r w:rsidRPr="00DF4689">
        <w:rPr>
          <w:sz w:val="16"/>
          <w:szCs w:val="16"/>
        </w:rPr>
        <w:t xml:space="preserve">public reports please refer to Appendix </w:t>
      </w:r>
      <w:r w:rsidR="00EC481A">
        <w:rPr>
          <w:sz w:val="16"/>
          <w:szCs w:val="16"/>
        </w:rPr>
        <w:t>4</w:t>
      </w:r>
      <w:r w:rsidRPr="00DF4689">
        <w:rPr>
          <w:sz w:val="16"/>
          <w:szCs w:val="16"/>
        </w:rPr>
        <w:t>.</w:t>
      </w:r>
    </w:p>
  </w:footnote>
  <w:footnote w:id="9">
    <w:p w14:paraId="73DFCC06" w14:textId="787C390F" w:rsidR="004A396C" w:rsidRDefault="004A396C" w:rsidP="00C44A07">
      <w:pPr>
        <w:pStyle w:val="FootnoteText"/>
      </w:pPr>
      <w:r w:rsidRPr="00C64B66">
        <w:rPr>
          <w:rStyle w:val="FootnoteReference"/>
        </w:rPr>
        <w:footnoteRef/>
      </w:r>
      <w:r w:rsidRPr="00C64B66">
        <w:t xml:space="preserve"> </w:t>
      </w:r>
      <w:r w:rsidRPr="0076464C">
        <w:rPr>
          <w:sz w:val="16"/>
        </w:rPr>
        <w:t>The data for 2020-21 used in this chapter was downloaded from the Renewables and CHP Register on 2</w:t>
      </w:r>
      <w:r>
        <w:rPr>
          <w:sz w:val="16"/>
        </w:rPr>
        <w:t>8</w:t>
      </w:r>
      <w:r w:rsidRPr="0076464C">
        <w:rPr>
          <w:sz w:val="16"/>
        </w:rPr>
        <w:t xml:space="preserve"> October 2021. For more information on extracting data from the public reports please refer to Appendix </w:t>
      </w:r>
      <w:r w:rsidR="00C85B64">
        <w:rPr>
          <w:sz w:val="16"/>
        </w:rPr>
        <w:t>4</w:t>
      </w:r>
      <w:r w:rsidRPr="0076464C">
        <w:rPr>
          <w:sz w:val="16"/>
        </w:rPr>
        <w:t>.</w:t>
      </w:r>
    </w:p>
  </w:footnote>
  <w:footnote w:id="10">
    <w:p w14:paraId="3C6C2B21" w14:textId="68D04232" w:rsidR="00BA2E46" w:rsidRDefault="00BA2E46">
      <w:pPr>
        <w:pStyle w:val="FootnoteText"/>
      </w:pPr>
      <w:r w:rsidRPr="00C64B66">
        <w:rPr>
          <w:rStyle w:val="FootnoteReference"/>
        </w:rPr>
        <w:footnoteRef/>
      </w:r>
      <w:r w:rsidRPr="00C64B66">
        <w:t xml:space="preserve"> </w:t>
      </w:r>
      <w:hyperlink r:id="rId5" w:history="1">
        <w:r w:rsidR="005E1443" w:rsidRPr="003B35B0">
          <w:rPr>
            <w:rStyle w:val="Hyperlink"/>
            <w:sz w:val="16"/>
            <w:szCs w:val="16"/>
          </w:rPr>
          <w:t>Link to information on the FIT scheme</w:t>
        </w:r>
      </w:hyperlink>
      <w:r w:rsidR="005E1443" w:rsidRPr="003B35B0">
        <w:rPr>
          <w:sz w:val="16"/>
          <w:szCs w:val="16"/>
        </w:rPr>
        <w:t>: &lt;https://www.ofgem.gov.uk/fits&gt;</w:t>
      </w:r>
    </w:p>
  </w:footnote>
  <w:footnote w:id="11">
    <w:p w14:paraId="43F4DD0C" w14:textId="01C8B67D" w:rsidR="005E1443" w:rsidRDefault="005E1443">
      <w:pPr>
        <w:pStyle w:val="FootnoteText"/>
      </w:pPr>
      <w:r w:rsidRPr="00C64B66">
        <w:rPr>
          <w:rStyle w:val="FootnoteReference"/>
        </w:rPr>
        <w:footnoteRef/>
      </w:r>
      <w:r w:rsidRPr="00C64B66">
        <w:t xml:space="preserve"> </w:t>
      </w:r>
      <w:hyperlink r:id="rId6" w:history="1">
        <w:r w:rsidRPr="003B35B0">
          <w:rPr>
            <w:rStyle w:val="Hyperlink"/>
            <w:sz w:val="16"/>
            <w:szCs w:val="16"/>
          </w:rPr>
          <w:t>Link to information on the CfD scheme</w:t>
        </w:r>
      </w:hyperlink>
      <w:r w:rsidRPr="003B35B0">
        <w:rPr>
          <w:sz w:val="16"/>
          <w:szCs w:val="16"/>
        </w:rPr>
        <w:t>: &lt;https://www.lowcarboncontracts.uk/contracts-for-difference-cfd&gt;</w:t>
      </w:r>
    </w:p>
  </w:footnote>
  <w:footnote w:id="12">
    <w:p w14:paraId="2D95F65F" w14:textId="77777777" w:rsidR="00036F46" w:rsidRDefault="00036F46" w:rsidP="00036F46">
      <w:pPr>
        <w:pStyle w:val="FootnoteText"/>
      </w:pPr>
      <w:r w:rsidRPr="003B35B0">
        <w:rPr>
          <w:rStyle w:val="FootnoteReference"/>
        </w:rPr>
        <w:footnoteRef/>
      </w:r>
      <w:r w:rsidRPr="008F15D5">
        <w:rPr>
          <w:sz w:val="16"/>
          <w:szCs w:val="16"/>
        </w:rPr>
        <w:t xml:space="preserve"> </w:t>
      </w:r>
      <w:r>
        <w:rPr>
          <w:sz w:val="16"/>
          <w:szCs w:val="16"/>
        </w:rPr>
        <w:t>In GB, w</w:t>
      </w:r>
      <w:r w:rsidRPr="008F15D5">
        <w:rPr>
          <w:sz w:val="16"/>
          <w:szCs w:val="16"/>
        </w:rPr>
        <w:t xml:space="preserve">ind, solar PV, hydro and anaerobic digestion (AD) stations with a DNC of 50kW or less (micro generators) </w:t>
      </w:r>
      <w:r>
        <w:rPr>
          <w:sz w:val="16"/>
          <w:szCs w:val="16"/>
        </w:rPr>
        <w:t>are ineligible under the RO and are supported through the FIT scheme</w:t>
      </w:r>
      <w:r w:rsidRPr="008F15D5">
        <w:rPr>
          <w:sz w:val="16"/>
          <w:szCs w:val="16"/>
        </w:rPr>
        <w:t xml:space="preserve">. </w:t>
      </w:r>
      <w:r>
        <w:rPr>
          <w:sz w:val="16"/>
          <w:szCs w:val="16"/>
        </w:rPr>
        <w:t>The</w:t>
      </w:r>
      <w:r w:rsidRPr="008F15D5">
        <w:rPr>
          <w:sz w:val="16"/>
          <w:szCs w:val="16"/>
        </w:rPr>
        <w:t xml:space="preserve"> FIT scheme </w:t>
      </w:r>
      <w:r>
        <w:rPr>
          <w:sz w:val="16"/>
          <w:szCs w:val="16"/>
        </w:rPr>
        <w:t xml:space="preserve">does not </w:t>
      </w:r>
      <w:r w:rsidRPr="008F15D5">
        <w:rPr>
          <w:sz w:val="16"/>
          <w:szCs w:val="16"/>
        </w:rPr>
        <w:t>exist in NI</w:t>
      </w:r>
      <w:r>
        <w:rPr>
          <w:sz w:val="16"/>
          <w:szCs w:val="16"/>
        </w:rPr>
        <w:t xml:space="preserve"> where</w:t>
      </w:r>
      <w:r w:rsidRPr="008F15D5">
        <w:rPr>
          <w:sz w:val="16"/>
          <w:szCs w:val="16"/>
        </w:rPr>
        <w:t xml:space="preserve"> micro generators </w:t>
      </w:r>
      <w:r>
        <w:rPr>
          <w:sz w:val="16"/>
          <w:szCs w:val="16"/>
        </w:rPr>
        <w:t>are supported</w:t>
      </w:r>
      <w:r w:rsidRPr="008F15D5">
        <w:rPr>
          <w:sz w:val="16"/>
          <w:szCs w:val="16"/>
        </w:rPr>
        <w:t xml:space="preserve"> under the NIRO.</w:t>
      </w:r>
    </w:p>
  </w:footnote>
  <w:footnote w:id="13">
    <w:p w14:paraId="1E3AEA3A" w14:textId="77777777" w:rsidR="004A396C" w:rsidRPr="00714082" w:rsidRDefault="004A396C" w:rsidP="00C44A07">
      <w:pPr>
        <w:pStyle w:val="FootnoteText"/>
        <w:rPr>
          <w:sz w:val="16"/>
          <w:szCs w:val="16"/>
        </w:rPr>
      </w:pPr>
      <w:r w:rsidRPr="003C2DE0">
        <w:rPr>
          <w:rStyle w:val="FootnoteReference"/>
          <w:rFonts w:eastAsiaTheme="majorEastAsia"/>
        </w:rPr>
        <w:footnoteRef/>
      </w:r>
      <w:r w:rsidRPr="001B0F5C">
        <w:rPr>
          <w:sz w:val="16"/>
          <w:szCs w:val="16"/>
        </w:rPr>
        <w:t xml:space="preserve"> Article</w:t>
      </w:r>
      <w:r w:rsidRPr="000371B8">
        <w:rPr>
          <w:sz w:val="18"/>
          <w:szCs w:val="18"/>
        </w:rPr>
        <w:t xml:space="preserve"> </w:t>
      </w:r>
      <w:r w:rsidRPr="00714082">
        <w:rPr>
          <w:sz w:val="16"/>
          <w:szCs w:val="16"/>
        </w:rPr>
        <w:t>25 of the RO, 41A of the ROS and article 37A of the NIRO</w:t>
      </w:r>
    </w:p>
  </w:footnote>
  <w:footnote w:id="14">
    <w:p w14:paraId="2B886796" w14:textId="5A48C1E2" w:rsidR="004A396C" w:rsidRDefault="004A396C" w:rsidP="00382E03">
      <w:pPr>
        <w:pStyle w:val="footnotedescription"/>
        <w:spacing w:after="31"/>
        <w:ind w:left="0"/>
      </w:pPr>
      <w:r w:rsidRPr="000371B8">
        <w:rPr>
          <w:rStyle w:val="footnotemark"/>
          <w:color w:val="auto"/>
          <w:u w:val="none"/>
        </w:rPr>
        <w:footnoteRef/>
      </w:r>
      <w:r w:rsidRPr="000371B8">
        <w:rPr>
          <w:color w:val="auto"/>
          <w:u w:val="none"/>
        </w:rPr>
        <w:t xml:space="preserve"> </w:t>
      </w:r>
      <w:r w:rsidRPr="003B35B0">
        <w:rPr>
          <w:color w:val="auto"/>
          <w:u w:val="none" w:color="000000"/>
        </w:rPr>
        <w:t>For biogas, please refer to the parts of the chapter covering gasification and anaerobic digestion.</w:t>
      </w:r>
    </w:p>
  </w:footnote>
  <w:footnote w:id="15">
    <w:p w14:paraId="2AFAA15D" w14:textId="7F22161A" w:rsidR="004A396C" w:rsidRPr="003B35B0" w:rsidRDefault="004A396C" w:rsidP="003B35B0">
      <w:pPr>
        <w:pStyle w:val="footnotedescription"/>
        <w:spacing w:after="0" w:line="257" w:lineRule="auto"/>
        <w:ind w:left="0"/>
        <w:rPr>
          <w:color w:val="auto"/>
        </w:rPr>
      </w:pPr>
      <w:r w:rsidRPr="003B35B0">
        <w:rPr>
          <w:rStyle w:val="footnotemark"/>
          <w:color w:val="auto"/>
          <w:szCs w:val="20"/>
          <w:u w:val="none"/>
        </w:rPr>
        <w:footnoteRef/>
      </w:r>
      <w:r w:rsidRPr="003B35B0">
        <w:rPr>
          <w:color w:val="auto"/>
          <w:u w:val="none"/>
        </w:rPr>
        <w:t xml:space="preserve"> </w:t>
      </w:r>
      <w:r w:rsidRPr="003B35B0">
        <w:rPr>
          <w:color w:val="auto"/>
          <w:szCs w:val="16"/>
          <w:u w:val="none" w:color="000000"/>
        </w:rPr>
        <w:t xml:space="preserve">Correct as of 1 </w:t>
      </w:r>
      <w:r w:rsidR="00E10A8A" w:rsidRPr="003B35B0">
        <w:rPr>
          <w:color w:val="auto"/>
          <w:szCs w:val="16"/>
          <w:u w:val="none" w:color="000000"/>
        </w:rPr>
        <w:t xml:space="preserve">March </w:t>
      </w:r>
      <w:r w:rsidRPr="003B35B0">
        <w:rPr>
          <w:color w:val="auto"/>
          <w:szCs w:val="16"/>
          <w:u w:val="none" w:color="000000"/>
        </w:rPr>
        <w:t>202</w:t>
      </w:r>
      <w:r w:rsidR="00E10A8A" w:rsidRPr="003B35B0">
        <w:rPr>
          <w:color w:val="auto"/>
          <w:szCs w:val="16"/>
          <w:u w:val="none" w:color="000000"/>
        </w:rPr>
        <w:t>2</w:t>
      </w:r>
      <w:r w:rsidRPr="003B35B0">
        <w:rPr>
          <w:color w:val="auto"/>
          <w:szCs w:val="16"/>
          <w:u w:val="none" w:color="000000"/>
        </w:rPr>
        <w:t>.</w:t>
      </w:r>
      <w:r w:rsidRPr="003B35B0">
        <w:rPr>
          <w:color w:val="auto"/>
          <w:u w:val="none" w:color="000000"/>
        </w:rPr>
        <w:t xml:space="preserve">  </w:t>
      </w:r>
    </w:p>
  </w:footnote>
  <w:footnote w:id="16">
    <w:p w14:paraId="3D1B9481" w14:textId="4F524B53" w:rsidR="004A396C" w:rsidRPr="000F22AA" w:rsidRDefault="004A396C" w:rsidP="003B35B0">
      <w:pPr>
        <w:pStyle w:val="footnotedescription"/>
        <w:spacing w:after="0" w:line="257" w:lineRule="auto"/>
        <w:ind w:left="0"/>
        <w:rPr>
          <w:szCs w:val="16"/>
        </w:rPr>
      </w:pPr>
      <w:r w:rsidRPr="003B35B0">
        <w:rPr>
          <w:rStyle w:val="footnotemark"/>
          <w:color w:val="auto"/>
          <w:szCs w:val="20"/>
          <w:u w:val="none"/>
        </w:rPr>
        <w:footnoteRef/>
      </w:r>
      <w:r w:rsidRPr="003B35B0">
        <w:rPr>
          <w:color w:val="auto"/>
          <w:u w:val="none"/>
        </w:rPr>
        <w:t xml:space="preserve"> </w:t>
      </w:r>
      <w:r w:rsidRPr="003B35B0">
        <w:rPr>
          <w:color w:val="auto"/>
          <w:u w:val="none" w:color="000000"/>
        </w:rPr>
        <w:t xml:space="preserve">The 2018-19 and 2019-20 Biomass Sustainability Datasets and Annual Reports have been utilised for comparison purposes only and may not contain information for stations that were granted accreditation after the reports were </w:t>
      </w:r>
      <w:r w:rsidR="008F7DA9" w:rsidRPr="000F22AA">
        <w:rPr>
          <w:color w:val="auto"/>
          <w:szCs w:val="16"/>
          <w:u w:val="none" w:color="000000"/>
        </w:rPr>
        <w:t>written</w:t>
      </w:r>
      <w:r w:rsidRPr="003B35B0">
        <w:rPr>
          <w:color w:val="auto"/>
          <w:u w:val="none" w:color="000000"/>
        </w:rPr>
        <w:t xml:space="preserve">.  </w:t>
      </w:r>
    </w:p>
  </w:footnote>
  <w:footnote w:id="17">
    <w:p w14:paraId="661CDDC2" w14:textId="77777777" w:rsidR="004A396C" w:rsidRPr="00F25AF8" w:rsidRDefault="004A396C" w:rsidP="003B35B0">
      <w:pPr>
        <w:pStyle w:val="footnotedescription"/>
        <w:spacing w:after="0" w:line="257" w:lineRule="auto"/>
        <w:ind w:left="0"/>
        <w:rPr>
          <w:color w:val="262626"/>
          <w:szCs w:val="16"/>
          <w:u w:val="none" w:color="000000"/>
        </w:rPr>
      </w:pPr>
      <w:r w:rsidRPr="003B35B0">
        <w:rPr>
          <w:rStyle w:val="footnotemark"/>
          <w:color w:val="auto"/>
          <w:szCs w:val="20"/>
          <w:u w:val="none"/>
        </w:rPr>
        <w:footnoteRef/>
      </w:r>
      <w:r w:rsidRPr="003B35B0">
        <w:rPr>
          <w:color w:val="auto"/>
          <w:u w:val="none"/>
        </w:rPr>
        <w:t xml:space="preserve"> </w:t>
      </w:r>
      <w:r w:rsidRPr="008F7DA9">
        <w:rPr>
          <w:szCs w:val="16"/>
        </w:rPr>
        <w:t xml:space="preserve">See our ‘Annual </w:t>
      </w:r>
      <w:hyperlink r:id="rId7" w:history="1">
        <w:r w:rsidRPr="008F7DA9">
          <w:rPr>
            <w:rStyle w:val="Hyperlink"/>
            <w:szCs w:val="16"/>
          </w:rPr>
          <w:t>Report 2018-19’ here</w:t>
        </w:r>
      </w:hyperlink>
      <w:r w:rsidRPr="008F7DA9">
        <w:rPr>
          <w:szCs w:val="16"/>
        </w:rPr>
        <w:t>:</w:t>
      </w:r>
      <w:r w:rsidRPr="000F22AA">
        <w:rPr>
          <w:color w:val="262626"/>
          <w:szCs w:val="16"/>
          <w:u w:val="none" w:color="000000"/>
        </w:rPr>
        <w:t xml:space="preserve"> </w:t>
      </w:r>
    </w:p>
    <w:p w14:paraId="7C74492B" w14:textId="77777777" w:rsidR="004A396C" w:rsidRPr="003B35B0" w:rsidRDefault="004A396C" w:rsidP="003B35B0">
      <w:pPr>
        <w:pStyle w:val="footnotedescription"/>
        <w:spacing w:after="0" w:line="257" w:lineRule="auto"/>
        <w:ind w:left="0"/>
        <w:rPr>
          <w:color w:val="auto"/>
          <w:u w:val="none" w:color="000000"/>
        </w:rPr>
      </w:pPr>
      <w:r w:rsidRPr="003B35B0">
        <w:rPr>
          <w:color w:val="auto"/>
          <w:u w:val="none" w:color="000000"/>
        </w:rPr>
        <w:t xml:space="preserve">&lt;https://www.ofgem.gov.uk/publications/renewables-obligation-ro-annual-report-2018-19&gt; </w:t>
      </w:r>
    </w:p>
  </w:footnote>
  <w:footnote w:id="18">
    <w:p w14:paraId="1427F3D4" w14:textId="37E2216E" w:rsidR="004A396C" w:rsidRPr="00F25AF8" w:rsidRDefault="004A396C" w:rsidP="003B35B0">
      <w:pPr>
        <w:pStyle w:val="footnotedescription"/>
        <w:spacing w:after="0" w:line="257" w:lineRule="auto"/>
        <w:ind w:left="0"/>
        <w:rPr>
          <w:color w:val="262626"/>
          <w:szCs w:val="16"/>
          <w:u w:val="none" w:color="000000"/>
        </w:rPr>
      </w:pPr>
      <w:r w:rsidRPr="003B35B0">
        <w:rPr>
          <w:rStyle w:val="footnotemark"/>
          <w:color w:val="auto"/>
          <w:szCs w:val="20"/>
          <w:u w:val="none"/>
        </w:rPr>
        <w:footnoteRef/>
      </w:r>
      <w:r w:rsidRPr="000F22AA">
        <w:rPr>
          <w:szCs w:val="16"/>
          <w:u w:val="none"/>
        </w:rPr>
        <w:t xml:space="preserve"> </w:t>
      </w:r>
      <w:hyperlink r:id="rId8" w:history="1">
        <w:r w:rsidRPr="00A525AE">
          <w:rPr>
            <w:rStyle w:val="Hyperlink"/>
            <w:szCs w:val="16"/>
          </w:rPr>
          <w:t>See our ‘Annual Report 2019-20’ here:</w:t>
        </w:r>
      </w:hyperlink>
      <w:r w:rsidRPr="000F22AA">
        <w:rPr>
          <w:color w:val="262626"/>
          <w:szCs w:val="16"/>
          <w:u w:val="none" w:color="000000"/>
        </w:rPr>
        <w:t xml:space="preserve"> </w:t>
      </w:r>
    </w:p>
    <w:p w14:paraId="5BC1D392" w14:textId="77777777" w:rsidR="004A396C" w:rsidRPr="000F22AA" w:rsidRDefault="004A396C" w:rsidP="003B35B0">
      <w:pPr>
        <w:pStyle w:val="footnotedescription"/>
        <w:spacing w:after="0" w:line="257" w:lineRule="auto"/>
        <w:ind w:left="0"/>
        <w:rPr>
          <w:color w:val="262626"/>
          <w:szCs w:val="16"/>
          <w:u w:val="none" w:color="000000"/>
        </w:rPr>
      </w:pPr>
      <w:r w:rsidRPr="003B35B0">
        <w:rPr>
          <w:color w:val="auto"/>
          <w:u w:val="none" w:color="000000"/>
        </w:rPr>
        <w:t>&lt;https://www.ofgem.gov.uk/publications/renewables-obligation-ro-annual-report-2019-20&gt;</w:t>
      </w:r>
    </w:p>
  </w:footnote>
  <w:footnote w:id="19">
    <w:p w14:paraId="35DE73C9" w14:textId="77777777" w:rsidR="004A396C" w:rsidRPr="00F25AF8" w:rsidRDefault="004A396C" w:rsidP="003B35B0">
      <w:pPr>
        <w:pStyle w:val="footnotedescription"/>
        <w:spacing w:after="0" w:line="257" w:lineRule="auto"/>
        <w:ind w:left="0"/>
        <w:rPr>
          <w:color w:val="262626"/>
          <w:szCs w:val="16"/>
          <w:u w:val="none" w:color="000000"/>
        </w:rPr>
      </w:pPr>
      <w:r w:rsidRPr="003B35B0">
        <w:rPr>
          <w:rStyle w:val="footnotemark"/>
          <w:color w:val="auto"/>
          <w:szCs w:val="20"/>
          <w:u w:val="none"/>
        </w:rPr>
        <w:footnoteRef/>
      </w:r>
      <w:r w:rsidRPr="000F22AA">
        <w:rPr>
          <w:szCs w:val="16"/>
          <w:u w:val="none"/>
        </w:rPr>
        <w:t xml:space="preserve"> </w:t>
      </w:r>
      <w:hyperlink r:id="rId9" w:history="1">
        <w:r w:rsidRPr="008F7DA9">
          <w:rPr>
            <w:rStyle w:val="Hyperlink"/>
            <w:szCs w:val="16"/>
          </w:rPr>
          <w:t>See our ‘2018-19 Biomass Sustainability Dataset’ here:</w:t>
        </w:r>
      </w:hyperlink>
      <w:r w:rsidRPr="000F22AA">
        <w:rPr>
          <w:color w:val="262626"/>
          <w:szCs w:val="16"/>
          <w:u w:val="none" w:color="000000"/>
        </w:rPr>
        <w:t xml:space="preserve"> </w:t>
      </w:r>
    </w:p>
    <w:p w14:paraId="320CC781" w14:textId="324B1C00" w:rsidR="004A396C" w:rsidRPr="003B35B0" w:rsidRDefault="004A396C" w:rsidP="003B35B0">
      <w:pPr>
        <w:pStyle w:val="footnotedescription"/>
        <w:spacing w:after="0" w:line="257" w:lineRule="auto"/>
        <w:ind w:left="0"/>
        <w:rPr>
          <w:color w:val="auto"/>
          <w:u w:val="none" w:color="000000"/>
        </w:rPr>
      </w:pPr>
      <w:r w:rsidRPr="003B35B0">
        <w:rPr>
          <w:color w:val="auto"/>
          <w:u w:val="none" w:color="000000"/>
        </w:rPr>
        <w:t>&lt;https://www.ofgem.gov.uk/publications/biomass-sustainability-dataset-2018-19</w:t>
      </w:r>
      <w:r w:rsidRPr="000F22AA">
        <w:rPr>
          <w:color w:val="auto"/>
          <w:szCs w:val="16"/>
          <w:u w:val="none" w:color="000000"/>
        </w:rPr>
        <w:t xml:space="preserve">&gt; </w:t>
      </w:r>
      <w:r w:rsidRPr="003B35B0">
        <w:rPr>
          <w:color w:val="auto"/>
          <w:u w:val="none" w:color="000000"/>
        </w:rPr>
        <w:t>and</w:t>
      </w:r>
    </w:p>
    <w:p w14:paraId="2F4E5F67" w14:textId="0DBB29E5" w:rsidR="004A396C" w:rsidRPr="00F25AF8" w:rsidRDefault="00482956" w:rsidP="003B35B0">
      <w:pPr>
        <w:pStyle w:val="footnotedescription"/>
        <w:spacing w:after="0" w:line="257" w:lineRule="auto"/>
        <w:ind w:left="0"/>
        <w:rPr>
          <w:color w:val="262626"/>
          <w:szCs w:val="16"/>
          <w:u w:val="none" w:color="000000"/>
        </w:rPr>
      </w:pPr>
      <w:hyperlink r:id="rId10" w:history="1">
        <w:r w:rsidR="004A396C" w:rsidRPr="008F7DA9">
          <w:rPr>
            <w:rStyle w:val="Hyperlink"/>
            <w:szCs w:val="16"/>
          </w:rPr>
          <w:t>see our ‘2019-20</w:t>
        </w:r>
        <w:r w:rsidR="00C64B66">
          <w:rPr>
            <w:rStyle w:val="Hyperlink"/>
            <w:szCs w:val="16"/>
          </w:rPr>
          <w:t xml:space="preserve"> </w:t>
        </w:r>
        <w:r w:rsidR="004A396C" w:rsidRPr="008F7DA9">
          <w:rPr>
            <w:rStyle w:val="Hyperlink"/>
            <w:szCs w:val="16"/>
          </w:rPr>
          <w:t>Biomass Sustainability Dataset’ here:</w:t>
        </w:r>
      </w:hyperlink>
      <w:r w:rsidR="004A396C" w:rsidRPr="000F22AA">
        <w:rPr>
          <w:color w:val="262626"/>
          <w:szCs w:val="16"/>
          <w:u w:val="none" w:color="000000"/>
        </w:rPr>
        <w:t xml:space="preserve"> </w:t>
      </w:r>
    </w:p>
    <w:p w14:paraId="6CAECD74" w14:textId="77777777" w:rsidR="004A396C" w:rsidRPr="00FD5AEA" w:rsidRDefault="004A396C" w:rsidP="003B35B0">
      <w:pPr>
        <w:pStyle w:val="footnotedescription"/>
        <w:spacing w:after="0" w:line="257" w:lineRule="auto"/>
        <w:ind w:left="0"/>
        <w:rPr>
          <w:color w:val="262626"/>
          <w:u w:val="none" w:color="000000"/>
        </w:rPr>
      </w:pPr>
      <w:r w:rsidRPr="003B35B0">
        <w:rPr>
          <w:color w:val="auto"/>
          <w:u w:val="none" w:color="000000"/>
        </w:rPr>
        <w:t>&lt;https://www.ofgem.gov.uk/publications/biomass-sustainability-dataset-2019-20&gt;</w:t>
      </w:r>
    </w:p>
  </w:footnote>
  <w:footnote w:id="20">
    <w:p w14:paraId="04BF5789" w14:textId="651CE1F3" w:rsidR="004A396C" w:rsidRPr="000371B8" w:rsidRDefault="004A396C" w:rsidP="005E04E9">
      <w:pPr>
        <w:pStyle w:val="footnotedescription"/>
        <w:spacing w:after="46" w:line="276" w:lineRule="auto"/>
        <w:rPr>
          <w:color w:val="auto"/>
          <w:u w:val="none" w:color="000000"/>
        </w:rPr>
      </w:pPr>
      <w:r w:rsidRPr="000371B8">
        <w:rPr>
          <w:rStyle w:val="footnotemark"/>
          <w:color w:val="auto"/>
          <w:szCs w:val="20"/>
          <w:u w:val="none"/>
        </w:rPr>
        <w:footnoteRef/>
      </w:r>
      <w:r w:rsidRPr="000371B8">
        <w:rPr>
          <w:color w:val="auto"/>
          <w:u w:val="none"/>
        </w:rPr>
        <w:t xml:space="preserve"> </w:t>
      </w:r>
      <w:hyperlink r:id="rId11" w:history="1">
        <w:r w:rsidR="00C64B66">
          <w:rPr>
            <w:rStyle w:val="Hyperlink"/>
            <w:u w:color="000000"/>
          </w:rPr>
          <w:t xml:space="preserve">Link to </w:t>
        </w:r>
        <w:r w:rsidRPr="005131C0">
          <w:rPr>
            <w:rStyle w:val="Hyperlink"/>
            <w:u w:color="000000"/>
          </w:rPr>
          <w:t>Sustainability Criteria Guidance:</w:t>
        </w:r>
      </w:hyperlink>
      <w:r w:rsidRPr="001E2A5B">
        <w:rPr>
          <w:color w:val="262626"/>
          <w:u w:val="none" w:color="000000"/>
        </w:rPr>
        <w:t xml:space="preserve"> </w:t>
      </w:r>
      <w:r w:rsidRPr="000371B8">
        <w:rPr>
          <w:color w:val="auto"/>
          <w:u w:val="none" w:color="000000"/>
        </w:rPr>
        <w:t>&lt;</w:t>
      </w:r>
      <w:r w:rsidRPr="000371B8">
        <w:rPr>
          <w:color w:val="auto"/>
          <w:u w:val="none"/>
        </w:rPr>
        <w:t xml:space="preserve">https://www.ofgem.gov.uk/publications-and-updates/renewables-obligation-sustainability-criteria&gt; </w:t>
      </w:r>
      <w:r w:rsidRPr="000371B8">
        <w:rPr>
          <w:color w:val="auto"/>
          <w:u w:val="none" w:color="000000"/>
        </w:rPr>
        <w:t>and</w:t>
      </w:r>
      <w:r>
        <w:rPr>
          <w:color w:val="262626"/>
          <w:u w:val="none" w:color="000000"/>
        </w:rPr>
        <w:t xml:space="preserve"> </w:t>
      </w:r>
      <w:hyperlink r:id="rId12" w:history="1">
        <w:r w:rsidR="00C64B66">
          <w:rPr>
            <w:rStyle w:val="Hyperlink"/>
            <w:u w:color="000000"/>
          </w:rPr>
          <w:t xml:space="preserve">Link to </w:t>
        </w:r>
        <w:r w:rsidRPr="005131C0">
          <w:rPr>
            <w:rStyle w:val="Hyperlink"/>
            <w:u w:color="000000"/>
          </w:rPr>
          <w:t>Sustainability Reporting Guidance:</w:t>
        </w:r>
      </w:hyperlink>
      <w:r>
        <w:rPr>
          <w:color w:val="262626"/>
          <w:u w:val="none" w:color="000000"/>
        </w:rPr>
        <w:t xml:space="preserve"> </w:t>
      </w:r>
      <w:r w:rsidRPr="000371B8">
        <w:rPr>
          <w:color w:val="auto"/>
          <w:u w:val="none" w:color="000000"/>
        </w:rPr>
        <w:t>&lt;</w:t>
      </w:r>
      <w:r w:rsidRPr="000371B8">
        <w:rPr>
          <w:color w:val="auto"/>
          <w:u w:val="none"/>
        </w:rPr>
        <w:t>https://www.ofgem.gov.uk/publications-and-updates/renewables-obligation-sustainability-reporting&gt;</w:t>
      </w:r>
    </w:p>
  </w:footnote>
  <w:footnote w:id="21">
    <w:p w14:paraId="20D7D2D6" w14:textId="7CD615FD" w:rsidR="004A396C" w:rsidRPr="003B35B0" w:rsidRDefault="004A396C" w:rsidP="003B35B0">
      <w:pPr>
        <w:pStyle w:val="footnotedescription"/>
        <w:spacing w:after="0" w:line="240" w:lineRule="auto"/>
        <w:ind w:left="28"/>
        <w:rPr>
          <w:color w:val="auto"/>
          <w:u w:val="none" w:color="000000"/>
        </w:rPr>
      </w:pPr>
      <w:r w:rsidRPr="003B35B0">
        <w:rPr>
          <w:rStyle w:val="footnotemark"/>
          <w:color w:val="auto"/>
          <w:u w:val="none"/>
        </w:rPr>
        <w:footnoteRef/>
      </w:r>
      <w:r w:rsidRPr="003B35B0">
        <w:rPr>
          <w:color w:val="auto"/>
          <w:u w:val="none"/>
        </w:rPr>
        <w:t xml:space="preserve"> </w:t>
      </w:r>
      <w:r w:rsidRPr="003B35B0">
        <w:rPr>
          <w:color w:val="auto"/>
          <w:u w:val="none" w:color="000000"/>
        </w:rPr>
        <w:t>Where we refer to a consignment in the context of stations greater than or equal to 1</w:t>
      </w:r>
      <w:r w:rsidR="00032947">
        <w:rPr>
          <w:color w:val="auto"/>
          <w:u w:val="none" w:color="000000"/>
        </w:rPr>
        <w:t xml:space="preserve"> </w:t>
      </w:r>
      <w:r w:rsidRPr="003B35B0">
        <w:rPr>
          <w:color w:val="auto"/>
          <w:u w:val="none" w:color="000000"/>
        </w:rPr>
        <w:t>MW, this refers to a single consignment submission for one month. For stations less than 1</w:t>
      </w:r>
      <w:r w:rsidR="00032947">
        <w:rPr>
          <w:color w:val="auto"/>
          <w:u w:val="none" w:color="000000"/>
        </w:rPr>
        <w:t xml:space="preserve"> </w:t>
      </w:r>
      <w:r w:rsidRPr="003B35B0">
        <w:rPr>
          <w:color w:val="auto"/>
          <w:u w:val="none" w:color="000000"/>
        </w:rPr>
        <w:t>MW, this is just reported once in the year.</w:t>
      </w:r>
    </w:p>
  </w:footnote>
  <w:footnote w:id="22">
    <w:p w14:paraId="33E5F824" w14:textId="4819ACD0" w:rsidR="004A396C" w:rsidRPr="003B35B0" w:rsidRDefault="004A396C" w:rsidP="003B35B0">
      <w:pPr>
        <w:pStyle w:val="footnotedescription"/>
        <w:spacing w:after="0" w:line="240" w:lineRule="auto"/>
        <w:rPr>
          <w:color w:val="auto"/>
          <w:u w:val="none" w:color="000000"/>
        </w:rPr>
      </w:pPr>
      <w:r w:rsidRPr="003B35B0">
        <w:rPr>
          <w:rStyle w:val="footnotemark"/>
          <w:color w:val="auto"/>
          <w:u w:val="none"/>
        </w:rPr>
        <w:footnoteRef/>
      </w:r>
      <w:r w:rsidRPr="003B35B0">
        <w:rPr>
          <w:color w:val="auto"/>
          <w:u w:val="none"/>
        </w:rPr>
        <w:t xml:space="preserve"> </w:t>
      </w:r>
      <w:r w:rsidRPr="003B35B0">
        <w:rPr>
          <w:color w:val="auto"/>
          <w:u w:val="none" w:color="000000"/>
        </w:rPr>
        <w:t xml:space="preserve">Consignments are split by capacity, as well as technology type, </w:t>
      </w:r>
      <w:r w:rsidR="00EC481A" w:rsidRPr="003B35B0">
        <w:rPr>
          <w:color w:val="auto"/>
          <w:u w:val="none" w:color="000000"/>
        </w:rPr>
        <w:t>to</w:t>
      </w:r>
      <w:r w:rsidRPr="003B35B0">
        <w:rPr>
          <w:color w:val="auto"/>
          <w:u w:val="none" w:color="000000"/>
        </w:rPr>
        <w:t xml:space="preserve"> differentiate between the different reporting requirements.</w:t>
      </w:r>
    </w:p>
  </w:footnote>
  <w:footnote w:id="23">
    <w:p w14:paraId="4663EDBC" w14:textId="3C1689EA" w:rsidR="002B175A" w:rsidRDefault="002B175A">
      <w:pPr>
        <w:pStyle w:val="FootnoteText"/>
      </w:pPr>
      <w:r>
        <w:rPr>
          <w:rStyle w:val="FootnoteReference"/>
        </w:rPr>
        <w:footnoteRef/>
      </w:r>
      <w:r>
        <w:t xml:space="preserve"> </w:t>
      </w:r>
      <w:r w:rsidRPr="00CD2B48">
        <w:rPr>
          <w:sz w:val="16"/>
          <w:szCs w:val="16"/>
        </w:rPr>
        <w:t>Solid biomass and biogas stations with a  TIC less than 1</w:t>
      </w:r>
      <w:r w:rsidR="00032947">
        <w:rPr>
          <w:sz w:val="16"/>
          <w:szCs w:val="16"/>
        </w:rPr>
        <w:t xml:space="preserve"> </w:t>
      </w:r>
      <w:r w:rsidRPr="00CD2B48">
        <w:rPr>
          <w:sz w:val="16"/>
          <w:szCs w:val="16"/>
        </w:rPr>
        <w:t>MW can report unknown as ROC issue is not linked to the sustainability criteria.</w:t>
      </w:r>
    </w:p>
  </w:footnote>
  <w:footnote w:id="24">
    <w:p w14:paraId="186D453D" w14:textId="77777777" w:rsidR="004A396C" w:rsidRPr="001E2A5B" w:rsidRDefault="004A396C" w:rsidP="003B35B0">
      <w:pPr>
        <w:pStyle w:val="footnotedescription"/>
        <w:spacing w:after="0" w:line="240" w:lineRule="auto"/>
        <w:rPr>
          <w:color w:val="262626"/>
          <w:u w:val="none" w:color="000000"/>
        </w:rPr>
      </w:pPr>
      <w:r w:rsidRPr="003B35B0">
        <w:rPr>
          <w:rStyle w:val="footnotemark"/>
          <w:color w:val="auto"/>
          <w:u w:val="none"/>
        </w:rPr>
        <w:footnoteRef/>
      </w:r>
      <w:r w:rsidRPr="003B35B0">
        <w:rPr>
          <w:color w:val="auto"/>
          <w:u w:val="none"/>
        </w:rPr>
        <w:t xml:space="preserve"> </w:t>
      </w:r>
      <w:r w:rsidRPr="003B35B0">
        <w:rPr>
          <w:color w:val="auto"/>
          <w:u w:val="none" w:color="000000"/>
        </w:rPr>
        <w:t>The fossil fuel comparator is specified in Paragraph 19, Annex V, Part C of the Renewable Electricity Directive as 91gCO2e/MJ.</w:t>
      </w:r>
    </w:p>
  </w:footnote>
  <w:footnote w:id="25">
    <w:p w14:paraId="24AFBE25" w14:textId="44A6A483" w:rsidR="002B175A" w:rsidRPr="003B35B0" w:rsidRDefault="002B175A" w:rsidP="003B35B0">
      <w:pPr>
        <w:spacing w:after="0" w:line="240" w:lineRule="auto"/>
        <w:ind w:right="8"/>
        <w:jc w:val="both"/>
        <w:rPr>
          <w:sz w:val="16"/>
          <w:szCs w:val="16"/>
        </w:rPr>
      </w:pPr>
      <w:r>
        <w:rPr>
          <w:rStyle w:val="FootnoteReference"/>
        </w:rPr>
        <w:footnoteRef/>
      </w:r>
      <w:r>
        <w:t xml:space="preserve"> </w:t>
      </w:r>
      <w:r w:rsidRPr="00B65CDA">
        <w:rPr>
          <w:sz w:val="16"/>
          <w:szCs w:val="16"/>
        </w:rPr>
        <w:t>For solid biomass and biogas stations, the GHG criteria can be met in one of two ways. Either the emission is less than the relevant target or it is based on an annual average rather than an individual consignment basis. This means that the GHG criteria is met if the GHG emissions from its use are less than or equal to the relevant ceiling and that in an obligation year, the average GHG emissions are less than or equal to the relevant target.</w:t>
      </w:r>
    </w:p>
  </w:footnote>
  <w:footnote w:id="26">
    <w:p w14:paraId="4AFA7D7E" w14:textId="7BFA0CA9" w:rsidR="002B175A" w:rsidRDefault="002B175A">
      <w:pPr>
        <w:pStyle w:val="FootnoteText"/>
      </w:pPr>
      <w:r>
        <w:rPr>
          <w:rStyle w:val="FootnoteReference"/>
        </w:rPr>
        <w:footnoteRef/>
      </w:r>
      <w:r>
        <w:t xml:space="preserve"> </w:t>
      </w:r>
      <w:r w:rsidRPr="003B35B0">
        <w:rPr>
          <w:rFonts w:eastAsia="Verdana" w:cs="Verdana"/>
          <w:sz w:val="16"/>
          <w:szCs w:val="22"/>
          <w:u w:color="000000"/>
          <w:lang w:eastAsia="en-US"/>
        </w:rPr>
        <w:t>From 1 January 2018, any consignment of bioliquid produced by an installation that first started producing liquid fuel from biomaterial before 6 October 2015 is required to meet the current GHG threshold of 50%. Any consignment of bioliquid produced by an installation that first started producing liquid fuel from biomaterial on or after 6 October 2015 is required to meet a GHG threshold of 60%.</w:t>
      </w:r>
    </w:p>
  </w:footnote>
  <w:footnote w:id="27">
    <w:p w14:paraId="7DBC14C8" w14:textId="77777777" w:rsidR="004A396C" w:rsidRPr="00727BC7" w:rsidRDefault="004A396C" w:rsidP="003B35B0">
      <w:pPr>
        <w:pStyle w:val="footnotedescription"/>
        <w:spacing w:after="0" w:line="240" w:lineRule="auto"/>
        <w:rPr>
          <w:color w:val="auto"/>
          <w:u w:val="none" w:color="000000"/>
        </w:rPr>
      </w:pPr>
      <w:r w:rsidRPr="00727BC7">
        <w:rPr>
          <w:rStyle w:val="footnotemark"/>
          <w:color w:val="auto"/>
          <w:u w:val="none"/>
        </w:rPr>
        <w:footnoteRef/>
      </w:r>
      <w:r w:rsidRPr="00727BC7">
        <w:rPr>
          <w:color w:val="auto"/>
          <w:u w:val="none"/>
        </w:rPr>
        <w:t xml:space="preserve"> </w:t>
      </w:r>
      <w:r w:rsidRPr="00727BC7">
        <w:rPr>
          <w:color w:val="auto"/>
          <w:u w:val="none" w:color="000000"/>
        </w:rPr>
        <w:t>Gasification converts fuel into a synthetic gas by partial combustion. This can then be used in a generating station. ‘Gasification’ is defined in Article 2 of the ROO (as amended), ROS 2009 (as amended) and NIRO 2009 (as amended).</w:t>
      </w:r>
    </w:p>
  </w:footnote>
  <w:footnote w:id="28">
    <w:p w14:paraId="337628DB" w14:textId="6CEFB003" w:rsidR="004A396C" w:rsidRPr="00727BC7" w:rsidRDefault="004A396C" w:rsidP="003B35B0">
      <w:pPr>
        <w:pStyle w:val="footnotedescription"/>
        <w:spacing w:after="0" w:line="240" w:lineRule="auto"/>
        <w:rPr>
          <w:color w:val="auto"/>
          <w:u w:val="none" w:color="000000"/>
        </w:rPr>
      </w:pPr>
      <w:r w:rsidRPr="00727BC7">
        <w:rPr>
          <w:rStyle w:val="footnotemark"/>
          <w:color w:val="auto"/>
          <w:u w:val="none"/>
        </w:rPr>
        <w:footnoteRef/>
      </w:r>
      <w:r w:rsidRPr="00727BC7">
        <w:rPr>
          <w:color w:val="auto"/>
          <w:u w:val="none"/>
        </w:rPr>
        <w:t xml:space="preserve"> </w:t>
      </w:r>
      <w:r w:rsidRPr="00727BC7">
        <w:rPr>
          <w:color w:val="auto"/>
          <w:u w:val="none" w:color="000000"/>
        </w:rPr>
        <w:t>Syngas or synthetic gas</w:t>
      </w:r>
      <w:r w:rsidR="00450B49">
        <w:rPr>
          <w:color w:val="auto"/>
          <w:u w:val="none" w:color="000000"/>
        </w:rPr>
        <w:t xml:space="preserve"> is</w:t>
      </w:r>
      <w:r w:rsidRPr="00727BC7">
        <w:rPr>
          <w:color w:val="auto"/>
          <w:u w:val="none" w:color="000000"/>
        </w:rPr>
        <w:t xml:space="preserve"> produced from gasification</w:t>
      </w:r>
      <w:r w:rsidRPr="005E04E9">
        <w:rPr>
          <w:color w:val="auto"/>
          <w:u w:val="none" w:color="000000"/>
        </w:rPr>
        <w:t xml:space="preserve"> and is a form of biogas</w:t>
      </w:r>
      <w:r w:rsidRPr="00727BC7">
        <w:rPr>
          <w:color w:val="auto"/>
          <w:u w:val="none" w:color="000000"/>
        </w:rPr>
        <w:t>.</w:t>
      </w:r>
    </w:p>
  </w:footnote>
  <w:footnote w:id="29">
    <w:p w14:paraId="46DE52A5" w14:textId="77777777" w:rsidR="004A396C" w:rsidRPr="00727BC7" w:rsidRDefault="004A396C" w:rsidP="003B35B0">
      <w:pPr>
        <w:pStyle w:val="footnotedescription"/>
        <w:spacing w:after="0" w:line="240" w:lineRule="auto"/>
        <w:rPr>
          <w:color w:val="auto"/>
          <w:u w:val="none" w:color="000000"/>
        </w:rPr>
      </w:pPr>
      <w:r w:rsidRPr="00727BC7">
        <w:rPr>
          <w:rStyle w:val="footnotemark"/>
          <w:color w:val="auto"/>
          <w:u w:val="none"/>
        </w:rPr>
        <w:footnoteRef/>
      </w:r>
      <w:r w:rsidRPr="00727BC7">
        <w:rPr>
          <w:color w:val="auto"/>
          <w:u w:val="none"/>
        </w:rPr>
        <w:t xml:space="preserve"> </w:t>
      </w:r>
      <w:r w:rsidRPr="00727BC7">
        <w:rPr>
          <w:color w:val="auto"/>
          <w:u w:val="none" w:color="000000"/>
        </w:rPr>
        <w:t>For consignments derived from waste, operators of generating stations do not need to complete the woody biomass section of the profiling data.</w:t>
      </w:r>
    </w:p>
  </w:footnote>
  <w:footnote w:id="30">
    <w:p w14:paraId="5A1550BE" w14:textId="77777777" w:rsidR="004A396C" w:rsidRPr="00727BC7" w:rsidRDefault="004A396C" w:rsidP="003B35B0">
      <w:pPr>
        <w:pStyle w:val="footnotedescription"/>
        <w:spacing w:after="0" w:line="240" w:lineRule="auto"/>
        <w:rPr>
          <w:color w:val="auto"/>
          <w:u w:val="none" w:color="000000"/>
        </w:rPr>
      </w:pPr>
      <w:r w:rsidRPr="00727BC7">
        <w:rPr>
          <w:rStyle w:val="footnotemark"/>
          <w:color w:val="auto"/>
          <w:u w:val="none"/>
        </w:rPr>
        <w:footnoteRef/>
      </w:r>
      <w:r w:rsidRPr="00727BC7">
        <w:rPr>
          <w:color w:val="auto"/>
          <w:u w:val="none"/>
        </w:rPr>
        <w:t xml:space="preserve"> </w:t>
      </w:r>
      <w:r w:rsidRPr="00727BC7">
        <w:rPr>
          <w:color w:val="auto"/>
          <w:u w:val="none" w:color="000000"/>
        </w:rPr>
        <w:t>There are a number of stations whose fuel measurement and sampling procedures do not require them to keep records of individual feedstocks, and so report a mixture on their profiling data.</w:t>
      </w:r>
    </w:p>
  </w:footnote>
  <w:footnote w:id="31">
    <w:p w14:paraId="7EC769D4" w14:textId="77777777" w:rsidR="004A396C" w:rsidRPr="00727BC7" w:rsidRDefault="004A396C">
      <w:pPr>
        <w:pStyle w:val="FootnoteText"/>
        <w:rPr>
          <w:sz w:val="16"/>
          <w:szCs w:val="16"/>
        </w:rPr>
      </w:pPr>
      <w:r w:rsidRPr="00313FA7">
        <w:rPr>
          <w:rStyle w:val="FootnoteReference"/>
        </w:rPr>
        <w:footnoteRef/>
      </w:r>
      <w:r w:rsidRPr="00313FA7">
        <w:t xml:space="preserve"> </w:t>
      </w:r>
      <w:r w:rsidRPr="00727BC7">
        <w:rPr>
          <w:sz w:val="16"/>
          <w:szCs w:val="16"/>
        </w:rPr>
        <w:t xml:space="preserve">Feedstock </w:t>
      </w:r>
      <w:r w:rsidRPr="00727BC7">
        <w:rPr>
          <w:rFonts w:eastAsia="Verdana" w:cs="Verdana"/>
          <w:sz w:val="16"/>
          <w:szCs w:val="22"/>
          <w:u w:color="000000"/>
          <w:lang w:eastAsia="en-US"/>
        </w:rPr>
        <w:t xml:space="preserve">made from green foliage crops which have been preserved </w:t>
      </w:r>
      <w:r>
        <w:rPr>
          <w:rFonts w:eastAsia="Verdana" w:cs="Verdana"/>
          <w:sz w:val="16"/>
          <w:szCs w:val="22"/>
          <w:u w:color="000000"/>
          <w:lang w:eastAsia="en-US"/>
        </w:rPr>
        <w:t>through a process of</w:t>
      </w:r>
      <w:r w:rsidRPr="002F5A05">
        <w:rPr>
          <w:rFonts w:eastAsia="Verdana" w:cs="Verdana"/>
          <w:sz w:val="16"/>
          <w:szCs w:val="22"/>
          <w:u w:color="000000"/>
          <w:lang w:eastAsia="en-US"/>
        </w:rPr>
        <w:t xml:space="preserve"> anaerobic fermentation</w:t>
      </w:r>
      <w:r>
        <w:rPr>
          <w:rFonts w:eastAsia="Verdana" w:cs="Verdana"/>
          <w:sz w:val="16"/>
          <w:szCs w:val="22"/>
          <w:u w:color="000000"/>
          <w:lang w:eastAsia="en-US"/>
        </w:rPr>
        <w:t>.</w:t>
      </w:r>
    </w:p>
  </w:footnote>
  <w:footnote w:id="32">
    <w:p w14:paraId="3BC6396C" w14:textId="77777777" w:rsidR="004A396C" w:rsidRDefault="004A396C" w:rsidP="00720253">
      <w:pPr>
        <w:pStyle w:val="FootnoteText"/>
        <w:rPr>
          <w:sz w:val="16"/>
          <w:szCs w:val="16"/>
        </w:rPr>
      </w:pPr>
      <w:r>
        <w:rPr>
          <w:rStyle w:val="FootnoteReference"/>
        </w:rPr>
        <w:footnoteRef/>
      </w:r>
      <w:r>
        <w:t xml:space="preserve"> </w:t>
      </w:r>
      <w:r>
        <w:rPr>
          <w:sz w:val="16"/>
          <w:szCs w:val="16"/>
        </w:rPr>
        <w:t>For the purposes of comparison with previous year’s datasets, consignments from the UK and ROI have been grouped.</w:t>
      </w:r>
    </w:p>
  </w:footnote>
  <w:footnote w:id="33">
    <w:p w14:paraId="570A181F" w14:textId="02539D00"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13" w:history="1">
        <w:r w:rsidRPr="00993232">
          <w:rPr>
            <w:rStyle w:val="Hyperlink"/>
            <w:rFonts w:cstheme="minorHAnsi"/>
            <w:sz w:val="16"/>
            <w:szCs w:val="16"/>
          </w:rPr>
          <w:t>Link to information on ROCs presented and redistribution of Buy-Out Fund 2020-21</w:t>
        </w:r>
      </w:hyperlink>
      <w:r>
        <w:rPr>
          <w:rFonts w:cstheme="minorHAnsi"/>
          <w:sz w:val="16"/>
          <w:szCs w:val="16"/>
        </w:rPr>
        <w:t xml:space="preserve">: </w:t>
      </w:r>
      <w:r w:rsidRPr="003B35B0">
        <w:rPr>
          <w:rStyle w:val="Hyperlink"/>
          <w:rFonts w:cstheme="minorHAnsi"/>
          <w:color w:val="000000" w:themeColor="text1"/>
          <w:sz w:val="16"/>
          <w:szCs w:val="16"/>
          <w:u w:val="none"/>
        </w:rPr>
        <w:t>&lt;</w:t>
      </w:r>
      <w:r w:rsidRPr="006B3AC6">
        <w:rPr>
          <w:rFonts w:cstheme="minorHAnsi"/>
          <w:sz w:val="16"/>
          <w:szCs w:val="16"/>
        </w:rPr>
        <w:t>https://www.ofgem.gov.uk/publications/renewables-obligation-rocs-presented-and-redistribution-buy-out-fund-2020-21&gt;</w:t>
      </w:r>
    </w:p>
  </w:footnote>
  <w:footnote w:id="34">
    <w:p w14:paraId="03B570EA"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Threshold to trigger mutualisation is £15.4m for England and Wales, and £1.54m for Scotland.</w:t>
      </w:r>
    </w:p>
  </w:footnote>
  <w:footnote w:id="35">
    <w:p w14:paraId="62B97C93" w14:textId="5212679B"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Articles 12 of the NIRO and ROS 2009 Orders and article 13 of the RO 2015 Order define the calculations</w:t>
      </w:r>
      <w:r w:rsidR="00450B49">
        <w:rPr>
          <w:rFonts w:cstheme="minorHAnsi"/>
          <w:sz w:val="16"/>
          <w:szCs w:val="16"/>
        </w:rPr>
        <w:t xml:space="preserve"> used</w:t>
      </w:r>
      <w:r w:rsidRPr="006B3AC6">
        <w:rPr>
          <w:rFonts w:cstheme="minorHAnsi"/>
          <w:sz w:val="16"/>
          <w:szCs w:val="16"/>
        </w:rPr>
        <w:t xml:space="preserve"> to set the obligation.</w:t>
      </w:r>
    </w:p>
  </w:footnote>
  <w:footnote w:id="36">
    <w:p w14:paraId="00ECFCC1" w14:textId="77777777" w:rsidR="004A396C" w:rsidRPr="006B3AC6" w:rsidRDefault="004A396C" w:rsidP="00A1389D">
      <w:pPr>
        <w:pStyle w:val="FootnoteText"/>
        <w:rPr>
          <w:rFonts w:cstheme="minorHAnsi"/>
          <w:sz w:val="16"/>
          <w:szCs w:val="16"/>
          <w:vertAlign w:val="superscript"/>
        </w:rPr>
      </w:pPr>
      <w:r w:rsidRPr="006B3AC6">
        <w:rPr>
          <w:rStyle w:val="FootnoteReference"/>
          <w:rFonts w:cstheme="minorHAnsi"/>
          <w:szCs w:val="16"/>
        </w:rPr>
        <w:footnoteRef/>
      </w:r>
      <w:r w:rsidRPr="006B3AC6">
        <w:rPr>
          <w:rFonts w:cstheme="minorHAnsi"/>
          <w:sz w:val="16"/>
          <w:szCs w:val="16"/>
        </w:rPr>
        <w:t xml:space="preserve"> </w:t>
      </w:r>
      <w:hyperlink r:id="rId14" w:history="1">
        <w:r w:rsidRPr="006B3AC6">
          <w:rPr>
            <w:rStyle w:val="Hyperlink"/>
            <w:rFonts w:cstheme="minorHAnsi"/>
            <w:sz w:val="16"/>
            <w:szCs w:val="16"/>
          </w:rPr>
          <w:t>Link to RO obligation level calculation for 2020-21:</w:t>
        </w:r>
      </w:hyperlink>
      <w:r w:rsidRPr="006B3AC6">
        <w:rPr>
          <w:rFonts w:cstheme="minorHAnsi"/>
          <w:sz w:val="16"/>
          <w:szCs w:val="16"/>
        </w:rPr>
        <w:t xml:space="preserve"> &lt;https://assets.publishing.service.gov.uk/government/uploads/system/uploads/attachment_data/file/834055/renewable-obligation-calculating-level-2020-2021.pdf&gt;</w:t>
      </w:r>
    </w:p>
  </w:footnote>
  <w:footnote w:id="37">
    <w:p w14:paraId="1EA93A6D"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Breakdown of RO jurisdiction is as follows: RO (England &amp; Wales), ROS (Scotland), and NIRO (Northern Ireland)</w:t>
      </w:r>
    </w:p>
  </w:footnote>
  <w:footnote w:id="38">
    <w:p w14:paraId="466A2398" w14:textId="48579EF4" w:rsidR="004A396C" w:rsidRPr="006B3AC6" w:rsidRDefault="004A396C" w:rsidP="006827D0">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Excluding </w:t>
      </w:r>
      <w:r w:rsidRPr="00D41289">
        <w:rPr>
          <w:rFonts w:cstheme="minorHAnsi"/>
          <w:sz w:val="16"/>
          <w:szCs w:val="16"/>
        </w:rPr>
        <w:t xml:space="preserve">8.81 </w:t>
      </w:r>
      <w:proofErr w:type="spellStart"/>
      <w:r w:rsidRPr="006B3AC6">
        <w:rPr>
          <w:rFonts w:cstheme="minorHAnsi"/>
          <w:sz w:val="16"/>
          <w:szCs w:val="16"/>
        </w:rPr>
        <w:t>TWh</w:t>
      </w:r>
      <w:proofErr w:type="spellEnd"/>
      <w:r w:rsidRPr="006B3AC6">
        <w:rPr>
          <w:rFonts w:cstheme="minorHAnsi"/>
          <w:sz w:val="16"/>
          <w:szCs w:val="16"/>
        </w:rPr>
        <w:t xml:space="preserve"> of electricity supplied to EIIs</w:t>
      </w:r>
      <w:r>
        <w:rPr>
          <w:rFonts w:cstheme="minorHAnsi"/>
          <w:sz w:val="16"/>
          <w:szCs w:val="16"/>
        </w:rPr>
        <w:t xml:space="preserve"> in GB</w:t>
      </w:r>
      <w:r w:rsidRPr="006B3AC6">
        <w:rPr>
          <w:rFonts w:cstheme="minorHAnsi"/>
          <w:sz w:val="16"/>
          <w:szCs w:val="16"/>
        </w:rPr>
        <w:t>, which is exempted from the RO.</w:t>
      </w:r>
      <w:r>
        <w:rPr>
          <w:rFonts w:cstheme="minorHAnsi"/>
          <w:sz w:val="16"/>
          <w:szCs w:val="16"/>
        </w:rPr>
        <w:t xml:space="preserve"> See paragraph 4.2</w:t>
      </w:r>
      <w:r w:rsidR="00417145">
        <w:rPr>
          <w:rFonts w:cstheme="minorHAnsi"/>
          <w:sz w:val="16"/>
          <w:szCs w:val="16"/>
        </w:rPr>
        <w:t>3</w:t>
      </w:r>
      <w:r>
        <w:rPr>
          <w:rFonts w:cstheme="minorHAnsi"/>
          <w:sz w:val="16"/>
          <w:szCs w:val="16"/>
        </w:rPr>
        <w:t xml:space="preserve"> for further information.</w:t>
      </w:r>
      <w:r w:rsidRPr="006B3AC6">
        <w:rPr>
          <w:rFonts w:cstheme="minorHAnsi"/>
          <w:sz w:val="16"/>
          <w:szCs w:val="16"/>
        </w:rPr>
        <w:t xml:space="preserve"> </w:t>
      </w:r>
    </w:p>
  </w:footnote>
  <w:footnote w:id="39">
    <w:p w14:paraId="394C50CD" w14:textId="2C33612D"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15" w:history="1">
        <w:r w:rsidR="00A525AE" w:rsidRPr="00A525AE">
          <w:rPr>
            <w:rStyle w:val="Hyperlink"/>
            <w:rFonts w:cstheme="minorHAnsi"/>
            <w:sz w:val="16"/>
            <w:szCs w:val="16"/>
          </w:rPr>
          <w:t>Link to information on RPI from the Office of National Statistics:</w:t>
        </w:r>
      </w:hyperlink>
      <w:r w:rsidRPr="006B3AC6">
        <w:rPr>
          <w:rFonts w:cstheme="minorHAnsi"/>
          <w:sz w:val="16"/>
          <w:szCs w:val="16"/>
        </w:rPr>
        <w:t xml:space="preserve"> &lt;</w:t>
      </w:r>
      <w:r w:rsidR="00A525AE" w:rsidRPr="00A525AE">
        <w:rPr>
          <w:rFonts w:cstheme="minorHAnsi"/>
          <w:sz w:val="16"/>
          <w:szCs w:val="16"/>
        </w:rPr>
        <w:t>https://www.ons.gov.uk/economy/inflationandpriceindices</w:t>
      </w:r>
      <w:r w:rsidRPr="006B3AC6">
        <w:rPr>
          <w:rFonts w:cstheme="minorHAnsi"/>
          <w:sz w:val="16"/>
          <w:szCs w:val="16"/>
        </w:rPr>
        <w:t>&gt;</w:t>
      </w:r>
    </w:p>
  </w:footnote>
  <w:footnote w:id="40">
    <w:p w14:paraId="29BD51E2"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16" w:history="1">
        <w:r w:rsidRPr="006B3AC6">
          <w:rPr>
            <w:rStyle w:val="Hyperlink"/>
            <w:rFonts w:cstheme="minorHAnsi"/>
            <w:sz w:val="16"/>
            <w:szCs w:val="16"/>
          </w:rPr>
          <w:t>Link to list of GB supply licences</w:t>
        </w:r>
      </w:hyperlink>
      <w:r w:rsidRPr="006B3AC6">
        <w:rPr>
          <w:rFonts w:cstheme="minorHAnsi"/>
          <w:sz w:val="16"/>
          <w:szCs w:val="16"/>
        </w:rPr>
        <w:t>: &lt;https://epr.ofgem.gov.uk/Document&gt;</w:t>
      </w:r>
    </w:p>
  </w:footnote>
  <w:footnote w:id="41">
    <w:p w14:paraId="5EFB2730"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17" w:history="1">
        <w:r w:rsidRPr="006B3AC6">
          <w:rPr>
            <w:rStyle w:val="Hyperlink"/>
            <w:rFonts w:cstheme="minorHAnsi"/>
            <w:sz w:val="16"/>
            <w:szCs w:val="16"/>
          </w:rPr>
          <w:t>Link to list of NI supply licences</w:t>
        </w:r>
      </w:hyperlink>
      <w:r w:rsidRPr="006B3AC6">
        <w:rPr>
          <w:rFonts w:cstheme="minorHAnsi"/>
          <w:sz w:val="16"/>
          <w:szCs w:val="16"/>
        </w:rPr>
        <w:t>: &lt;https://www.uregni.gov.uk/electricity-licences&gt;</w:t>
      </w:r>
    </w:p>
  </w:footnote>
  <w:footnote w:id="42">
    <w:p w14:paraId="641B3F57" w14:textId="11616A1A"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Please note that additional suppliers have since exited the market or ceased trading although after the 31 October deadline – </w:t>
      </w:r>
      <w:hyperlink r:id="rId18" w:history="1">
        <w:r w:rsidRPr="00C21675">
          <w:rPr>
            <w:rStyle w:val="Hyperlink"/>
            <w:rFonts w:cstheme="minorHAnsi"/>
            <w:sz w:val="16"/>
            <w:szCs w:val="16"/>
          </w:rPr>
          <w:t>for the most complete and up to date list please refer to the Ofgem webpage</w:t>
        </w:r>
        <w:r w:rsidR="00C21675" w:rsidRPr="00C21675">
          <w:rPr>
            <w:rStyle w:val="Hyperlink"/>
            <w:rFonts w:cstheme="minorHAnsi"/>
            <w:sz w:val="16"/>
            <w:szCs w:val="16"/>
          </w:rPr>
          <w:t xml:space="preserve"> here</w:t>
        </w:r>
      </w:hyperlink>
      <w:r w:rsidR="00C21675">
        <w:rPr>
          <w:rFonts w:cstheme="minorHAnsi"/>
          <w:sz w:val="16"/>
          <w:szCs w:val="16"/>
        </w:rPr>
        <w:t>:</w:t>
      </w:r>
      <w:r w:rsidRPr="006B3AC6">
        <w:rPr>
          <w:rFonts w:cstheme="minorHAnsi"/>
          <w:sz w:val="16"/>
          <w:szCs w:val="16"/>
        </w:rPr>
        <w:t xml:space="preserve"> </w:t>
      </w:r>
      <w:r>
        <w:rPr>
          <w:rFonts w:cstheme="minorHAnsi"/>
          <w:sz w:val="16"/>
          <w:szCs w:val="16"/>
        </w:rPr>
        <w:t>&lt;</w:t>
      </w:r>
      <w:r w:rsidRPr="006B3AC6">
        <w:rPr>
          <w:rFonts w:cstheme="minorHAnsi"/>
          <w:sz w:val="16"/>
          <w:szCs w:val="16"/>
        </w:rPr>
        <w:t>https://www.ofgem.gov.uk/information-consumers/energy-advice-households/what-happens-if-your-energy-supplier-goes-bust</w:t>
      </w:r>
      <w:r>
        <w:rPr>
          <w:rFonts w:cstheme="minorHAnsi"/>
          <w:sz w:val="16"/>
          <w:szCs w:val="16"/>
        </w:rPr>
        <w:t>&gt;</w:t>
      </w:r>
      <w:r w:rsidRPr="006B3AC6">
        <w:rPr>
          <w:rFonts w:cstheme="minorHAnsi"/>
          <w:sz w:val="16"/>
          <w:szCs w:val="16"/>
        </w:rPr>
        <w:t xml:space="preserve"> </w:t>
      </w:r>
    </w:p>
  </w:footnote>
  <w:footnote w:id="43">
    <w:p w14:paraId="0459E3D2" w14:textId="46E26A0C"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19" w:history="1">
        <w:r w:rsidRPr="006B3AC6">
          <w:rPr>
            <w:rStyle w:val="Hyperlink"/>
            <w:rFonts w:cstheme="minorHAnsi"/>
            <w:sz w:val="16"/>
            <w:szCs w:val="16"/>
          </w:rPr>
          <w:t>Link to Supplier Performance Report webpage</w:t>
        </w:r>
      </w:hyperlink>
      <w:r w:rsidRPr="006B3AC6">
        <w:rPr>
          <w:rFonts w:cstheme="minorHAnsi"/>
          <w:sz w:val="16"/>
          <w:szCs w:val="16"/>
        </w:rPr>
        <w:t>: &lt;</w:t>
      </w:r>
      <w:r w:rsidRPr="00CB2FBC">
        <w:rPr>
          <w:rFonts w:cstheme="minorHAnsi"/>
          <w:sz w:val="16"/>
          <w:szCs w:val="16"/>
        </w:rPr>
        <w:t>https://www.ofgem.gov.uk/supplier-performance-report-spr</w:t>
      </w:r>
      <w:r w:rsidRPr="006B3AC6">
        <w:rPr>
          <w:rFonts w:cstheme="minorHAnsi"/>
          <w:sz w:val="16"/>
          <w:szCs w:val="16"/>
        </w:rPr>
        <w:t>&gt;</w:t>
      </w:r>
    </w:p>
  </w:footnote>
  <w:footnote w:id="44">
    <w:p w14:paraId="0785A265" w14:textId="770B207A" w:rsidR="004A396C" w:rsidRPr="00FF101F" w:rsidRDefault="004A396C" w:rsidP="00A1389D">
      <w:pPr>
        <w:pStyle w:val="FootnoteText"/>
        <w:rPr>
          <w:rFonts w:cstheme="minorHAnsi"/>
          <w:sz w:val="16"/>
          <w:szCs w:val="16"/>
        </w:rPr>
      </w:pPr>
      <w:r w:rsidRPr="00F25AF8">
        <w:rPr>
          <w:rStyle w:val="FootnoteReference"/>
          <w:rFonts w:cstheme="minorHAnsi"/>
        </w:rPr>
        <w:footnoteRef/>
      </w:r>
      <w:r w:rsidRPr="00FF101F">
        <w:rPr>
          <w:rFonts w:cstheme="minorHAnsi"/>
          <w:sz w:val="16"/>
          <w:szCs w:val="16"/>
        </w:rPr>
        <w:t xml:space="preserve"> </w:t>
      </w:r>
      <w:hyperlink r:id="rId20" w:history="1">
        <w:r w:rsidRPr="00FF101F">
          <w:rPr>
            <w:rStyle w:val="Hyperlink"/>
            <w:rFonts w:cstheme="minorHAnsi"/>
            <w:sz w:val="16"/>
            <w:szCs w:val="16"/>
          </w:rPr>
          <w:t>Link to press release on enforcement action</w:t>
        </w:r>
      </w:hyperlink>
      <w:r w:rsidRPr="00FF101F">
        <w:rPr>
          <w:rFonts w:cstheme="minorHAnsi"/>
          <w:sz w:val="16"/>
          <w:szCs w:val="16"/>
        </w:rPr>
        <w:t xml:space="preserve">: </w:t>
      </w:r>
      <w:r w:rsidR="009218D7">
        <w:rPr>
          <w:rFonts w:cstheme="minorHAnsi"/>
          <w:sz w:val="16"/>
          <w:szCs w:val="16"/>
        </w:rPr>
        <w:t>&lt;</w:t>
      </w:r>
      <w:r w:rsidRPr="00FF101F">
        <w:rPr>
          <w:rFonts w:cstheme="minorHAnsi"/>
          <w:sz w:val="16"/>
          <w:szCs w:val="16"/>
        </w:rPr>
        <w:t>https://www.ofgem.gov.uk/publications/ofgem-consults-issuing-final-orders-five-suppliers-over-ps7-million-late-renewables-obligations-payments</w:t>
      </w:r>
      <w:r w:rsidR="009218D7">
        <w:rPr>
          <w:rFonts w:cstheme="minorHAnsi"/>
          <w:sz w:val="16"/>
          <w:szCs w:val="16"/>
        </w:rPr>
        <w:t>&gt;</w:t>
      </w:r>
      <w:r w:rsidRPr="00FF101F">
        <w:rPr>
          <w:rFonts w:cstheme="minorHAnsi"/>
          <w:sz w:val="16"/>
          <w:szCs w:val="16"/>
        </w:rPr>
        <w:t xml:space="preserve"> </w:t>
      </w:r>
    </w:p>
  </w:footnote>
  <w:footnote w:id="45">
    <w:p w14:paraId="7E5C30DD" w14:textId="6DC04134" w:rsidR="004A396C" w:rsidRPr="003B35B0" w:rsidRDefault="004A396C">
      <w:pPr>
        <w:pStyle w:val="FootnoteText"/>
        <w:rPr>
          <w:sz w:val="16"/>
          <w:szCs w:val="16"/>
        </w:rPr>
      </w:pPr>
      <w:r w:rsidRPr="009218D7">
        <w:rPr>
          <w:rStyle w:val="FootnoteReference"/>
        </w:rPr>
        <w:footnoteRef/>
      </w:r>
      <w:r w:rsidRPr="009218D7">
        <w:t xml:space="preserve"> </w:t>
      </w:r>
      <w:proofErr w:type="spellStart"/>
      <w:r w:rsidR="009218D7" w:rsidRPr="003B35B0">
        <w:rPr>
          <w:sz w:val="16"/>
          <w:szCs w:val="16"/>
        </w:rPr>
        <w:t>Ampower</w:t>
      </w:r>
      <w:r w:rsidR="009218D7">
        <w:rPr>
          <w:sz w:val="16"/>
          <w:szCs w:val="16"/>
        </w:rPr>
        <w:t>uk</w:t>
      </w:r>
      <w:proofErr w:type="spellEnd"/>
      <w:r w:rsidR="009218D7">
        <w:rPr>
          <w:sz w:val="16"/>
          <w:szCs w:val="16"/>
        </w:rPr>
        <w:t xml:space="preserve"> subsequently ceased trading on 8 November 2021. </w:t>
      </w:r>
      <w:hyperlink r:id="rId21" w:history="1">
        <w:r w:rsidR="00F4108D" w:rsidRPr="003B35B0">
          <w:rPr>
            <w:rStyle w:val="Hyperlink"/>
            <w:sz w:val="16"/>
            <w:szCs w:val="16"/>
          </w:rPr>
          <w:t>Link to Final Order for Ampoweruk</w:t>
        </w:r>
      </w:hyperlink>
      <w:r w:rsidRPr="003B35B0">
        <w:rPr>
          <w:sz w:val="16"/>
          <w:szCs w:val="16"/>
        </w:rPr>
        <w:t>: &lt;https://www.ofgem.gov.uk/publications/ampoweruk-ltd-final-order-0&gt;</w:t>
      </w:r>
    </w:p>
  </w:footnote>
  <w:footnote w:id="46">
    <w:p w14:paraId="2F8049B5" w14:textId="1CCDE1D1" w:rsidR="004A396C" w:rsidRPr="003B35B0" w:rsidRDefault="004A396C">
      <w:pPr>
        <w:pStyle w:val="FootnoteText"/>
        <w:rPr>
          <w:sz w:val="16"/>
          <w:szCs w:val="16"/>
        </w:rPr>
      </w:pPr>
      <w:r w:rsidRPr="009218D7">
        <w:rPr>
          <w:rStyle w:val="FootnoteReference"/>
        </w:rPr>
        <w:footnoteRef/>
      </w:r>
      <w:r w:rsidRPr="003B35B0">
        <w:rPr>
          <w:sz w:val="16"/>
          <w:szCs w:val="16"/>
        </w:rPr>
        <w:t xml:space="preserve"> </w:t>
      </w:r>
      <w:hyperlink r:id="rId22" w:history="1">
        <w:r w:rsidRPr="003B35B0">
          <w:rPr>
            <w:rStyle w:val="Hyperlink"/>
            <w:sz w:val="16"/>
            <w:szCs w:val="16"/>
          </w:rPr>
          <w:t>Link to Final Order for Whoop Energy</w:t>
        </w:r>
      </w:hyperlink>
      <w:r w:rsidRPr="003B35B0">
        <w:rPr>
          <w:sz w:val="16"/>
          <w:szCs w:val="16"/>
        </w:rPr>
        <w:t>: &lt;https://www.ofgem.gov.uk/publications/whoop-energy-ltd-final-order&gt;</w:t>
      </w:r>
    </w:p>
  </w:footnote>
  <w:footnote w:id="47">
    <w:p w14:paraId="1CBD854C" w14:textId="46470D61" w:rsidR="004A396C" w:rsidRPr="003313AF" w:rsidRDefault="004A396C" w:rsidP="00A1389D">
      <w:pPr>
        <w:pStyle w:val="FootnoteText"/>
        <w:rPr>
          <w:sz w:val="16"/>
          <w:szCs w:val="16"/>
        </w:rPr>
      </w:pPr>
      <w:r w:rsidRPr="00F25AF8">
        <w:rPr>
          <w:rStyle w:val="FootnoteReference"/>
          <w:rFonts w:cstheme="minorHAnsi"/>
        </w:rPr>
        <w:footnoteRef/>
      </w:r>
      <w:r w:rsidRPr="003313AF">
        <w:rPr>
          <w:sz w:val="16"/>
          <w:szCs w:val="16"/>
        </w:rPr>
        <w:t xml:space="preserve"> </w:t>
      </w:r>
      <w:hyperlink r:id="rId23" w:history="1">
        <w:r w:rsidRPr="00FF101F">
          <w:rPr>
            <w:rStyle w:val="Hyperlink"/>
            <w:rFonts w:cstheme="minorHAnsi"/>
            <w:sz w:val="16"/>
            <w:szCs w:val="16"/>
          </w:rPr>
          <w:t>Link to details of final and provisional orders</w:t>
        </w:r>
      </w:hyperlink>
      <w:r w:rsidRPr="00FF101F">
        <w:rPr>
          <w:rFonts w:cstheme="minorHAnsi"/>
          <w:sz w:val="16"/>
          <w:szCs w:val="16"/>
        </w:rPr>
        <w:t>: &lt;https://www.ofgem.gov.uk/investigations/provisional-orders-and-final-orders&gt;</w:t>
      </w:r>
    </w:p>
  </w:footnote>
  <w:footnote w:id="48">
    <w:p w14:paraId="7E22F100" w14:textId="568387B6" w:rsidR="004A396C" w:rsidRPr="003B35B0" w:rsidRDefault="004A396C">
      <w:pPr>
        <w:pStyle w:val="FootnoteText"/>
        <w:rPr>
          <w:sz w:val="16"/>
          <w:szCs w:val="16"/>
        </w:rPr>
      </w:pPr>
      <w:r w:rsidRPr="00F25AF8">
        <w:rPr>
          <w:rStyle w:val="FootnoteReference"/>
          <w:rFonts w:cstheme="minorHAnsi"/>
        </w:rPr>
        <w:footnoteRef/>
      </w:r>
      <w:r w:rsidRPr="003B35B0">
        <w:rPr>
          <w:sz w:val="16"/>
          <w:szCs w:val="16"/>
        </w:rPr>
        <w:t xml:space="preserve"> </w:t>
      </w:r>
      <w:r w:rsidRPr="00FF101F">
        <w:rPr>
          <w:rFonts w:cstheme="minorHAnsi"/>
          <w:sz w:val="16"/>
          <w:szCs w:val="16"/>
        </w:rPr>
        <w:t xml:space="preserve">For information refer to </w:t>
      </w:r>
      <w:r w:rsidRPr="00FF101F">
        <w:rPr>
          <w:rStyle w:val="Heading3Char"/>
          <w:rFonts w:eastAsiaTheme="minorEastAsia" w:cstheme="minorHAnsi"/>
          <w:color w:val="000000" w:themeColor="text1"/>
          <w:sz w:val="16"/>
          <w:szCs w:val="16"/>
        </w:rPr>
        <w:t xml:space="preserve">sections 4.24-4.30 of the RO Guidance for Suppliers. </w:t>
      </w:r>
      <w:hyperlink r:id="rId24" w:history="1">
        <w:r w:rsidRPr="00FF101F">
          <w:rPr>
            <w:rStyle w:val="Hyperlink"/>
            <w:rFonts w:cstheme="minorHAnsi"/>
            <w:sz w:val="16"/>
            <w:szCs w:val="16"/>
          </w:rPr>
          <w:t>Link to RO Guidance for Suppliers</w:t>
        </w:r>
      </w:hyperlink>
      <w:r w:rsidRPr="003B35B0">
        <w:rPr>
          <w:sz w:val="16"/>
          <w:szCs w:val="16"/>
        </w:rPr>
        <w:t>:</w:t>
      </w:r>
      <w:r w:rsidR="00490A2F" w:rsidRPr="003B35B0">
        <w:rPr>
          <w:rStyle w:val="Hyperlink"/>
          <w:rFonts w:cstheme="minorHAnsi"/>
          <w:sz w:val="16"/>
          <w:szCs w:val="16"/>
          <w:u w:val="none"/>
        </w:rPr>
        <w:t xml:space="preserve"> </w:t>
      </w:r>
      <w:r w:rsidRPr="00FF101F">
        <w:rPr>
          <w:rFonts w:cstheme="minorHAnsi"/>
          <w:sz w:val="16"/>
          <w:szCs w:val="16"/>
        </w:rPr>
        <w:t>&lt;</w:t>
      </w:r>
      <w:r w:rsidR="00490A2F" w:rsidRPr="00490A2F">
        <w:rPr>
          <w:rFonts w:cstheme="minorHAnsi"/>
          <w:sz w:val="16"/>
          <w:szCs w:val="16"/>
        </w:rPr>
        <w:t>https://www.ofgem.gov.uk/publications/renewables-obligation-guidance-suppliers</w:t>
      </w:r>
      <w:r w:rsidR="00490A2F">
        <w:rPr>
          <w:rFonts w:cstheme="minorHAnsi"/>
          <w:sz w:val="16"/>
          <w:szCs w:val="16"/>
        </w:rPr>
        <w:t>&gt;</w:t>
      </w:r>
    </w:p>
  </w:footnote>
  <w:footnote w:id="49">
    <w:p w14:paraId="1D84803E" w14:textId="45F948F3" w:rsidR="004A396C" w:rsidRPr="006B3AC6" w:rsidRDefault="004A396C" w:rsidP="00A1389D">
      <w:pPr>
        <w:pStyle w:val="FootnoteText"/>
        <w:rPr>
          <w:rFonts w:cstheme="minorHAnsi"/>
          <w:sz w:val="16"/>
          <w:szCs w:val="16"/>
        </w:rPr>
      </w:pPr>
      <w:r w:rsidRPr="00F25AF8">
        <w:rPr>
          <w:rStyle w:val="FootnoteReference"/>
          <w:rFonts w:cstheme="minorHAnsi"/>
        </w:rPr>
        <w:footnoteRef/>
      </w:r>
      <w:r w:rsidRPr="003B35B0">
        <w:rPr>
          <w:rFonts w:cstheme="minorHAnsi"/>
        </w:rPr>
        <w:t xml:space="preserve"> </w:t>
      </w:r>
      <w:hyperlink r:id="rId25" w:history="1">
        <w:r w:rsidRPr="00FF101F">
          <w:rPr>
            <w:rStyle w:val="Hyperlink"/>
            <w:rFonts w:cstheme="minorHAnsi"/>
            <w:sz w:val="16"/>
            <w:szCs w:val="16"/>
          </w:rPr>
          <w:t>Link to Ofgem’s Enforcement Guidelines</w:t>
        </w:r>
      </w:hyperlink>
      <w:r w:rsidRPr="00FF101F">
        <w:rPr>
          <w:rFonts w:cstheme="minorHAnsi"/>
          <w:sz w:val="16"/>
          <w:szCs w:val="16"/>
        </w:rPr>
        <w:t xml:space="preserve"> &lt;https://www.ofgem.gov.uk/publications/enforcement-guidelines&gt;</w:t>
      </w:r>
    </w:p>
  </w:footnote>
  <w:footnote w:id="50">
    <w:p w14:paraId="0246D7DF" w14:textId="53CD6B02" w:rsidR="004A396C" w:rsidRPr="00D9298D" w:rsidRDefault="004A396C" w:rsidP="00A1389D">
      <w:pPr>
        <w:pStyle w:val="FootnoteText"/>
        <w:rPr>
          <w:rFonts w:cstheme="minorHAnsi"/>
          <w:sz w:val="16"/>
          <w:szCs w:val="16"/>
        </w:rPr>
      </w:pPr>
      <w:r w:rsidRPr="00F25AF8">
        <w:rPr>
          <w:rStyle w:val="FootnoteReference"/>
          <w:rFonts w:cstheme="minorHAnsi"/>
        </w:rPr>
        <w:footnoteRef/>
      </w:r>
      <w:r w:rsidRPr="003B35B0">
        <w:rPr>
          <w:rFonts w:cstheme="minorHAnsi"/>
        </w:rPr>
        <w:t xml:space="preserve"> </w:t>
      </w:r>
      <w:r w:rsidRPr="00D9298D">
        <w:rPr>
          <w:rFonts w:cstheme="minorHAnsi"/>
          <w:sz w:val="16"/>
          <w:szCs w:val="16"/>
        </w:rPr>
        <w:t xml:space="preserve">For more information please see section 4.1-4.30 of </w:t>
      </w:r>
      <w:r>
        <w:rPr>
          <w:rFonts w:cstheme="minorHAnsi"/>
          <w:sz w:val="16"/>
          <w:szCs w:val="16"/>
        </w:rPr>
        <w:t>the RO Guidance for Suppliers</w:t>
      </w:r>
      <w:r w:rsidRPr="003B35B0">
        <w:rPr>
          <w:rStyle w:val="Hyperlink"/>
          <w:rFonts w:cstheme="minorHAnsi"/>
          <w:color w:val="000000" w:themeColor="text1"/>
          <w:sz w:val="16"/>
          <w:szCs w:val="16"/>
          <w:u w:val="none"/>
        </w:rPr>
        <w:t xml:space="preserve">. </w:t>
      </w:r>
      <w:hyperlink r:id="rId26" w:history="1">
        <w:r w:rsidR="00785E8C" w:rsidRPr="006B3AC6">
          <w:rPr>
            <w:rStyle w:val="Hyperlink"/>
            <w:rFonts w:cstheme="minorHAnsi"/>
            <w:sz w:val="16"/>
            <w:szCs w:val="16"/>
          </w:rPr>
          <w:t>Link to RO guidance for suppliers</w:t>
        </w:r>
      </w:hyperlink>
      <w:r w:rsidR="00785E8C" w:rsidRPr="006B3AC6">
        <w:rPr>
          <w:rFonts w:cstheme="minorHAnsi"/>
          <w:sz w:val="16"/>
          <w:szCs w:val="16"/>
        </w:rPr>
        <w:t xml:space="preserve">: </w:t>
      </w:r>
      <w:r w:rsidR="00785E8C">
        <w:rPr>
          <w:rFonts w:cstheme="minorHAnsi"/>
          <w:sz w:val="16"/>
          <w:szCs w:val="16"/>
        </w:rPr>
        <w:t>&lt;</w:t>
      </w:r>
      <w:r w:rsidR="00490A2F" w:rsidRPr="00490A2F">
        <w:rPr>
          <w:rFonts w:cstheme="minorHAnsi"/>
          <w:sz w:val="16"/>
          <w:szCs w:val="16"/>
        </w:rPr>
        <w:t>https://www.ofgem.gov.uk/publications/renewables-obligation-guidance-suppliers</w:t>
      </w:r>
      <w:r w:rsidR="00785E8C">
        <w:rPr>
          <w:rFonts w:cstheme="minorHAnsi"/>
          <w:sz w:val="16"/>
          <w:szCs w:val="16"/>
        </w:rPr>
        <w:t>&gt;</w:t>
      </w:r>
      <w:r w:rsidR="00785E8C" w:rsidRPr="006B3AC6">
        <w:rPr>
          <w:rFonts w:cstheme="minorHAnsi"/>
          <w:sz w:val="16"/>
          <w:szCs w:val="16"/>
        </w:rPr>
        <w:t xml:space="preserve"> </w:t>
      </w:r>
    </w:p>
  </w:footnote>
  <w:footnote w:id="51">
    <w:p w14:paraId="42BEAA28" w14:textId="2C2684F5" w:rsidR="004A396C" w:rsidRPr="003B35B0" w:rsidRDefault="004A396C">
      <w:pPr>
        <w:pStyle w:val="FootnoteText"/>
        <w:rPr>
          <w:sz w:val="16"/>
          <w:szCs w:val="16"/>
        </w:rPr>
      </w:pPr>
      <w:r w:rsidRPr="002F7FA2">
        <w:rPr>
          <w:rStyle w:val="FootnoteReference"/>
        </w:rPr>
        <w:footnoteRef/>
      </w:r>
      <w:r w:rsidRPr="003B35B0">
        <w:rPr>
          <w:sz w:val="16"/>
          <w:szCs w:val="16"/>
        </w:rPr>
        <w:t xml:space="preserve"> Appendix 5</w:t>
      </w:r>
      <w:r>
        <w:rPr>
          <w:sz w:val="16"/>
          <w:szCs w:val="16"/>
        </w:rPr>
        <w:t xml:space="preserve"> RO Guidance for Suppliers.</w:t>
      </w:r>
    </w:p>
  </w:footnote>
  <w:footnote w:id="52">
    <w:p w14:paraId="0D6414A9" w14:textId="77777777" w:rsidR="004A396C" w:rsidRPr="00D9298D" w:rsidRDefault="004A396C" w:rsidP="00A1389D">
      <w:pPr>
        <w:pStyle w:val="FootnoteText"/>
        <w:rPr>
          <w:rFonts w:cstheme="minorHAnsi"/>
          <w:sz w:val="16"/>
          <w:szCs w:val="16"/>
        </w:rPr>
      </w:pPr>
      <w:r w:rsidRPr="00F25AF8">
        <w:rPr>
          <w:rStyle w:val="FootnoteReference"/>
          <w:rFonts w:cstheme="minorHAnsi"/>
        </w:rPr>
        <w:footnoteRef/>
      </w:r>
      <w:r w:rsidRPr="003B35B0">
        <w:rPr>
          <w:rFonts w:cstheme="minorHAnsi"/>
        </w:rPr>
        <w:t xml:space="preserve"> </w:t>
      </w:r>
      <w:hyperlink r:id="rId27" w:history="1">
        <w:r w:rsidRPr="00E04D18">
          <w:rPr>
            <w:rStyle w:val="Hyperlink"/>
            <w:rFonts w:cstheme="minorHAnsi"/>
            <w:sz w:val="16"/>
            <w:szCs w:val="16"/>
          </w:rPr>
          <w:t>Link to Elexon website</w:t>
        </w:r>
      </w:hyperlink>
      <w:r w:rsidRPr="00D9298D">
        <w:rPr>
          <w:rFonts w:cstheme="minorHAnsi"/>
          <w:sz w:val="16"/>
          <w:szCs w:val="16"/>
        </w:rPr>
        <w:t>: &lt;https://www.elexon.co.uk/&gt;</w:t>
      </w:r>
    </w:p>
  </w:footnote>
  <w:footnote w:id="53">
    <w:p w14:paraId="03D2B9F3" w14:textId="77777777" w:rsidR="004A396C" w:rsidRPr="00D9298D" w:rsidRDefault="004A396C" w:rsidP="00A1389D">
      <w:pPr>
        <w:pStyle w:val="FootnoteText"/>
        <w:rPr>
          <w:rFonts w:cstheme="minorHAnsi"/>
          <w:sz w:val="16"/>
          <w:szCs w:val="16"/>
        </w:rPr>
      </w:pPr>
      <w:r w:rsidRPr="00F25AF8">
        <w:rPr>
          <w:rStyle w:val="FootnoteReference"/>
          <w:rFonts w:cstheme="minorHAnsi"/>
        </w:rPr>
        <w:footnoteRef/>
      </w:r>
      <w:r w:rsidRPr="00D9298D">
        <w:rPr>
          <w:rFonts w:cstheme="minorHAnsi"/>
          <w:sz w:val="16"/>
          <w:szCs w:val="16"/>
        </w:rPr>
        <w:t xml:space="preserve"> </w:t>
      </w:r>
      <w:hyperlink r:id="rId28" w:history="1">
        <w:r w:rsidRPr="00E04D18">
          <w:rPr>
            <w:rStyle w:val="Hyperlink"/>
            <w:rFonts w:cstheme="minorHAnsi"/>
            <w:sz w:val="16"/>
            <w:szCs w:val="16"/>
          </w:rPr>
          <w:t>Link to NIE website</w:t>
        </w:r>
      </w:hyperlink>
      <w:r w:rsidRPr="00D9298D">
        <w:rPr>
          <w:rFonts w:cstheme="minorHAnsi"/>
          <w:sz w:val="16"/>
          <w:szCs w:val="16"/>
        </w:rPr>
        <w:t>: &lt;https://www.nienetworks.co.uk/home&gt;</w:t>
      </w:r>
    </w:p>
  </w:footnote>
  <w:footnote w:id="54">
    <w:p w14:paraId="46345CDE" w14:textId="0DDBE40E" w:rsidR="004A396C" w:rsidRPr="00D9298D" w:rsidRDefault="004A396C" w:rsidP="00A1389D">
      <w:pPr>
        <w:pStyle w:val="FootnoteText"/>
        <w:rPr>
          <w:rFonts w:cstheme="minorHAnsi"/>
          <w:sz w:val="16"/>
          <w:szCs w:val="16"/>
        </w:rPr>
      </w:pPr>
      <w:r w:rsidRPr="00F25AF8">
        <w:rPr>
          <w:rStyle w:val="FootnoteReference"/>
          <w:rFonts w:cstheme="minorHAnsi"/>
        </w:rPr>
        <w:footnoteRef/>
      </w:r>
      <w:r w:rsidRPr="00D9298D">
        <w:rPr>
          <w:rFonts w:cstheme="minorHAnsi"/>
          <w:sz w:val="16"/>
          <w:szCs w:val="16"/>
        </w:rPr>
        <w:t xml:space="preserve"> For more information on the process please see section 4.2-4.11 of </w:t>
      </w:r>
      <w:r>
        <w:rPr>
          <w:rFonts w:cstheme="minorHAnsi"/>
          <w:sz w:val="16"/>
          <w:szCs w:val="16"/>
        </w:rPr>
        <w:t>the RO Guidance for Suppliers.</w:t>
      </w:r>
      <w:r w:rsidRPr="003B35B0">
        <w:rPr>
          <w:rStyle w:val="Hyperlink"/>
          <w:rFonts w:cstheme="minorHAnsi"/>
          <w:color w:val="000000" w:themeColor="text1"/>
          <w:sz w:val="16"/>
          <w:szCs w:val="16"/>
          <w:u w:val="none"/>
        </w:rPr>
        <w:t xml:space="preserve"> </w:t>
      </w:r>
    </w:p>
  </w:footnote>
  <w:footnote w:id="55">
    <w:p w14:paraId="61DB9653" w14:textId="03926AF2" w:rsidR="004A396C" w:rsidRPr="00E04D18" w:rsidRDefault="004A396C" w:rsidP="00A1389D">
      <w:pPr>
        <w:pStyle w:val="FootnoteText"/>
        <w:rPr>
          <w:rFonts w:cstheme="minorHAnsi"/>
          <w:sz w:val="16"/>
          <w:szCs w:val="16"/>
        </w:rPr>
      </w:pPr>
      <w:r w:rsidRPr="00F25AF8">
        <w:rPr>
          <w:rStyle w:val="FootnoteReference"/>
          <w:rFonts w:cstheme="minorHAnsi"/>
        </w:rPr>
        <w:footnoteRef/>
      </w:r>
      <w:r w:rsidRPr="00D9298D">
        <w:rPr>
          <w:rFonts w:cstheme="minorHAnsi"/>
          <w:sz w:val="16"/>
          <w:szCs w:val="16"/>
        </w:rPr>
        <w:t xml:space="preserve"> The names of suppliers missing the 1 June and 1 July deadlines can be found in Appendix </w:t>
      </w:r>
      <w:r w:rsidR="00C85B64">
        <w:rPr>
          <w:rFonts w:cstheme="minorHAnsi"/>
          <w:sz w:val="16"/>
          <w:szCs w:val="16"/>
        </w:rPr>
        <w:t>1</w:t>
      </w:r>
      <w:r w:rsidRPr="00D9298D">
        <w:rPr>
          <w:rFonts w:cstheme="minorHAnsi"/>
          <w:sz w:val="16"/>
          <w:szCs w:val="16"/>
        </w:rPr>
        <w:t>.</w:t>
      </w:r>
    </w:p>
  </w:footnote>
  <w:footnote w:id="56">
    <w:p w14:paraId="4022DAA6" w14:textId="278ED7FF" w:rsidR="004A396C" w:rsidRPr="006B3AC6" w:rsidRDefault="004A396C" w:rsidP="00A1389D">
      <w:pPr>
        <w:pStyle w:val="FootnoteText"/>
        <w:rPr>
          <w:rFonts w:cstheme="minorHAnsi"/>
          <w:sz w:val="16"/>
          <w:szCs w:val="16"/>
        </w:rPr>
      </w:pPr>
      <w:r w:rsidRPr="00F25AF8">
        <w:rPr>
          <w:rStyle w:val="FootnoteReference"/>
          <w:rFonts w:cstheme="minorHAnsi"/>
        </w:rPr>
        <w:footnoteRef/>
      </w:r>
      <w:r w:rsidRPr="00D9298D">
        <w:rPr>
          <w:rFonts w:cstheme="minorHAnsi"/>
          <w:sz w:val="16"/>
          <w:szCs w:val="16"/>
        </w:rPr>
        <w:t xml:space="preserve"> </w:t>
      </w:r>
      <w:hyperlink r:id="rId29" w:history="1">
        <w:r w:rsidRPr="00E04D18">
          <w:rPr>
            <w:rStyle w:val="Hyperlink"/>
            <w:rFonts w:cstheme="minorHAnsi"/>
            <w:sz w:val="16"/>
            <w:szCs w:val="16"/>
          </w:rPr>
          <w:t>Link to information on the supplier performance report</w:t>
        </w:r>
      </w:hyperlink>
      <w:r w:rsidRPr="00D9298D">
        <w:rPr>
          <w:rFonts w:cstheme="minorHAnsi"/>
          <w:sz w:val="16"/>
          <w:szCs w:val="16"/>
        </w:rPr>
        <w:t>: &lt;https://www.ofgem.gov.uk/environmental-programmes/environmental-programmes-ofgem-s-role-and-delivery-performance/enviro</w:t>
      </w:r>
      <w:r w:rsidRPr="00E04D18">
        <w:rPr>
          <w:rFonts w:cstheme="minorHAnsi"/>
          <w:sz w:val="16"/>
          <w:szCs w:val="16"/>
        </w:rPr>
        <w:t>nmental-programmes-supplier-performance-report&gt;</w:t>
      </w:r>
    </w:p>
  </w:footnote>
  <w:footnote w:id="57">
    <w:p w14:paraId="1DF4E4D1" w14:textId="77777777" w:rsidR="00931373" w:rsidRPr="006B3AC6" w:rsidRDefault="00931373" w:rsidP="00931373">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r w:rsidRPr="00D41821">
        <w:rPr>
          <w:rFonts w:cstheme="minorHAnsi"/>
          <w:sz w:val="16"/>
          <w:szCs w:val="16"/>
        </w:rPr>
        <w:t>In 2019 Npower was acquired by E.ON. Npower and its subsidiary companies are now part of the E.ON group</w:t>
      </w:r>
      <w:r>
        <w:rPr>
          <w:rFonts w:cstheme="minorHAnsi"/>
          <w:sz w:val="16"/>
          <w:szCs w:val="16"/>
        </w:rPr>
        <w:t>.</w:t>
      </w:r>
      <w:r w:rsidRPr="00D41821" w:rsidDel="00D41821">
        <w:rPr>
          <w:rFonts w:cstheme="minorHAnsi"/>
          <w:sz w:val="16"/>
          <w:szCs w:val="16"/>
        </w:rPr>
        <w:t xml:space="preserve"> </w:t>
      </w:r>
    </w:p>
  </w:footnote>
  <w:footnote w:id="58">
    <w:p w14:paraId="53795090" w14:textId="490ED3A6"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r>
        <w:rPr>
          <w:rStyle w:val="Heading3Char"/>
          <w:rFonts w:eastAsiaTheme="minorEastAsia" w:cstheme="minorHAnsi"/>
          <w:color w:val="000000" w:themeColor="text1"/>
          <w:sz w:val="16"/>
          <w:szCs w:val="16"/>
        </w:rPr>
        <w:t>OVOs</w:t>
      </w:r>
      <w:r w:rsidRPr="006B3AC6">
        <w:rPr>
          <w:rStyle w:val="Heading3Char"/>
          <w:rFonts w:eastAsiaTheme="minorEastAsia" w:cstheme="minorHAnsi"/>
          <w:color w:val="000000" w:themeColor="text1"/>
          <w:sz w:val="16"/>
          <w:szCs w:val="16"/>
        </w:rPr>
        <w:t xml:space="preserve"> </w:t>
      </w:r>
      <w:r>
        <w:rPr>
          <w:rStyle w:val="Heading3Char"/>
          <w:rFonts w:eastAsiaTheme="minorEastAsia" w:cstheme="minorHAnsi"/>
          <w:color w:val="000000" w:themeColor="text1"/>
          <w:sz w:val="16"/>
          <w:szCs w:val="16"/>
        </w:rPr>
        <w:t xml:space="preserve">percentage share of the UK obligation has increased from last year’s report, so that it now accounts for more than 3% of the total. As such it now features individually in </w:t>
      </w:r>
      <w:r w:rsidRPr="003B35B0">
        <w:rPr>
          <w:rStyle w:val="Heading3Char"/>
          <w:rFonts w:eastAsiaTheme="minorEastAsia" w:cstheme="minorHAnsi"/>
          <w:b/>
          <w:bCs/>
          <w:color w:val="000000" w:themeColor="text1"/>
          <w:sz w:val="16"/>
          <w:szCs w:val="16"/>
        </w:rPr>
        <w:t>Figure 4.1</w:t>
      </w:r>
      <w:r>
        <w:rPr>
          <w:rStyle w:val="Heading3Char"/>
          <w:rFonts w:eastAsiaTheme="minorEastAsia" w:cstheme="minorHAnsi"/>
          <w:color w:val="000000" w:themeColor="text1"/>
          <w:sz w:val="16"/>
          <w:szCs w:val="16"/>
        </w:rPr>
        <w:t>.</w:t>
      </w:r>
    </w:p>
  </w:footnote>
  <w:footnote w:id="59">
    <w:p w14:paraId="36AD960D" w14:textId="1970C5E1" w:rsidR="004A396C" w:rsidRPr="006B3AC6" w:rsidRDefault="004A396C" w:rsidP="00A1389D">
      <w:pPr>
        <w:pStyle w:val="FootnoteText"/>
        <w:rPr>
          <w:rFonts w:cstheme="minorHAnsi"/>
          <w:sz w:val="16"/>
          <w:szCs w:val="16"/>
        </w:rPr>
      </w:pPr>
      <w:r w:rsidRPr="002F7FA2">
        <w:rPr>
          <w:rStyle w:val="FootnoteReference"/>
          <w:rFonts w:cstheme="minorHAnsi"/>
          <w:szCs w:val="16"/>
        </w:rPr>
        <w:footnoteRef/>
      </w:r>
      <w:r w:rsidRPr="003B35B0">
        <w:rPr>
          <w:rFonts w:cstheme="minorHAnsi"/>
          <w:sz w:val="12"/>
          <w:szCs w:val="12"/>
        </w:rPr>
        <w:t xml:space="preserve"> </w:t>
      </w:r>
      <w:r w:rsidRPr="006B3AC6">
        <w:rPr>
          <w:rFonts w:cstheme="minorHAnsi"/>
          <w:sz w:val="16"/>
          <w:szCs w:val="16"/>
        </w:rPr>
        <w:t>Please see S</w:t>
      </w:r>
      <w:r>
        <w:rPr>
          <w:rFonts w:cstheme="minorHAnsi"/>
          <w:sz w:val="16"/>
          <w:szCs w:val="16"/>
        </w:rPr>
        <w:t xml:space="preserve">ections </w:t>
      </w:r>
      <w:r w:rsidRPr="006B3AC6">
        <w:rPr>
          <w:rFonts w:cstheme="minorHAnsi"/>
          <w:sz w:val="16"/>
          <w:szCs w:val="16"/>
        </w:rPr>
        <w:t xml:space="preserve">2.6-2.9 </w:t>
      </w:r>
      <w:r w:rsidRPr="004A138E">
        <w:rPr>
          <w:rFonts w:cstheme="minorHAnsi"/>
          <w:sz w:val="16"/>
          <w:szCs w:val="16"/>
        </w:rPr>
        <w:t xml:space="preserve">of </w:t>
      </w:r>
      <w:r>
        <w:rPr>
          <w:rFonts w:cstheme="minorHAnsi"/>
          <w:sz w:val="16"/>
          <w:szCs w:val="16"/>
        </w:rPr>
        <w:t>the RO Guidance for Suppliers.</w:t>
      </w:r>
      <w:r w:rsidR="00785E8C">
        <w:rPr>
          <w:rFonts w:cstheme="minorHAnsi"/>
          <w:sz w:val="16"/>
          <w:szCs w:val="16"/>
        </w:rPr>
        <w:t xml:space="preserve"> </w:t>
      </w:r>
      <w:hyperlink r:id="rId30" w:history="1">
        <w:r w:rsidR="00785E8C" w:rsidRPr="006B3AC6">
          <w:rPr>
            <w:rStyle w:val="Hyperlink"/>
            <w:rFonts w:cstheme="minorHAnsi"/>
            <w:sz w:val="16"/>
            <w:szCs w:val="16"/>
          </w:rPr>
          <w:t>Link to RO guidance for suppliers</w:t>
        </w:r>
      </w:hyperlink>
      <w:r w:rsidR="00785E8C" w:rsidRPr="006B3AC6">
        <w:rPr>
          <w:rFonts w:cstheme="minorHAnsi"/>
          <w:sz w:val="16"/>
          <w:szCs w:val="16"/>
        </w:rPr>
        <w:t xml:space="preserve">: </w:t>
      </w:r>
      <w:r w:rsidR="00785E8C">
        <w:rPr>
          <w:rFonts w:cstheme="minorHAnsi"/>
          <w:sz w:val="16"/>
          <w:szCs w:val="16"/>
        </w:rPr>
        <w:t>&lt;</w:t>
      </w:r>
      <w:r w:rsidR="00C64B66" w:rsidRPr="00C64B66">
        <w:t xml:space="preserve"> </w:t>
      </w:r>
      <w:r w:rsidR="00C64B66" w:rsidRPr="00C64B66">
        <w:rPr>
          <w:rFonts w:cstheme="minorHAnsi"/>
          <w:sz w:val="16"/>
          <w:szCs w:val="16"/>
        </w:rPr>
        <w:t>https://www.ofgem.gov.uk/publications/renewables-obligation-guidance-suppliers</w:t>
      </w:r>
      <w:r w:rsidR="00785E8C">
        <w:rPr>
          <w:rFonts w:cstheme="minorHAnsi"/>
          <w:sz w:val="16"/>
          <w:szCs w:val="16"/>
        </w:rPr>
        <w:t>&gt;</w:t>
      </w:r>
      <w:r w:rsidR="00785E8C" w:rsidRPr="006B3AC6">
        <w:rPr>
          <w:rFonts w:cstheme="minorHAnsi"/>
          <w:sz w:val="16"/>
          <w:szCs w:val="16"/>
        </w:rPr>
        <w:t xml:space="preserve"> </w:t>
      </w:r>
    </w:p>
  </w:footnote>
  <w:footnote w:id="60">
    <w:p w14:paraId="3C6241F2"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Defined in article 14(2) of the 2015 RO Order and articles 13(2) of the 2009 ROS and NIRO Orders</w:t>
      </w:r>
    </w:p>
  </w:footnote>
  <w:footnote w:id="61">
    <w:p w14:paraId="3BB1F8F7" w14:textId="1703024F" w:rsidR="00785E8C" w:rsidRDefault="00785E8C">
      <w:pPr>
        <w:pStyle w:val="FootnoteText"/>
      </w:pPr>
      <w:r w:rsidRPr="00075E6D">
        <w:rPr>
          <w:rStyle w:val="FootnoteReference"/>
        </w:rPr>
        <w:footnoteRef/>
      </w:r>
      <w:r>
        <w:t xml:space="preserve"> </w:t>
      </w:r>
      <w:hyperlink r:id="rId31" w:history="1">
        <w:r w:rsidRPr="006B3AC6">
          <w:rPr>
            <w:rStyle w:val="Hyperlink"/>
            <w:rFonts w:cstheme="minorHAnsi"/>
            <w:sz w:val="16"/>
            <w:szCs w:val="16"/>
          </w:rPr>
          <w:t>Link to RO guidance for suppliers</w:t>
        </w:r>
      </w:hyperlink>
      <w:r w:rsidRPr="006B3AC6">
        <w:rPr>
          <w:rFonts w:cstheme="minorHAnsi"/>
          <w:sz w:val="16"/>
          <w:szCs w:val="16"/>
        </w:rPr>
        <w:t xml:space="preserve">: </w:t>
      </w:r>
      <w:r>
        <w:rPr>
          <w:rFonts w:cstheme="minorHAnsi"/>
          <w:sz w:val="16"/>
          <w:szCs w:val="16"/>
        </w:rPr>
        <w:t>&lt;</w:t>
      </w:r>
      <w:r w:rsidR="003C12E6" w:rsidRPr="003C12E6">
        <w:rPr>
          <w:rFonts w:cstheme="minorHAnsi"/>
          <w:sz w:val="16"/>
          <w:szCs w:val="16"/>
        </w:rPr>
        <w:t>https://www.ofgem.gov.uk/publications/renewables-obligation-guidance-suppliers</w:t>
      </w:r>
      <w:r>
        <w:rPr>
          <w:rFonts w:cstheme="minorHAnsi"/>
          <w:sz w:val="16"/>
          <w:szCs w:val="16"/>
        </w:rPr>
        <w:t>&gt;</w:t>
      </w:r>
    </w:p>
  </w:footnote>
  <w:footnote w:id="62">
    <w:p w14:paraId="4EAE8F61" w14:textId="3B868F2C" w:rsidR="004A396C" w:rsidRDefault="004A396C">
      <w:pPr>
        <w:pStyle w:val="FootnoteText"/>
      </w:pPr>
      <w:r w:rsidRPr="00075E6D">
        <w:rPr>
          <w:rStyle w:val="FootnoteReference"/>
        </w:rPr>
        <w:footnoteRef/>
      </w:r>
      <w:r w:rsidRPr="003B35B0">
        <w:rPr>
          <w:sz w:val="16"/>
          <w:szCs w:val="16"/>
        </w:rPr>
        <w:t xml:space="preserve"> Details on</w:t>
      </w:r>
      <w:r>
        <w:rPr>
          <w:sz w:val="16"/>
          <w:szCs w:val="16"/>
        </w:rPr>
        <w:t xml:space="preserve"> reasons for</w:t>
      </w:r>
      <w:r w:rsidRPr="003B35B0">
        <w:rPr>
          <w:sz w:val="16"/>
          <w:szCs w:val="16"/>
        </w:rPr>
        <w:t xml:space="preserve"> </w:t>
      </w:r>
      <w:r>
        <w:rPr>
          <w:sz w:val="16"/>
          <w:szCs w:val="16"/>
        </w:rPr>
        <w:t xml:space="preserve">exemption from the bioliquid ROC cap can be found in section 4.5 </w:t>
      </w:r>
      <w:r w:rsidRPr="006B3AC6">
        <w:rPr>
          <w:rFonts w:cstheme="minorHAnsi"/>
          <w:sz w:val="16"/>
          <w:szCs w:val="16"/>
        </w:rPr>
        <w:t xml:space="preserve">of the </w:t>
      </w:r>
      <w:r w:rsidRPr="007C5161">
        <w:rPr>
          <w:rFonts w:cstheme="minorHAnsi"/>
          <w:sz w:val="16"/>
          <w:szCs w:val="16"/>
        </w:rPr>
        <w:t>RO Guidance for Suppliers</w:t>
      </w:r>
      <w:r>
        <w:rPr>
          <w:rFonts w:cstheme="minorHAnsi"/>
          <w:sz w:val="16"/>
          <w:szCs w:val="16"/>
        </w:rPr>
        <w:t>.</w:t>
      </w:r>
    </w:p>
  </w:footnote>
  <w:footnote w:id="63">
    <w:p w14:paraId="2088B6DC" w14:textId="342F5131" w:rsidR="004A396C" w:rsidRDefault="004A396C" w:rsidP="00A1389D">
      <w:pPr>
        <w:pStyle w:val="FootnoteText"/>
      </w:pPr>
      <w:r w:rsidRPr="00075E6D">
        <w:rPr>
          <w:rStyle w:val="FootnoteReference"/>
        </w:rPr>
        <w:footnoteRef/>
      </w:r>
      <w:r>
        <w:t xml:space="preserve"> </w:t>
      </w:r>
      <w:r w:rsidRPr="003B35B0">
        <w:rPr>
          <w:rFonts w:cstheme="minorHAnsi"/>
          <w:sz w:val="16"/>
          <w:szCs w:val="16"/>
        </w:rPr>
        <w:t xml:space="preserve">EDF Energy who acted as the Supplier of Last Resort for </w:t>
      </w:r>
      <w:r w:rsidRPr="008807B7">
        <w:rPr>
          <w:rFonts w:cstheme="minorHAnsi"/>
          <w:sz w:val="16"/>
          <w:szCs w:val="16"/>
        </w:rPr>
        <w:t>Green</w:t>
      </w:r>
      <w:r>
        <w:rPr>
          <w:rFonts w:cstheme="minorHAnsi"/>
          <w:sz w:val="16"/>
          <w:szCs w:val="16"/>
        </w:rPr>
        <w:t xml:space="preserve"> Network Energy made a partial payment towards Green Network Energy’s RO which is included in these figures</w:t>
      </w:r>
    </w:p>
  </w:footnote>
  <w:footnote w:id="64">
    <w:p w14:paraId="07C12919" w14:textId="5CBAAAB7" w:rsidR="004A396C" w:rsidRPr="006B3AC6" w:rsidRDefault="004A396C" w:rsidP="00A1389D">
      <w:pPr>
        <w:pStyle w:val="FootnoteText"/>
        <w:rPr>
          <w:rFonts w:cstheme="minorHAnsi"/>
          <w:sz w:val="16"/>
          <w:szCs w:val="16"/>
        </w:rPr>
      </w:pPr>
      <w:r w:rsidRPr="00F25AF8">
        <w:rPr>
          <w:rStyle w:val="FootnoteReference"/>
          <w:rFonts w:cstheme="minorHAnsi"/>
        </w:rPr>
        <w:footnoteRef/>
      </w:r>
      <w:r w:rsidRPr="00D9298D">
        <w:rPr>
          <w:rFonts w:cstheme="minorHAnsi"/>
          <w:sz w:val="16"/>
          <w:szCs w:val="16"/>
        </w:rPr>
        <w:t xml:space="preserve"> In some RO years, a very small fraction of this remaining proportion of the obligation was not fulfilled by suppliers making buyout</w:t>
      </w:r>
      <w:r w:rsidRPr="006B3AC6">
        <w:rPr>
          <w:rFonts w:cstheme="minorHAnsi"/>
          <w:sz w:val="16"/>
          <w:szCs w:val="16"/>
        </w:rPr>
        <w:t xml:space="preserve"> and/or late payments, and thus has been left undischarged. For the 20</w:t>
      </w:r>
      <w:r>
        <w:rPr>
          <w:rFonts w:cstheme="minorHAnsi"/>
          <w:sz w:val="16"/>
          <w:szCs w:val="16"/>
        </w:rPr>
        <w:t>20</w:t>
      </w:r>
      <w:r w:rsidRPr="006B3AC6">
        <w:rPr>
          <w:rFonts w:cstheme="minorHAnsi"/>
          <w:sz w:val="16"/>
          <w:szCs w:val="16"/>
        </w:rPr>
        <w:t>-2</w:t>
      </w:r>
      <w:r>
        <w:rPr>
          <w:rFonts w:cstheme="minorHAnsi"/>
          <w:sz w:val="16"/>
          <w:szCs w:val="16"/>
        </w:rPr>
        <w:t>1</w:t>
      </w:r>
      <w:r w:rsidRPr="006B3AC6">
        <w:rPr>
          <w:rFonts w:cstheme="minorHAnsi"/>
          <w:sz w:val="16"/>
          <w:szCs w:val="16"/>
        </w:rPr>
        <w:t xml:space="preserve"> RO year this was more significant, thereby triggering the mutualisation process for the fourth time in the RO’s history</w:t>
      </w:r>
      <w:r w:rsidRPr="00D316CD">
        <w:rPr>
          <w:rFonts w:cstheme="minorHAnsi"/>
          <w:sz w:val="16"/>
          <w:szCs w:val="16"/>
        </w:rPr>
        <w:t xml:space="preserve"> </w:t>
      </w:r>
    </w:p>
  </w:footnote>
  <w:footnote w:id="65">
    <w:p w14:paraId="18525ED4" w14:textId="7FADF698"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Further details on Mutualisation can be found from section </w:t>
      </w:r>
      <w:r w:rsidRPr="00F0710D">
        <w:rPr>
          <w:rFonts w:cstheme="minorHAnsi"/>
          <w:sz w:val="16"/>
          <w:szCs w:val="16"/>
        </w:rPr>
        <w:t>4.4</w:t>
      </w:r>
      <w:r w:rsidR="00EF5B7C">
        <w:rPr>
          <w:rFonts w:cstheme="minorHAnsi"/>
          <w:sz w:val="16"/>
          <w:szCs w:val="16"/>
        </w:rPr>
        <w:t>4</w:t>
      </w:r>
      <w:r>
        <w:rPr>
          <w:rFonts w:cstheme="minorHAnsi"/>
          <w:sz w:val="16"/>
          <w:szCs w:val="16"/>
        </w:rPr>
        <w:t xml:space="preserve"> </w:t>
      </w:r>
      <w:r w:rsidRPr="006B3AC6">
        <w:rPr>
          <w:rFonts w:cstheme="minorHAnsi"/>
          <w:sz w:val="16"/>
          <w:szCs w:val="16"/>
        </w:rPr>
        <w:t>onwards</w:t>
      </w:r>
    </w:p>
  </w:footnote>
  <w:footnote w:id="66">
    <w:p w14:paraId="2B0CAE14" w14:textId="54C48841" w:rsidR="004A396C" w:rsidRPr="006B3AC6" w:rsidRDefault="004A396C" w:rsidP="00A1389D">
      <w:pPr>
        <w:pStyle w:val="FootnoteText"/>
        <w:rPr>
          <w:sz w:val="16"/>
          <w:szCs w:val="16"/>
        </w:rPr>
      </w:pPr>
      <w:r w:rsidRPr="006B3AC6">
        <w:rPr>
          <w:rStyle w:val="FootnoteReference"/>
          <w:szCs w:val="16"/>
        </w:rPr>
        <w:footnoteRef/>
      </w:r>
      <w:r w:rsidRPr="006B3AC6">
        <w:rPr>
          <w:sz w:val="16"/>
          <w:szCs w:val="16"/>
        </w:rPr>
        <w:t xml:space="preserve"> For the determination of ROC </w:t>
      </w:r>
      <w:r w:rsidR="003C12E6">
        <w:rPr>
          <w:sz w:val="16"/>
          <w:szCs w:val="16"/>
        </w:rPr>
        <w:t xml:space="preserve">recycle </w:t>
      </w:r>
      <w:r w:rsidRPr="006B3AC6">
        <w:rPr>
          <w:sz w:val="16"/>
          <w:szCs w:val="16"/>
        </w:rPr>
        <w:t xml:space="preserve">value since 2010-11 please see Appendix </w:t>
      </w:r>
      <w:r w:rsidRPr="006B3AC6">
        <w:rPr>
          <w:rFonts w:cstheme="minorHAnsi"/>
          <w:b/>
          <w:color w:val="000000" w:themeColor="text1"/>
          <w:sz w:val="16"/>
          <w:szCs w:val="16"/>
        </w:rPr>
        <w:t>Table A</w:t>
      </w:r>
      <w:r w:rsidR="00C85B64">
        <w:rPr>
          <w:rFonts w:cstheme="minorHAnsi"/>
          <w:b/>
          <w:color w:val="000000" w:themeColor="text1"/>
          <w:sz w:val="16"/>
          <w:szCs w:val="16"/>
        </w:rPr>
        <w:t>3</w:t>
      </w:r>
      <w:r w:rsidR="00C90C91">
        <w:rPr>
          <w:rFonts w:cstheme="minorHAnsi"/>
          <w:b/>
          <w:color w:val="000000" w:themeColor="text1"/>
          <w:sz w:val="16"/>
          <w:szCs w:val="16"/>
        </w:rPr>
        <w:t>.1</w:t>
      </w:r>
    </w:p>
  </w:footnote>
  <w:footnote w:id="67">
    <w:p w14:paraId="207EFE8C"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Banding came into force on 1 April 2009.</w:t>
      </w:r>
    </w:p>
  </w:footnote>
  <w:footnote w:id="68">
    <w:p w14:paraId="42F80D10"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r w:rsidRPr="006B3AC6">
        <w:rPr>
          <w:rFonts w:eastAsiaTheme="minorEastAsia" w:cstheme="minorHAnsi"/>
          <w:color w:val="000000" w:themeColor="text1"/>
          <w:sz w:val="16"/>
          <w:szCs w:val="16"/>
        </w:rPr>
        <w:t>For example, a supplier who presents 3% of the total ROCs across the three obligations will get back 3% of the amount we redistribute from the buy-out and late payment funds. This is the case regardless of the Order under which a supplier had its obligations. So, for example, a supplier who only has an obligation in England and Wales will still receive part of the Scotland and Northern Ireland payment funds.</w:t>
      </w:r>
    </w:p>
  </w:footnote>
  <w:footnote w:id="69">
    <w:p w14:paraId="601863C6" w14:textId="77777777" w:rsidR="00492A93" w:rsidRPr="006B3AC6" w:rsidRDefault="00492A93" w:rsidP="00492A93">
      <w:pPr>
        <w:pStyle w:val="FootnoteText"/>
        <w:rPr>
          <w:rStyle w:val="FootnoteReference"/>
          <w:rFonts w:cstheme="minorHAnsi"/>
          <w:szCs w:val="16"/>
        </w:rPr>
      </w:pPr>
      <w:r w:rsidRPr="006B3AC6">
        <w:rPr>
          <w:rStyle w:val="FootnoteReference"/>
          <w:rFonts w:cstheme="minorHAnsi"/>
          <w:szCs w:val="16"/>
        </w:rPr>
        <w:footnoteRef/>
      </w:r>
      <w:r w:rsidRPr="006B3AC6">
        <w:rPr>
          <w:rStyle w:val="FootnoteReference"/>
          <w:rFonts w:cstheme="minorHAnsi"/>
          <w:szCs w:val="16"/>
        </w:rPr>
        <w:t xml:space="preserve"> </w:t>
      </w:r>
      <w:r w:rsidRPr="00C43294">
        <w:rPr>
          <w:rFonts w:cstheme="minorHAnsi"/>
          <w:sz w:val="16"/>
          <w:szCs w:val="16"/>
        </w:rPr>
        <w:t>Ofgem’s costs (leaving NIAUR’s aside) were 19.09% higher than for 2020-21, however this cost remains at around 0.12% of the estimated scheme value. The</w:t>
      </w:r>
      <w:r>
        <w:rPr>
          <w:rFonts w:cstheme="minorHAnsi"/>
          <w:sz w:val="16"/>
          <w:szCs w:val="16"/>
        </w:rPr>
        <w:t xml:space="preserve"> overall administration cost of</w:t>
      </w:r>
      <w:r w:rsidRPr="00C43294">
        <w:rPr>
          <w:rFonts w:cstheme="minorHAnsi"/>
          <w:sz w:val="16"/>
          <w:szCs w:val="16"/>
        </w:rPr>
        <w:t xml:space="preserve"> £8.06m includes GB costs of £6,421,511 and NIRO costs of £1,637,471.</w:t>
      </w:r>
      <w:r>
        <w:rPr>
          <w:rFonts w:cstheme="minorHAnsi"/>
          <w:sz w:val="16"/>
          <w:szCs w:val="16"/>
        </w:rPr>
        <w:t xml:space="preserve"> </w:t>
      </w:r>
      <w:hyperlink r:id="rId32" w:history="1">
        <w:r w:rsidRPr="004A138E">
          <w:rPr>
            <w:rStyle w:val="Hyperlink"/>
            <w:rFonts w:cstheme="minorHAnsi"/>
            <w:sz w:val="16"/>
            <w:szCs w:val="16"/>
          </w:rPr>
          <w:t>Link to further information on Ofgem’s RO costs</w:t>
        </w:r>
      </w:hyperlink>
      <w:r>
        <w:rPr>
          <w:rFonts w:cstheme="minorHAnsi"/>
          <w:sz w:val="16"/>
          <w:szCs w:val="16"/>
        </w:rPr>
        <w:t>: &lt;</w:t>
      </w:r>
      <w:r w:rsidRPr="004A138E">
        <w:rPr>
          <w:rFonts w:cstheme="minorHAnsi"/>
          <w:sz w:val="16"/>
          <w:szCs w:val="16"/>
        </w:rPr>
        <w:t>https://www.ofgem.gov.uk/sites/default/files/2021-09/RO%20Cost%20Letter%202021-22%20Final.pdf</w:t>
      </w:r>
      <w:r>
        <w:rPr>
          <w:rFonts w:cstheme="minorHAnsi"/>
          <w:sz w:val="16"/>
          <w:szCs w:val="16"/>
        </w:rPr>
        <w:t>&gt;</w:t>
      </w:r>
    </w:p>
  </w:footnote>
  <w:footnote w:id="70">
    <w:p w14:paraId="22B88982" w14:textId="03B85E86" w:rsidR="00492A93" w:rsidRPr="006B3AC6" w:rsidRDefault="00492A93" w:rsidP="00492A93">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Please see the Ofgem website for further details. </w:t>
      </w:r>
      <w:hyperlink r:id="rId33" w:history="1">
        <w:r w:rsidR="00C64B66" w:rsidRPr="00C64B66">
          <w:rPr>
            <w:rStyle w:val="Hyperlink"/>
            <w:rFonts w:cstheme="minorHAnsi"/>
            <w:sz w:val="16"/>
            <w:szCs w:val="16"/>
          </w:rPr>
          <w:t xml:space="preserve">Link to </w:t>
        </w:r>
        <w:r w:rsidRPr="00C64B66">
          <w:rPr>
            <w:rStyle w:val="Hyperlink"/>
            <w:rFonts w:cstheme="minorHAnsi"/>
            <w:sz w:val="16"/>
            <w:szCs w:val="16"/>
          </w:rPr>
          <w:t>Renewables Obligation: ROCs presented and Redistribution of Buy-Out Fund 2020-21 | Ofgem</w:t>
        </w:r>
      </w:hyperlink>
      <w:r w:rsidRPr="006B3AC6">
        <w:rPr>
          <w:rFonts w:cstheme="minorHAnsi"/>
          <w:sz w:val="16"/>
          <w:szCs w:val="16"/>
        </w:rPr>
        <w:t xml:space="preserve"> </w:t>
      </w:r>
      <w:r w:rsidRPr="006B3AC6">
        <w:rPr>
          <w:rStyle w:val="Hyperlink"/>
          <w:rFonts w:cstheme="minorHAnsi"/>
          <w:sz w:val="16"/>
          <w:szCs w:val="16"/>
        </w:rPr>
        <w:t xml:space="preserve"> &lt;</w:t>
      </w:r>
      <w:r w:rsidRPr="006B3AC6">
        <w:rPr>
          <w:rFonts w:cstheme="minorHAnsi"/>
          <w:sz w:val="16"/>
          <w:szCs w:val="16"/>
        </w:rPr>
        <w:t>https://www.ofgem.gov.uk/publications/renewables-obligation-rocs-presented-and-redistribution-buy-out-fund-2020-21&gt;</w:t>
      </w:r>
    </w:p>
  </w:footnote>
  <w:footnote w:id="71">
    <w:p w14:paraId="609F68A7" w14:textId="77777777"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34" w:history="1">
        <w:r w:rsidRPr="006B3AC6">
          <w:rPr>
            <w:rStyle w:val="Hyperlink"/>
            <w:rFonts w:cstheme="minorHAnsi"/>
            <w:sz w:val="16"/>
            <w:szCs w:val="16"/>
          </w:rPr>
          <w:t>Link to Open Letter</w:t>
        </w:r>
      </w:hyperlink>
      <w:r w:rsidRPr="006B3AC6">
        <w:rPr>
          <w:rFonts w:cstheme="minorHAnsi"/>
          <w:sz w:val="16"/>
          <w:szCs w:val="16"/>
        </w:rPr>
        <w:t xml:space="preserve"> - Payments received after Renewables Obligation (RO) late payment deadline &lt;https://www.ofgem.gov.uk/publications-and-updates/open-letter-payments-received-after-renewables-obligation-ro-late-payment-deadline&gt;</w:t>
      </w:r>
    </w:p>
  </w:footnote>
  <w:footnote w:id="72">
    <w:p w14:paraId="612702AD" w14:textId="12ABFFC1"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proofErr w:type="spellStart"/>
      <w:r w:rsidRPr="006B3AC6">
        <w:rPr>
          <w:rFonts w:cstheme="minorHAnsi"/>
          <w:sz w:val="16"/>
          <w:szCs w:val="16"/>
        </w:rPr>
        <w:t>ie</w:t>
      </w:r>
      <w:proofErr w:type="spellEnd"/>
      <w:r w:rsidRPr="006B3AC6">
        <w:rPr>
          <w:rFonts w:cstheme="minorHAnsi"/>
          <w:sz w:val="16"/>
          <w:szCs w:val="16"/>
        </w:rPr>
        <w:t xml:space="preserve"> if supplier A is due to make 2% of the total </w:t>
      </w:r>
      <w:proofErr w:type="spellStart"/>
      <w:r w:rsidRPr="006B3AC6">
        <w:rPr>
          <w:rFonts w:cstheme="minorHAnsi"/>
          <w:sz w:val="16"/>
          <w:szCs w:val="16"/>
        </w:rPr>
        <w:t>year’s worth</w:t>
      </w:r>
      <w:proofErr w:type="spellEnd"/>
      <w:r w:rsidRPr="006B3AC6">
        <w:rPr>
          <w:rFonts w:cstheme="minorHAnsi"/>
          <w:sz w:val="16"/>
          <w:szCs w:val="16"/>
        </w:rPr>
        <w:t xml:space="preserve"> of mutualisation payments, they will receive 2% of the payments received after the late payment deadline.</w:t>
      </w:r>
    </w:p>
  </w:footnote>
  <w:footnote w:id="73">
    <w:p w14:paraId="309E8FC0" w14:textId="0F1E6A85"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35" w:history="1">
        <w:r w:rsidR="00C64B66">
          <w:rPr>
            <w:rStyle w:val="Hyperlink"/>
            <w:rFonts w:cstheme="minorHAnsi"/>
            <w:sz w:val="16"/>
            <w:szCs w:val="16"/>
          </w:rPr>
          <w:t>Link to d</w:t>
        </w:r>
        <w:r w:rsidRPr="006B3AC6">
          <w:rPr>
            <w:rStyle w:val="Hyperlink"/>
            <w:rFonts w:cstheme="minorHAnsi"/>
            <w:sz w:val="16"/>
            <w:szCs w:val="16"/>
          </w:rPr>
          <w:t>etails of the late, late payment redistribution on the Ofgem website</w:t>
        </w:r>
      </w:hyperlink>
      <w:r w:rsidRPr="006B3AC6">
        <w:rPr>
          <w:rFonts w:cstheme="minorHAnsi"/>
          <w:sz w:val="16"/>
          <w:szCs w:val="16"/>
        </w:rPr>
        <w:t>: &lt;https://www.ofgem.gov.uk/publications-and-updates/renewables-obligation-january-2021-additional-payment-distribution-november-2020&gt;</w:t>
      </w:r>
    </w:p>
  </w:footnote>
  <w:footnote w:id="74">
    <w:p w14:paraId="4DFD779D" w14:textId="77777777" w:rsidR="004A396C" w:rsidRPr="006B3AC6" w:rsidRDefault="004A396C" w:rsidP="00A1389D">
      <w:pPr>
        <w:pStyle w:val="Default"/>
        <w:rPr>
          <w:rFonts w:cstheme="minorHAnsi"/>
          <w:sz w:val="16"/>
          <w:szCs w:val="16"/>
        </w:rPr>
      </w:pPr>
      <w:r w:rsidRPr="003B35B0">
        <w:rPr>
          <w:rFonts w:cstheme="minorHAnsi"/>
          <w:sz w:val="20"/>
          <w:szCs w:val="20"/>
          <w:vertAlign w:val="superscript"/>
        </w:rPr>
        <w:footnoteRef/>
      </w:r>
      <w:r w:rsidRPr="003B35B0">
        <w:rPr>
          <w:rFonts w:cstheme="minorHAnsi"/>
          <w:sz w:val="20"/>
          <w:szCs w:val="20"/>
        </w:rPr>
        <w:t xml:space="preserve"> </w:t>
      </w:r>
      <w:r w:rsidRPr="006B3AC6">
        <w:rPr>
          <w:rFonts w:cstheme="minorHAnsi"/>
          <w:sz w:val="16"/>
          <w:szCs w:val="16"/>
        </w:rPr>
        <w:t xml:space="preserve">Mutualisation is described in articles 72 – 77 of the 2015 RO Order and articles 48 – 52 of the 2009 ROS Order. </w:t>
      </w:r>
    </w:p>
  </w:footnote>
  <w:footnote w:id="75">
    <w:p w14:paraId="0FE2AB16" w14:textId="77777777" w:rsidR="004A396C" w:rsidRPr="006B3AC6" w:rsidRDefault="004A396C" w:rsidP="00A1389D">
      <w:pPr>
        <w:pStyle w:val="Default"/>
        <w:rPr>
          <w:rFonts w:cstheme="minorHAnsi"/>
          <w:sz w:val="16"/>
          <w:szCs w:val="16"/>
        </w:rPr>
      </w:pPr>
      <w:r w:rsidRPr="003B35B0">
        <w:rPr>
          <w:rStyle w:val="FootnoteReference"/>
          <w:rFonts w:eastAsia="Times New Roman" w:cstheme="minorHAnsi"/>
          <w:color w:val="262626"/>
          <w:sz w:val="20"/>
          <w:szCs w:val="12"/>
          <w:lang w:eastAsia="en-GB"/>
        </w:rPr>
        <w:footnoteRef/>
      </w:r>
      <w:r w:rsidRPr="003B35B0">
        <w:rPr>
          <w:rFonts w:cstheme="minorHAnsi"/>
          <w:sz w:val="12"/>
          <w:szCs w:val="12"/>
        </w:rPr>
        <w:t xml:space="preserve"> </w:t>
      </w:r>
      <w:r w:rsidRPr="006B3AC6">
        <w:rPr>
          <w:rFonts w:cstheme="minorHAnsi"/>
          <w:sz w:val="16"/>
          <w:szCs w:val="16"/>
        </w:rPr>
        <w:t xml:space="preserve">Article 72 in the 2015 RO Order and Schedule 3 in the 2009 ROS Order define the amount of relevant shortfall. </w:t>
      </w:r>
    </w:p>
  </w:footnote>
  <w:footnote w:id="76">
    <w:p w14:paraId="15A2FEAE" w14:textId="77777777" w:rsidR="005E7E55" w:rsidRDefault="005E7E55" w:rsidP="005E7E55">
      <w:pPr>
        <w:pStyle w:val="FootnoteText"/>
      </w:pPr>
      <w:r>
        <w:rPr>
          <w:rStyle w:val="FootnoteReference"/>
        </w:rPr>
        <w:footnoteRef/>
      </w:r>
      <w:r>
        <w:t xml:space="preserve"> </w:t>
      </w:r>
      <w:hyperlink r:id="rId36" w:history="1">
        <w:r w:rsidRPr="00515FC6">
          <w:rPr>
            <w:rStyle w:val="Hyperlink"/>
            <w:sz w:val="16"/>
            <w:szCs w:val="16"/>
          </w:rPr>
          <w:t>Link to notice detailing shortfall in late payment fund</w:t>
        </w:r>
      </w:hyperlink>
      <w:r w:rsidRPr="00515FC6">
        <w:rPr>
          <w:sz w:val="16"/>
          <w:szCs w:val="16"/>
        </w:rPr>
        <w:t xml:space="preserve"> (table 3): &lt;</w:t>
      </w:r>
      <w:r w:rsidRPr="00DD128F">
        <w:rPr>
          <w:sz w:val="16"/>
          <w:szCs w:val="16"/>
        </w:rPr>
        <w:t>https://www.ofgem.gov.uk/publications/renewables-obligation-late-payment-distribution-2020-2021</w:t>
      </w:r>
      <w:r>
        <w:rPr>
          <w:sz w:val="16"/>
          <w:szCs w:val="16"/>
        </w:rPr>
        <w:t>&gt;</w:t>
      </w:r>
    </w:p>
  </w:footnote>
  <w:footnote w:id="77">
    <w:p w14:paraId="10915979" w14:textId="468D0F32" w:rsidR="003B7840" w:rsidRDefault="003B7840">
      <w:pPr>
        <w:pStyle w:val="FootnoteText"/>
      </w:pPr>
      <w:r>
        <w:rPr>
          <w:rStyle w:val="FootnoteReference"/>
        </w:rPr>
        <w:footnoteRef/>
      </w:r>
      <w:r>
        <w:t xml:space="preserve"> </w:t>
      </w:r>
      <w:hyperlink r:id="rId37" w:history="1">
        <w:r w:rsidRPr="003B35B0">
          <w:rPr>
            <w:rStyle w:val="Hyperlink"/>
            <w:sz w:val="16"/>
            <w:szCs w:val="16"/>
          </w:rPr>
          <w:t>Link to 2020-21 mutualisation notice</w:t>
        </w:r>
      </w:hyperlink>
      <w:r w:rsidRPr="003B35B0">
        <w:rPr>
          <w:sz w:val="16"/>
          <w:szCs w:val="16"/>
        </w:rPr>
        <w:t>: &lt;</w:t>
      </w:r>
      <w:r w:rsidRPr="003B7840">
        <w:rPr>
          <w:sz w:val="16"/>
          <w:szCs w:val="16"/>
        </w:rPr>
        <w:t>https://www.ofgem.gov.uk/publications/renewables-obligation-202021-mutualisation</w:t>
      </w:r>
      <w:r>
        <w:rPr>
          <w:sz w:val="16"/>
          <w:szCs w:val="16"/>
        </w:rPr>
        <w:t>&gt;</w:t>
      </w:r>
    </w:p>
  </w:footnote>
  <w:footnote w:id="78">
    <w:p w14:paraId="05CA37CC" w14:textId="41EF045F"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38" w:history="1">
        <w:r w:rsidR="006251A7" w:rsidRPr="006251A7">
          <w:rPr>
            <w:rStyle w:val="Hyperlink"/>
            <w:rFonts w:cstheme="minorHAnsi"/>
            <w:sz w:val="16"/>
            <w:szCs w:val="16"/>
          </w:rPr>
          <w:t xml:space="preserve">Link to </w:t>
        </w:r>
        <w:r w:rsidRPr="006251A7">
          <w:rPr>
            <w:rStyle w:val="Hyperlink"/>
            <w:rFonts w:cstheme="minorHAnsi"/>
            <w:sz w:val="16"/>
            <w:szCs w:val="16"/>
          </w:rPr>
          <w:t>RO Publications and updates:</w:t>
        </w:r>
      </w:hyperlink>
      <w:r w:rsidRPr="006B3AC6">
        <w:rPr>
          <w:rStyle w:val="Hyperlink"/>
          <w:rFonts w:cstheme="minorHAnsi"/>
          <w:sz w:val="16"/>
          <w:szCs w:val="16"/>
        </w:rPr>
        <w:t xml:space="preserve"> </w:t>
      </w:r>
      <w:r w:rsidRPr="006B3AC6">
        <w:rPr>
          <w:rFonts w:cstheme="minorHAnsi"/>
          <w:sz w:val="16"/>
          <w:szCs w:val="16"/>
        </w:rPr>
        <w:t>&lt;https://www.ofgem.gov.uk/environmental-programmes/ro/contacts-publications-and-data&gt;</w:t>
      </w:r>
    </w:p>
  </w:footnote>
  <w:footnote w:id="79">
    <w:p w14:paraId="39CB478E" w14:textId="5B46E25F" w:rsidR="004A396C" w:rsidRPr="006B3AC6" w:rsidRDefault="004A396C" w:rsidP="00A1389D">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w:t>
      </w:r>
      <w:hyperlink r:id="rId39" w:history="1">
        <w:r w:rsidRPr="006B3AC6">
          <w:rPr>
            <w:rStyle w:val="Hyperlink"/>
            <w:rFonts w:cstheme="minorHAnsi"/>
            <w:sz w:val="16"/>
            <w:szCs w:val="16"/>
          </w:rPr>
          <w:t>Link to RO guidance for suppliers</w:t>
        </w:r>
      </w:hyperlink>
      <w:r w:rsidRPr="006B3AC6">
        <w:rPr>
          <w:rFonts w:cstheme="minorHAnsi"/>
          <w:sz w:val="16"/>
          <w:szCs w:val="16"/>
        </w:rPr>
        <w:t xml:space="preserve">: </w:t>
      </w:r>
      <w:r w:rsidR="00785E8C">
        <w:rPr>
          <w:rFonts w:cstheme="minorHAnsi"/>
          <w:sz w:val="16"/>
          <w:szCs w:val="16"/>
        </w:rPr>
        <w:t>&lt;</w:t>
      </w:r>
      <w:r w:rsidR="00C64B66" w:rsidRPr="00C64B66">
        <w:rPr>
          <w:rFonts w:cstheme="minorHAnsi"/>
          <w:sz w:val="16"/>
          <w:szCs w:val="16"/>
        </w:rPr>
        <w:t>https://www.ofgem.gov.uk/publications/renewables-obligation-guidance-suppliers</w:t>
      </w:r>
      <w:r w:rsidR="00785E8C">
        <w:rPr>
          <w:rFonts w:cstheme="minorHAnsi"/>
          <w:sz w:val="16"/>
          <w:szCs w:val="16"/>
        </w:rPr>
        <w:t>&gt;</w:t>
      </w:r>
      <w:r w:rsidRPr="006B3AC6">
        <w:rPr>
          <w:rFonts w:cstheme="minorHAnsi"/>
          <w:sz w:val="16"/>
          <w:szCs w:val="16"/>
        </w:rPr>
        <w:t xml:space="preserve"> </w:t>
      </w:r>
    </w:p>
  </w:footnote>
  <w:footnote w:id="80">
    <w:p w14:paraId="21A4ECDA" w14:textId="30DD2910" w:rsidR="00770F22" w:rsidRDefault="00770F22">
      <w:pPr>
        <w:pStyle w:val="FootnoteText"/>
      </w:pPr>
      <w:r>
        <w:rPr>
          <w:rStyle w:val="FootnoteReference"/>
        </w:rPr>
        <w:footnoteRef/>
      </w:r>
      <w:r>
        <w:t xml:space="preserve"> </w:t>
      </w:r>
      <w:r w:rsidRPr="003B35B0">
        <w:rPr>
          <w:sz w:val="16"/>
          <w:szCs w:val="16"/>
        </w:rPr>
        <w:t>P</w:t>
      </w:r>
      <w:r>
        <w:rPr>
          <w:sz w:val="16"/>
          <w:szCs w:val="16"/>
        </w:rPr>
        <w:t xml:space="preserve">age </w:t>
      </w:r>
      <w:r w:rsidRPr="003B35B0">
        <w:rPr>
          <w:sz w:val="16"/>
          <w:szCs w:val="16"/>
        </w:rPr>
        <w:t>36</w:t>
      </w:r>
      <w:r>
        <w:rPr>
          <w:sz w:val="16"/>
          <w:szCs w:val="16"/>
        </w:rPr>
        <w:t xml:space="preserve"> of </w:t>
      </w:r>
      <w:r w:rsidR="00B24D65">
        <w:rPr>
          <w:sz w:val="16"/>
          <w:szCs w:val="16"/>
        </w:rPr>
        <w:t>RO guidance for suppliers</w:t>
      </w:r>
      <w:r w:rsidRPr="003B35B0">
        <w:rPr>
          <w:sz w:val="16"/>
          <w:szCs w:val="16"/>
        </w:rPr>
        <w:t xml:space="preserve"> </w:t>
      </w:r>
      <w:r>
        <w:rPr>
          <w:sz w:val="16"/>
          <w:szCs w:val="16"/>
        </w:rPr>
        <w:t xml:space="preserve">(paragraph </w:t>
      </w:r>
      <w:r w:rsidRPr="003B35B0">
        <w:rPr>
          <w:sz w:val="16"/>
          <w:szCs w:val="16"/>
        </w:rPr>
        <w:t>7.9</w:t>
      </w:r>
      <w:r>
        <w:rPr>
          <w:sz w:val="16"/>
          <w:szCs w:val="16"/>
        </w:rPr>
        <w:t xml:space="preserve"> and</w:t>
      </w:r>
      <w:r w:rsidRPr="003B35B0">
        <w:rPr>
          <w:sz w:val="16"/>
          <w:szCs w:val="16"/>
        </w:rPr>
        <w:t xml:space="preserve"> Table 6</w:t>
      </w:r>
      <w:r>
        <w:rPr>
          <w:sz w:val="16"/>
          <w:szCs w:val="16"/>
        </w:rPr>
        <w:t>).</w:t>
      </w:r>
    </w:p>
  </w:footnote>
  <w:footnote w:id="81">
    <w:p w14:paraId="6568D274" w14:textId="77777777" w:rsidR="00BD26FE" w:rsidRDefault="00BD26FE" w:rsidP="00BD26FE">
      <w:pPr>
        <w:pStyle w:val="FootnoteText"/>
        <w:rPr>
          <w:sz w:val="16"/>
          <w:szCs w:val="16"/>
        </w:rPr>
      </w:pPr>
      <w:r>
        <w:rPr>
          <w:rStyle w:val="FootnoteReference"/>
        </w:rPr>
        <w:footnoteRef/>
      </w:r>
      <w:r>
        <w:t xml:space="preserve"> </w:t>
      </w:r>
      <w:hyperlink r:id="rId40" w:history="1">
        <w:r w:rsidRPr="00602939">
          <w:rPr>
            <w:rStyle w:val="Hyperlink"/>
            <w:sz w:val="16"/>
            <w:szCs w:val="16"/>
          </w:rPr>
          <w:t xml:space="preserve">Link to </w:t>
        </w:r>
        <w:r w:rsidRPr="00B24D65">
          <w:rPr>
            <w:rStyle w:val="Hyperlink"/>
            <w:sz w:val="16"/>
            <w:szCs w:val="16"/>
          </w:rPr>
          <w:t>2017-18 Q3 mutualisation payments redistribution</w:t>
        </w:r>
      </w:hyperlink>
      <w:r>
        <w:rPr>
          <w:sz w:val="16"/>
          <w:szCs w:val="16"/>
        </w:rPr>
        <w:t>: &lt;</w:t>
      </w:r>
      <w:r w:rsidRPr="00B24D65">
        <w:rPr>
          <w:sz w:val="16"/>
          <w:szCs w:val="16"/>
        </w:rPr>
        <w:t>https://www.ofgem.gov.uk/publications/renewables-obligation-quarter-3-mutualisation-payment-distribution-2017-18</w:t>
      </w:r>
      <w:r>
        <w:rPr>
          <w:sz w:val="16"/>
          <w:szCs w:val="16"/>
        </w:rPr>
        <w:t>&gt;</w:t>
      </w:r>
    </w:p>
    <w:p w14:paraId="015EA827" w14:textId="77777777" w:rsidR="00BD26FE" w:rsidRDefault="00482956" w:rsidP="00BD26FE">
      <w:pPr>
        <w:pStyle w:val="FootnoteText"/>
        <w:rPr>
          <w:sz w:val="16"/>
          <w:szCs w:val="16"/>
        </w:rPr>
      </w:pPr>
      <w:hyperlink r:id="rId41" w:history="1">
        <w:r w:rsidR="00BD26FE" w:rsidRPr="00B24D65">
          <w:rPr>
            <w:rStyle w:val="Hyperlink"/>
            <w:sz w:val="16"/>
            <w:szCs w:val="16"/>
          </w:rPr>
          <w:t>Link to 2017-18 Q4 mutualisation payments redistribution</w:t>
        </w:r>
      </w:hyperlink>
      <w:r w:rsidR="00BD26FE">
        <w:rPr>
          <w:sz w:val="16"/>
          <w:szCs w:val="16"/>
        </w:rPr>
        <w:t>: &lt;</w:t>
      </w:r>
      <w:r w:rsidR="00BD26FE" w:rsidRPr="00B24D65">
        <w:rPr>
          <w:sz w:val="16"/>
          <w:szCs w:val="16"/>
        </w:rPr>
        <w:t>https://www.ofgem.gov.uk/publications/renewables-obligation-quarter-4-mutualisation-payment-distribution-2017-18</w:t>
      </w:r>
      <w:r w:rsidR="00BD26FE">
        <w:rPr>
          <w:sz w:val="16"/>
          <w:szCs w:val="16"/>
        </w:rPr>
        <w:t>&gt;</w:t>
      </w:r>
    </w:p>
    <w:p w14:paraId="276584E2" w14:textId="77777777" w:rsidR="00BD26FE" w:rsidRDefault="00482956" w:rsidP="00BD26FE">
      <w:pPr>
        <w:pStyle w:val="FootnoteText"/>
        <w:rPr>
          <w:sz w:val="16"/>
          <w:szCs w:val="16"/>
        </w:rPr>
      </w:pPr>
      <w:hyperlink r:id="rId42" w:history="1">
        <w:r w:rsidR="00BD26FE" w:rsidRPr="00B24D65">
          <w:rPr>
            <w:rStyle w:val="Hyperlink"/>
            <w:sz w:val="16"/>
            <w:szCs w:val="16"/>
          </w:rPr>
          <w:t>Link to 2018-19 Q1 mutualisation payments redistribution:</w:t>
        </w:r>
      </w:hyperlink>
      <w:r w:rsidR="00BD26FE">
        <w:rPr>
          <w:sz w:val="16"/>
          <w:szCs w:val="16"/>
        </w:rPr>
        <w:t xml:space="preserve"> &lt;</w:t>
      </w:r>
      <w:r w:rsidR="00BD26FE" w:rsidRPr="00B24D65">
        <w:rPr>
          <w:sz w:val="16"/>
          <w:szCs w:val="16"/>
        </w:rPr>
        <w:t>https://www.ofgem.gov.uk/publications/renewables-obligation-quarter-1-mutualisation-payment-distribution-2018-19</w:t>
      </w:r>
      <w:r w:rsidR="00BD26FE">
        <w:rPr>
          <w:sz w:val="16"/>
          <w:szCs w:val="16"/>
        </w:rPr>
        <w:t>&gt;</w:t>
      </w:r>
    </w:p>
    <w:p w14:paraId="7CA7AC17" w14:textId="77777777" w:rsidR="00BD26FE" w:rsidRDefault="00482956" w:rsidP="00BD26FE">
      <w:pPr>
        <w:pStyle w:val="FootnoteText"/>
      </w:pPr>
      <w:hyperlink r:id="rId43" w:history="1">
        <w:r w:rsidR="00BD26FE" w:rsidRPr="003B7840">
          <w:rPr>
            <w:rStyle w:val="Hyperlink"/>
            <w:sz w:val="16"/>
            <w:szCs w:val="16"/>
          </w:rPr>
          <w:t>Link to 2018-19 Q2 mutualisation payments redistribution</w:t>
        </w:r>
      </w:hyperlink>
      <w:r w:rsidR="00BD26FE">
        <w:rPr>
          <w:sz w:val="16"/>
          <w:szCs w:val="16"/>
        </w:rPr>
        <w:t>: &lt;</w:t>
      </w:r>
      <w:r w:rsidR="00BD26FE" w:rsidRPr="003B7840">
        <w:rPr>
          <w:sz w:val="16"/>
          <w:szCs w:val="16"/>
        </w:rPr>
        <w:t>https://www.ofgem.gov.uk/publications/renewables-obligation-quarter-2-mutualisation-payment-distribution-2018-19</w:t>
      </w:r>
      <w:r w:rsidR="00BD26FE">
        <w:rPr>
          <w:sz w:val="16"/>
          <w:szCs w:val="16"/>
        </w:rPr>
        <w:t>&gt;</w:t>
      </w:r>
    </w:p>
  </w:footnote>
  <w:footnote w:id="82">
    <w:p w14:paraId="11A4D479" w14:textId="10D0B119" w:rsidR="004A396C" w:rsidRDefault="004A396C">
      <w:pPr>
        <w:pStyle w:val="FootnoteText"/>
      </w:pPr>
      <w:r w:rsidRPr="006D467B">
        <w:rPr>
          <w:rStyle w:val="FootnoteReference"/>
        </w:rPr>
        <w:footnoteRef/>
      </w:r>
      <w:r w:rsidRPr="003B35B0">
        <w:rPr>
          <w:sz w:val="16"/>
          <w:szCs w:val="16"/>
        </w:rPr>
        <w:t xml:space="preserve"> </w:t>
      </w:r>
      <w:hyperlink r:id="rId44" w:history="1">
        <w:r w:rsidRPr="003B35B0">
          <w:rPr>
            <w:rStyle w:val="Hyperlink"/>
            <w:sz w:val="16"/>
            <w:szCs w:val="16"/>
          </w:rPr>
          <w:t>Link to information on the SPR</w:t>
        </w:r>
      </w:hyperlink>
      <w:r w:rsidRPr="003B35B0">
        <w:rPr>
          <w:sz w:val="16"/>
          <w:szCs w:val="16"/>
        </w:rPr>
        <w:t>: &lt;</w:t>
      </w:r>
      <w:r w:rsidRPr="00F93851">
        <w:rPr>
          <w:sz w:val="16"/>
          <w:szCs w:val="16"/>
        </w:rPr>
        <w:t>https://www.ofgem.gov.uk/supplier-performance-report-spr</w:t>
      </w:r>
      <w:r>
        <w:rPr>
          <w:sz w:val="16"/>
          <w:szCs w:val="16"/>
        </w:rPr>
        <w:t>&gt;</w:t>
      </w:r>
    </w:p>
  </w:footnote>
  <w:footnote w:id="83">
    <w:p w14:paraId="67B7D376" w14:textId="199DEBAF" w:rsidR="004A396C" w:rsidRDefault="004A396C">
      <w:pPr>
        <w:pStyle w:val="FootnoteText"/>
      </w:pPr>
      <w:r w:rsidRPr="006D467B">
        <w:rPr>
          <w:rStyle w:val="FootnoteReference"/>
        </w:rPr>
        <w:footnoteRef/>
      </w:r>
      <w:r w:rsidRPr="006D467B">
        <w:t xml:space="preserve"> </w:t>
      </w:r>
      <w:r w:rsidRPr="002E7495">
        <w:rPr>
          <w:rFonts w:cs="Calibri"/>
          <w:sz w:val="16"/>
          <w:szCs w:val="16"/>
        </w:rPr>
        <w:t>Micro</w:t>
      </w:r>
      <w:r w:rsidRPr="0076464C">
        <w:rPr>
          <w:rFonts w:cs="Calibri"/>
          <w:sz w:val="16"/>
          <w:szCs w:val="16"/>
        </w:rPr>
        <w:t xml:space="preserve"> generators are those with a DNC of 50kW or less. Micro generators are only eligible for the RO in NI and are referred to as </w:t>
      </w:r>
      <w:r w:rsidR="006836C5">
        <w:rPr>
          <w:rFonts w:cs="Calibri"/>
          <w:sz w:val="16"/>
          <w:szCs w:val="16"/>
        </w:rPr>
        <w:t>m</w:t>
      </w:r>
      <w:r w:rsidRPr="0076464C">
        <w:rPr>
          <w:rFonts w:cs="Calibri"/>
          <w:sz w:val="16"/>
          <w:szCs w:val="16"/>
        </w:rPr>
        <w:t>icro-NIRO</w:t>
      </w:r>
      <w:r w:rsidRPr="0025370F">
        <w:rPr>
          <w:rFonts w:cs="Calibri"/>
          <w:sz w:val="16"/>
          <w:szCs w:val="16"/>
        </w:rPr>
        <w:t>.</w:t>
      </w:r>
    </w:p>
  </w:footnote>
  <w:footnote w:id="84">
    <w:p w14:paraId="6B7EA98D" w14:textId="6B6EA994" w:rsidR="004A396C" w:rsidRPr="000371B8" w:rsidRDefault="004A396C">
      <w:pPr>
        <w:pStyle w:val="FootnoteText"/>
        <w:rPr>
          <w:sz w:val="16"/>
          <w:szCs w:val="16"/>
        </w:rPr>
      </w:pPr>
      <w:r w:rsidRPr="006D467B">
        <w:rPr>
          <w:rStyle w:val="FootnoteReference"/>
        </w:rPr>
        <w:footnoteRef/>
      </w:r>
      <w:r w:rsidRPr="000371B8">
        <w:rPr>
          <w:sz w:val="16"/>
          <w:szCs w:val="16"/>
        </w:rPr>
        <w:t xml:space="preserve"> </w:t>
      </w:r>
      <w:r w:rsidRPr="00845770">
        <w:rPr>
          <w:sz w:val="16"/>
          <w:szCs w:val="16"/>
        </w:rPr>
        <w:t xml:space="preserve">Agents represent </w:t>
      </w:r>
      <w:r>
        <w:rPr>
          <w:sz w:val="16"/>
          <w:szCs w:val="16"/>
        </w:rPr>
        <w:t>multiple</w:t>
      </w:r>
      <w:r w:rsidRPr="00845770">
        <w:rPr>
          <w:sz w:val="16"/>
          <w:szCs w:val="16"/>
        </w:rPr>
        <w:t xml:space="preserve"> generators, </w:t>
      </w:r>
      <w:r>
        <w:rPr>
          <w:sz w:val="16"/>
          <w:szCs w:val="16"/>
        </w:rPr>
        <w:t>and</w:t>
      </w:r>
      <w:r w:rsidRPr="00845770">
        <w:rPr>
          <w:sz w:val="16"/>
          <w:szCs w:val="16"/>
        </w:rPr>
        <w:t xml:space="preserve"> act on their behalf to submit data and receive ROCs.</w:t>
      </w:r>
    </w:p>
  </w:footnote>
  <w:footnote w:id="85">
    <w:p w14:paraId="33099486" w14:textId="0F6C723B" w:rsidR="004A396C" w:rsidRDefault="004A396C">
      <w:pPr>
        <w:pStyle w:val="FootnoteText"/>
      </w:pPr>
      <w:r w:rsidRPr="006D467B">
        <w:rPr>
          <w:rStyle w:val="FootnoteReference"/>
        </w:rPr>
        <w:footnoteRef/>
      </w:r>
      <w:r w:rsidRPr="000371B8">
        <w:rPr>
          <w:sz w:val="16"/>
          <w:szCs w:val="16"/>
        </w:rPr>
        <w:t xml:space="preserve"> </w:t>
      </w:r>
      <w:r w:rsidRPr="00845770">
        <w:rPr>
          <w:sz w:val="16"/>
          <w:szCs w:val="16"/>
        </w:rPr>
        <w:t>Rent</w:t>
      </w:r>
      <w:r w:rsidRPr="00247209">
        <w:rPr>
          <w:sz w:val="16"/>
          <w:szCs w:val="16"/>
        </w:rPr>
        <w:t>-a-roof companies offer</w:t>
      </w:r>
      <w:r w:rsidR="005055D5">
        <w:rPr>
          <w:sz w:val="16"/>
          <w:szCs w:val="16"/>
        </w:rPr>
        <w:t>ed</w:t>
      </w:r>
      <w:r w:rsidRPr="00247209">
        <w:rPr>
          <w:sz w:val="16"/>
          <w:szCs w:val="16"/>
        </w:rPr>
        <w:t xml:space="preserve"> solar PV panels to homeowners in exchange for the income generated as a result of participation in the NIRO scheme.</w:t>
      </w:r>
    </w:p>
  </w:footnote>
  <w:footnote w:id="86">
    <w:p w14:paraId="7B3007FC" w14:textId="319E8B63" w:rsidR="004A396C" w:rsidRDefault="004A396C" w:rsidP="005A3707">
      <w:pPr>
        <w:pStyle w:val="FootnoteText"/>
      </w:pPr>
      <w:r w:rsidRPr="006D467B">
        <w:rPr>
          <w:rStyle w:val="FootnoteReference"/>
        </w:rPr>
        <w:footnoteRef/>
      </w:r>
      <w:r w:rsidRPr="006D467B">
        <w:t xml:space="preserve"> </w:t>
      </w:r>
      <w:r w:rsidRPr="000371B8">
        <w:rPr>
          <w:sz w:val="16"/>
          <w:szCs w:val="16"/>
        </w:rPr>
        <w:t xml:space="preserve">Article </w:t>
      </w:r>
      <w:r>
        <w:rPr>
          <w:sz w:val="16"/>
          <w:szCs w:val="16"/>
        </w:rPr>
        <w:t xml:space="preserve">24, 25 and </w:t>
      </w:r>
      <w:r w:rsidRPr="000371B8">
        <w:rPr>
          <w:sz w:val="16"/>
          <w:szCs w:val="16"/>
        </w:rPr>
        <w:t xml:space="preserve">90 of the RO, Article </w:t>
      </w:r>
      <w:r>
        <w:rPr>
          <w:sz w:val="16"/>
          <w:szCs w:val="16"/>
        </w:rPr>
        <w:t xml:space="preserve">41 and </w:t>
      </w:r>
      <w:r w:rsidRPr="000371B8">
        <w:rPr>
          <w:sz w:val="16"/>
          <w:szCs w:val="16"/>
        </w:rPr>
        <w:t xml:space="preserve">58 of the ROS and Article </w:t>
      </w:r>
      <w:r>
        <w:rPr>
          <w:sz w:val="16"/>
          <w:szCs w:val="16"/>
        </w:rPr>
        <w:t xml:space="preserve">37 and </w:t>
      </w:r>
      <w:r w:rsidRPr="000371B8">
        <w:rPr>
          <w:sz w:val="16"/>
          <w:szCs w:val="16"/>
        </w:rPr>
        <w:t>50 of the NIRO.</w:t>
      </w:r>
    </w:p>
  </w:footnote>
  <w:footnote w:id="87">
    <w:p w14:paraId="69AF103B" w14:textId="19FB3187" w:rsidR="004A396C" w:rsidRDefault="004A396C">
      <w:pPr>
        <w:pStyle w:val="FootnoteText"/>
      </w:pPr>
      <w:r w:rsidRPr="006D467B">
        <w:rPr>
          <w:rStyle w:val="FootnoteReference"/>
        </w:rPr>
        <w:footnoteRef/>
      </w:r>
      <w:r w:rsidRPr="000371B8">
        <w:rPr>
          <w:sz w:val="16"/>
          <w:szCs w:val="16"/>
        </w:rPr>
        <w:t xml:space="preserve"> </w:t>
      </w:r>
      <w:r w:rsidRPr="00C16D6E">
        <w:rPr>
          <w:sz w:val="16"/>
          <w:szCs w:val="16"/>
        </w:rPr>
        <w:t>Article</w:t>
      </w:r>
      <w:r w:rsidRPr="004F790E">
        <w:rPr>
          <w:sz w:val="16"/>
          <w:szCs w:val="16"/>
        </w:rPr>
        <w:t xml:space="preserve"> </w:t>
      </w:r>
      <w:r>
        <w:rPr>
          <w:sz w:val="16"/>
          <w:szCs w:val="16"/>
        </w:rPr>
        <w:t>89</w:t>
      </w:r>
      <w:r w:rsidRPr="004F790E">
        <w:rPr>
          <w:sz w:val="16"/>
          <w:szCs w:val="16"/>
        </w:rPr>
        <w:t>(</w:t>
      </w:r>
      <w:r>
        <w:rPr>
          <w:sz w:val="16"/>
          <w:szCs w:val="16"/>
        </w:rPr>
        <w:t>3</w:t>
      </w:r>
      <w:r w:rsidRPr="004F790E">
        <w:rPr>
          <w:sz w:val="16"/>
          <w:szCs w:val="16"/>
        </w:rPr>
        <w:t>)(</w:t>
      </w:r>
      <w:r>
        <w:rPr>
          <w:sz w:val="16"/>
          <w:szCs w:val="16"/>
        </w:rPr>
        <w:t>b</w:t>
      </w:r>
      <w:r w:rsidRPr="004F790E">
        <w:rPr>
          <w:sz w:val="16"/>
          <w:szCs w:val="16"/>
        </w:rPr>
        <w:t>) of the RO</w:t>
      </w:r>
      <w:r>
        <w:rPr>
          <w:sz w:val="16"/>
          <w:szCs w:val="16"/>
        </w:rPr>
        <w:t>.</w:t>
      </w:r>
    </w:p>
  </w:footnote>
  <w:footnote w:id="88">
    <w:p w14:paraId="2972868C" w14:textId="00E2DC2E" w:rsidR="004A396C" w:rsidRDefault="004A396C">
      <w:pPr>
        <w:pStyle w:val="FootnoteText"/>
      </w:pPr>
      <w:r w:rsidRPr="006D467B">
        <w:rPr>
          <w:rStyle w:val="FootnoteReference"/>
        </w:rPr>
        <w:footnoteRef/>
      </w:r>
      <w:r w:rsidRPr="006D467B">
        <w:t xml:space="preserve"> </w:t>
      </w:r>
      <w:r w:rsidRPr="000371B8">
        <w:rPr>
          <w:sz w:val="16"/>
          <w:szCs w:val="16"/>
        </w:rPr>
        <w:t>Article 25(4)(a) of the RO</w:t>
      </w:r>
      <w:r>
        <w:rPr>
          <w:sz w:val="16"/>
          <w:szCs w:val="16"/>
        </w:rPr>
        <w:t>.</w:t>
      </w:r>
    </w:p>
  </w:footnote>
  <w:footnote w:id="89">
    <w:p w14:paraId="78008FEE" w14:textId="7F85A532" w:rsidR="004A396C" w:rsidRDefault="004A396C">
      <w:pPr>
        <w:pStyle w:val="FootnoteText"/>
      </w:pPr>
      <w:r w:rsidRPr="006D467B">
        <w:rPr>
          <w:rStyle w:val="FootnoteReference"/>
        </w:rPr>
        <w:footnoteRef/>
      </w:r>
      <w:r w:rsidRPr="000371B8">
        <w:rPr>
          <w:sz w:val="16"/>
          <w:szCs w:val="16"/>
        </w:rPr>
        <w:t xml:space="preserve"> </w:t>
      </w:r>
      <w:r>
        <w:rPr>
          <w:sz w:val="16"/>
          <w:szCs w:val="16"/>
        </w:rPr>
        <w:t xml:space="preserve">NIRO ROC bandings were introduced in 2010 and 2011 and are determined by the type of technology, the date full accreditation was granted, and in some instances, the capacity of the generating station.  </w:t>
      </w:r>
    </w:p>
  </w:footnote>
  <w:footnote w:id="90">
    <w:p w14:paraId="5708C408" w14:textId="451F71A7" w:rsidR="004A396C" w:rsidRDefault="004A396C" w:rsidP="009607A8">
      <w:pPr>
        <w:pStyle w:val="FootnoteText"/>
      </w:pPr>
      <w:r>
        <w:rPr>
          <w:rStyle w:val="FootnoteReference"/>
        </w:rPr>
        <w:footnoteRef/>
      </w:r>
      <w:r>
        <w:t xml:space="preserve"> </w:t>
      </w:r>
      <w:r>
        <w:rPr>
          <w:sz w:val="16"/>
        </w:rPr>
        <w:t xml:space="preserve">For information on extracting data from the public reports please refer to Appendix </w:t>
      </w:r>
      <w:r w:rsidR="00C85B64">
        <w:rPr>
          <w:sz w:val="16"/>
        </w:rPr>
        <w:t>4</w:t>
      </w:r>
      <w:r>
        <w:rPr>
          <w:sz w:val="16"/>
        </w:rPr>
        <w:t>.</w:t>
      </w:r>
    </w:p>
  </w:footnote>
  <w:footnote w:id="91">
    <w:p w14:paraId="424F6E48" w14:textId="77777777" w:rsidR="004A396C" w:rsidRDefault="004A396C" w:rsidP="009607A8">
      <w:pPr>
        <w:pStyle w:val="FootnoteText"/>
      </w:pPr>
      <w:r w:rsidRPr="005D6355">
        <w:rPr>
          <w:rStyle w:val="FootnoteReference"/>
          <w:szCs w:val="16"/>
        </w:rPr>
        <w:footnoteRef/>
      </w:r>
      <w:r w:rsidRPr="00DA4819">
        <w:rPr>
          <w:sz w:val="16"/>
          <w:szCs w:val="16"/>
        </w:rPr>
        <w:t xml:space="preserve"> DNC</w:t>
      </w:r>
      <w:r w:rsidRPr="003E7AF6">
        <w:rPr>
          <w:sz w:val="16"/>
        </w:rPr>
        <w:t xml:space="preserve"> means “the maximum capacity at which the station could be operated for a sustained period without causing damage to it (assuming the source of power used by it to generate electricity was available to it without interruption) less the amount of electricity that is consumed by the plant”.</w:t>
      </w:r>
    </w:p>
  </w:footnote>
  <w:footnote w:id="92">
    <w:p w14:paraId="7C469D97" w14:textId="77777777" w:rsidR="004A396C" w:rsidRDefault="004A396C" w:rsidP="009607A8">
      <w:pPr>
        <w:pStyle w:val="FootnoteText"/>
      </w:pPr>
      <w:r w:rsidRPr="005D6355">
        <w:rPr>
          <w:rStyle w:val="FootnoteReference"/>
          <w:szCs w:val="16"/>
        </w:rPr>
        <w:footnoteRef/>
      </w:r>
      <w:r w:rsidRPr="005D6355">
        <w:rPr>
          <w:szCs w:val="16"/>
        </w:rPr>
        <w:t xml:space="preserve"> </w:t>
      </w:r>
      <w:r w:rsidRPr="00DA4819">
        <w:rPr>
          <w:sz w:val="16"/>
          <w:szCs w:val="16"/>
        </w:rPr>
        <w:t>TIC means</w:t>
      </w:r>
      <w:r w:rsidRPr="003E7AF6">
        <w:rPr>
          <w:sz w:val="16"/>
        </w:rPr>
        <w:t xml:space="preserve"> “the maximum capacity at which the station could be operated for a sustained period without causing damage to it (assuming the source of power used by it to generate electricity was available to it without interruption)”.</w:t>
      </w:r>
    </w:p>
  </w:footnote>
  <w:footnote w:id="93">
    <w:p w14:paraId="06E5FC07" w14:textId="77777777" w:rsidR="004A396C" w:rsidRDefault="004A396C" w:rsidP="001F73E7">
      <w:pPr>
        <w:pStyle w:val="FootnoteText"/>
      </w:pPr>
      <w:r w:rsidRPr="00680E60">
        <w:rPr>
          <w:rStyle w:val="FootnoteReference"/>
          <w:sz w:val="16"/>
          <w:szCs w:val="16"/>
        </w:rPr>
        <w:footnoteRef/>
      </w:r>
      <w:r>
        <w:t xml:space="preserve"> </w:t>
      </w:r>
      <w:hyperlink r:id="rId45" w:history="1">
        <w:r w:rsidRPr="00305121">
          <w:rPr>
            <w:rStyle w:val="Hyperlink"/>
            <w:sz w:val="16"/>
          </w:rPr>
          <w:t>Link to information on the RO closure</w:t>
        </w:r>
      </w:hyperlink>
      <w:r>
        <w:rPr>
          <w:sz w:val="16"/>
        </w:rPr>
        <w:t>: &lt;</w:t>
      </w:r>
      <w:r w:rsidRPr="00305121">
        <w:rPr>
          <w:sz w:val="16"/>
        </w:rPr>
        <w:t>https://www.ofgem.gov.uk/environmental-programmes/ro/about-ro/ro-closure</w:t>
      </w:r>
      <w:r>
        <w:rPr>
          <w:sz w:val="16"/>
        </w:rPr>
        <w:t>&gt;</w:t>
      </w:r>
    </w:p>
  </w:footnote>
  <w:footnote w:id="94">
    <w:p w14:paraId="1F834DCA" w14:textId="62A191E6" w:rsidR="003B1013" w:rsidRPr="003B35B0" w:rsidRDefault="003B1013">
      <w:pPr>
        <w:pStyle w:val="FootnoteText"/>
        <w:rPr>
          <w:sz w:val="16"/>
          <w:szCs w:val="16"/>
        </w:rPr>
      </w:pPr>
      <w:r w:rsidRPr="006D467B">
        <w:rPr>
          <w:rStyle w:val="FootnoteReference"/>
        </w:rPr>
        <w:footnoteRef/>
      </w:r>
      <w:r w:rsidRPr="006D467B">
        <w:t xml:space="preserve"> </w:t>
      </w:r>
      <w:hyperlink r:id="rId46" w:history="1">
        <w:r w:rsidR="00EB266D">
          <w:rPr>
            <w:rStyle w:val="Hyperlink"/>
            <w:sz w:val="16"/>
            <w:szCs w:val="16"/>
          </w:rPr>
          <w:t>Link to webpage on scheme performance indicators</w:t>
        </w:r>
      </w:hyperlink>
      <w:r w:rsidRPr="003B35B0">
        <w:rPr>
          <w:sz w:val="16"/>
          <w:szCs w:val="16"/>
        </w:rPr>
        <w:t>:&lt;https://www.ofgem.gov.uk/environmental-and-social-schemes&gt;</w:t>
      </w:r>
    </w:p>
  </w:footnote>
  <w:footnote w:id="95">
    <w:p w14:paraId="2728A1AC" w14:textId="3FF9754D" w:rsidR="00E0766F" w:rsidRDefault="00E0766F">
      <w:pPr>
        <w:pStyle w:val="FootnoteText"/>
      </w:pPr>
      <w:r w:rsidRPr="006D467B">
        <w:rPr>
          <w:rStyle w:val="FootnoteReference"/>
        </w:rPr>
        <w:footnoteRef/>
      </w:r>
      <w:r w:rsidRPr="003B35B0">
        <w:rPr>
          <w:sz w:val="16"/>
          <w:szCs w:val="16"/>
        </w:rPr>
        <w:t xml:space="preserve"> </w:t>
      </w:r>
      <w:hyperlink r:id="rId47" w:history="1">
        <w:r w:rsidR="006D467B">
          <w:rPr>
            <w:rStyle w:val="Hyperlink"/>
            <w:sz w:val="16"/>
            <w:szCs w:val="16"/>
          </w:rPr>
          <w:t>Link to i</w:t>
        </w:r>
        <w:r w:rsidRPr="003B35B0">
          <w:rPr>
            <w:rStyle w:val="Hyperlink"/>
            <w:sz w:val="16"/>
            <w:szCs w:val="16"/>
          </w:rPr>
          <w:t>nformation on grace periods</w:t>
        </w:r>
      </w:hyperlink>
      <w:r w:rsidRPr="003B35B0">
        <w:rPr>
          <w:sz w:val="16"/>
          <w:szCs w:val="16"/>
        </w:rPr>
        <w:t xml:space="preserve">: </w:t>
      </w:r>
      <w:r>
        <w:rPr>
          <w:sz w:val="16"/>
          <w:szCs w:val="16"/>
        </w:rPr>
        <w:t>&lt;</w:t>
      </w:r>
      <w:r w:rsidRPr="00E0766F">
        <w:rPr>
          <w:sz w:val="16"/>
          <w:szCs w:val="16"/>
        </w:rPr>
        <w:t>https://www.ofgem.gov.uk/environmental-and-social-schemes/renewables-obligation-ro/ro-closure</w:t>
      </w:r>
      <w:r>
        <w:rPr>
          <w:sz w:val="16"/>
          <w:szCs w:val="16"/>
        </w:rPr>
        <w:t>&gt;</w:t>
      </w:r>
    </w:p>
  </w:footnote>
  <w:footnote w:id="96">
    <w:p w14:paraId="32D02A00" w14:textId="446611DE" w:rsidR="004A396C" w:rsidRPr="003B35B0" w:rsidRDefault="004A396C" w:rsidP="004537F3">
      <w:pPr>
        <w:pStyle w:val="FootnoteText"/>
        <w:rPr>
          <w:sz w:val="16"/>
          <w:szCs w:val="16"/>
        </w:rPr>
      </w:pPr>
      <w:r w:rsidRPr="000472FF">
        <w:rPr>
          <w:rStyle w:val="FootnoteReference"/>
        </w:rPr>
        <w:footnoteRef/>
      </w:r>
      <w:r w:rsidRPr="003B35B0">
        <w:rPr>
          <w:sz w:val="16"/>
          <w:szCs w:val="16"/>
        </w:rPr>
        <w:t xml:space="preserve"> </w:t>
      </w:r>
      <w:hyperlink r:id="rId48" w:history="1">
        <w:r w:rsidR="00A525AE">
          <w:rPr>
            <w:color w:val="0000FF"/>
            <w:sz w:val="16"/>
            <w:szCs w:val="16"/>
            <w:u w:val="single"/>
            <w:lang w:eastAsia="en-US"/>
          </w:rPr>
          <w:t xml:space="preserve">Link to the Guarantees of Origin of Electricity Produced from High-efficiency Cogeneration and Renewables Obligation (Amendment) (EU Exit) Regulations 2020: </w:t>
        </w:r>
      </w:hyperlink>
      <w:r w:rsidR="00A525AE" w:rsidRPr="003B35B0">
        <w:rPr>
          <w:sz w:val="16"/>
          <w:szCs w:val="16"/>
          <w:lang w:eastAsia="en-US"/>
        </w:rPr>
        <w:t>&lt;https://www.legislation.gov.uk/uksi/2020/849/contents/made&gt;</w:t>
      </w:r>
    </w:p>
  </w:footnote>
  <w:footnote w:id="97">
    <w:p w14:paraId="497E4ECD" w14:textId="471B9090" w:rsidR="004A396C" w:rsidRPr="003B35B0" w:rsidRDefault="004A396C" w:rsidP="004537F3">
      <w:pPr>
        <w:pStyle w:val="FootnoteText"/>
        <w:rPr>
          <w:sz w:val="16"/>
          <w:szCs w:val="16"/>
        </w:rPr>
      </w:pPr>
      <w:r w:rsidRPr="003B35B0">
        <w:rPr>
          <w:rStyle w:val="FootnoteReference"/>
        </w:rPr>
        <w:footnoteRef/>
      </w:r>
      <w:r w:rsidRPr="003B35B0">
        <w:rPr>
          <w:sz w:val="16"/>
          <w:szCs w:val="16"/>
        </w:rPr>
        <w:t xml:space="preserve"> </w:t>
      </w:r>
      <w:hyperlink r:id="rId49" w:history="1">
        <w:r w:rsidR="00A525AE">
          <w:rPr>
            <w:color w:val="0000FF"/>
            <w:sz w:val="16"/>
            <w:szCs w:val="16"/>
            <w:u w:val="single"/>
            <w:lang w:eastAsia="en-US"/>
          </w:rPr>
          <w:t>Link to Renewables obligation: changes to mutualisation arrangements:</w:t>
        </w:r>
      </w:hyperlink>
      <w:r w:rsidR="000472FF">
        <w:rPr>
          <w:color w:val="0000FF"/>
          <w:sz w:val="16"/>
          <w:szCs w:val="16"/>
          <w:u w:val="single"/>
          <w:lang w:eastAsia="en-US"/>
        </w:rPr>
        <w:t xml:space="preserve"> </w:t>
      </w:r>
      <w:r w:rsidR="00A525AE" w:rsidRPr="003B35B0">
        <w:rPr>
          <w:sz w:val="16"/>
          <w:szCs w:val="16"/>
          <w:lang w:eastAsia="en-US"/>
        </w:rPr>
        <w:t>&lt;https://www.gov.uk/government/consultations/renewables-obligation-changes-to-mutualisation-arrangements&gt;</w:t>
      </w:r>
    </w:p>
  </w:footnote>
  <w:footnote w:id="98">
    <w:p w14:paraId="0DA1E5C4" w14:textId="2E112CCC" w:rsidR="004A396C" w:rsidRPr="003B35B0" w:rsidRDefault="004A396C" w:rsidP="004537F3">
      <w:pPr>
        <w:pStyle w:val="FootnoteText"/>
        <w:rPr>
          <w:sz w:val="16"/>
          <w:szCs w:val="16"/>
        </w:rPr>
      </w:pPr>
      <w:r w:rsidRPr="003B35B0">
        <w:rPr>
          <w:rStyle w:val="FootnoteReference"/>
        </w:rPr>
        <w:footnoteRef/>
      </w:r>
      <w:r w:rsidRPr="003B35B0">
        <w:rPr>
          <w:sz w:val="16"/>
          <w:szCs w:val="16"/>
        </w:rPr>
        <w:t xml:space="preserve"> </w:t>
      </w:r>
      <w:hyperlink r:id="rId50" w:history="1">
        <w:r w:rsidR="00A525AE">
          <w:rPr>
            <w:rStyle w:val="Hyperlink"/>
            <w:rFonts w:cs="Arial"/>
            <w:sz w:val="16"/>
            <w:szCs w:val="16"/>
          </w:rPr>
          <w:t>Link to the Renewables Obligation (Amendment) Order 2021:</w:t>
        </w:r>
      </w:hyperlink>
      <w:r w:rsidR="00A525AE">
        <w:rPr>
          <w:rStyle w:val="Hyperlink"/>
          <w:rFonts w:cs="Arial"/>
          <w:sz w:val="16"/>
          <w:szCs w:val="16"/>
        </w:rPr>
        <w:t xml:space="preserve"> </w:t>
      </w:r>
      <w:r w:rsidR="00A525AE" w:rsidRPr="003B35B0">
        <w:rPr>
          <w:rStyle w:val="Hyperlink"/>
          <w:rFonts w:cs="Arial"/>
          <w:color w:val="auto"/>
          <w:sz w:val="16"/>
          <w:szCs w:val="16"/>
          <w:u w:val="none"/>
        </w:rPr>
        <w:t>&lt;https://www.legislation.gov.uk/uksi/2021/415/contents/made&gt;</w:t>
      </w:r>
    </w:p>
  </w:footnote>
  <w:footnote w:id="99">
    <w:p w14:paraId="16F85B22" w14:textId="359E4BE9" w:rsidR="004A396C" w:rsidRPr="002E0B6D" w:rsidRDefault="004A396C" w:rsidP="004537F3">
      <w:pPr>
        <w:pStyle w:val="FootnoteText"/>
        <w:rPr>
          <w:sz w:val="18"/>
          <w:szCs w:val="18"/>
        </w:rPr>
      </w:pPr>
      <w:r w:rsidRPr="006D467B">
        <w:rPr>
          <w:rStyle w:val="FootnoteReference"/>
        </w:rPr>
        <w:footnoteRef/>
      </w:r>
      <w:r w:rsidRPr="003B35B0">
        <w:rPr>
          <w:sz w:val="16"/>
          <w:szCs w:val="16"/>
        </w:rPr>
        <w:t xml:space="preserve"> </w:t>
      </w:r>
      <w:hyperlink r:id="rId51" w:history="1">
        <w:r w:rsidR="00A525AE">
          <w:rPr>
            <w:color w:val="0000FF"/>
            <w:sz w:val="16"/>
            <w:szCs w:val="16"/>
            <w:u w:val="single"/>
            <w:lang w:eastAsia="en-US"/>
          </w:rPr>
          <w:t>Link to closed consultation: Renewables Obligation (RO): addressing electricity supplier payment default under the RO scheme</w:t>
        </w:r>
      </w:hyperlink>
      <w:r w:rsidR="00A525AE">
        <w:rPr>
          <w:color w:val="0000FF"/>
          <w:sz w:val="16"/>
          <w:szCs w:val="16"/>
          <w:u w:val="single"/>
          <w:lang w:eastAsia="en-US"/>
        </w:rPr>
        <w:t xml:space="preserve">: </w:t>
      </w:r>
      <w:r w:rsidR="00A525AE" w:rsidRPr="003B35B0">
        <w:rPr>
          <w:sz w:val="16"/>
          <w:szCs w:val="16"/>
          <w:lang w:eastAsia="en-US"/>
        </w:rPr>
        <w:t>&lt;https://www.gov.uk/government/consultations/renewables-obligation-ro-addressing-electricity-supplier-payment-default-under-the-ro-scheme&gt;</w:t>
      </w:r>
    </w:p>
  </w:footnote>
  <w:footnote w:id="100">
    <w:p w14:paraId="50CCF367" w14:textId="698DEB6C" w:rsidR="004A396C" w:rsidRPr="003B35B0" w:rsidRDefault="004A396C" w:rsidP="004537F3">
      <w:pPr>
        <w:pStyle w:val="FootnoteText"/>
        <w:rPr>
          <w:sz w:val="16"/>
          <w:szCs w:val="16"/>
        </w:rPr>
      </w:pPr>
      <w:r w:rsidRPr="003B35B0">
        <w:rPr>
          <w:rStyle w:val="FootnoteReference"/>
        </w:rPr>
        <w:footnoteRef/>
      </w:r>
      <w:r w:rsidRPr="003B35B0">
        <w:rPr>
          <w:sz w:val="16"/>
          <w:szCs w:val="16"/>
        </w:rPr>
        <w:t xml:space="preserve"> </w:t>
      </w:r>
      <w:hyperlink r:id="rId52" w:history="1">
        <w:r w:rsidR="00A525AE">
          <w:rPr>
            <w:color w:val="0000FF"/>
            <w:sz w:val="16"/>
            <w:szCs w:val="16"/>
            <w:u w:val="single"/>
            <w:lang w:eastAsia="en-US"/>
          </w:rPr>
          <w:t>Link to Renewables Obligation (Scotland) scheme changes: consultation</w:t>
        </w:r>
      </w:hyperlink>
      <w:r w:rsidR="00A525AE">
        <w:rPr>
          <w:color w:val="0000FF"/>
          <w:sz w:val="16"/>
          <w:szCs w:val="16"/>
          <w:u w:val="single"/>
          <w:lang w:eastAsia="en-US"/>
        </w:rPr>
        <w:t xml:space="preserve">: </w:t>
      </w:r>
      <w:r w:rsidR="00A525AE" w:rsidRPr="003B35B0">
        <w:rPr>
          <w:sz w:val="16"/>
          <w:szCs w:val="16"/>
          <w:lang w:eastAsia="en-US"/>
        </w:rPr>
        <w:t>&lt;https://www.gov.scot/publications/changes-renewables-obligation-scotland-scheme-consultation-changes-mutualisation-arrangements-address-electricity-supplier-payment-default-under-ro-s-scheme/&gt;</w:t>
      </w:r>
    </w:p>
  </w:footnote>
  <w:footnote w:id="101">
    <w:p w14:paraId="4A5DEBB8" w14:textId="42905389" w:rsidR="004A396C" w:rsidRPr="006B3AC6" w:rsidRDefault="004A396C" w:rsidP="00E54E83">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The name of each Licensee in Tables A</w:t>
      </w:r>
      <w:r w:rsidR="00E434C3">
        <w:rPr>
          <w:rFonts w:cstheme="minorHAnsi"/>
          <w:sz w:val="16"/>
          <w:szCs w:val="16"/>
        </w:rPr>
        <w:t>1</w:t>
      </w:r>
      <w:r w:rsidRPr="006B3AC6">
        <w:rPr>
          <w:rFonts w:cstheme="minorHAnsi"/>
          <w:sz w:val="16"/>
          <w:szCs w:val="16"/>
        </w:rPr>
        <w:t>.2 to A</w:t>
      </w:r>
      <w:r w:rsidR="00E434C3">
        <w:rPr>
          <w:rFonts w:cstheme="minorHAnsi"/>
          <w:sz w:val="16"/>
          <w:szCs w:val="16"/>
        </w:rPr>
        <w:t>1</w:t>
      </w:r>
      <w:r w:rsidRPr="006B3AC6">
        <w:rPr>
          <w:rFonts w:cstheme="minorHAnsi"/>
          <w:sz w:val="16"/>
          <w:szCs w:val="16"/>
        </w:rPr>
        <w:t xml:space="preserve">.4 refers to a Licence group that is owned by its parent company (Supplier Group). For a complete list of supplier groups and their licences, please contact: </w:t>
      </w:r>
      <w:hyperlink r:id="rId53" w:history="1">
        <w:r w:rsidRPr="006B3AC6">
          <w:rPr>
            <w:rStyle w:val="Hyperlink"/>
            <w:rFonts w:cstheme="minorHAnsi"/>
            <w:sz w:val="16"/>
            <w:szCs w:val="16"/>
          </w:rPr>
          <w:t>REcompliance@ofgem.gov.uk</w:t>
        </w:r>
      </w:hyperlink>
      <w:r w:rsidRPr="006B3AC6">
        <w:rPr>
          <w:rFonts w:cstheme="minorHAnsi"/>
          <w:sz w:val="16"/>
          <w:szCs w:val="16"/>
        </w:rPr>
        <w:t xml:space="preserve"> </w:t>
      </w:r>
    </w:p>
  </w:footnote>
  <w:footnote w:id="102">
    <w:p w14:paraId="1028D820" w14:textId="29734CA3" w:rsidR="004A396C" w:rsidRPr="006B3AC6" w:rsidRDefault="004A396C" w:rsidP="00E54E83">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The name of each Licensee in Tables A</w:t>
      </w:r>
      <w:r w:rsidR="00F76275">
        <w:rPr>
          <w:rFonts w:cstheme="minorHAnsi"/>
          <w:sz w:val="16"/>
          <w:szCs w:val="16"/>
        </w:rPr>
        <w:t>1</w:t>
      </w:r>
      <w:r w:rsidRPr="006B3AC6">
        <w:rPr>
          <w:rFonts w:cstheme="minorHAnsi"/>
          <w:sz w:val="16"/>
          <w:szCs w:val="16"/>
        </w:rPr>
        <w:t>.2 to A</w:t>
      </w:r>
      <w:r w:rsidR="00F76275">
        <w:rPr>
          <w:rFonts w:cstheme="minorHAnsi"/>
          <w:sz w:val="16"/>
          <w:szCs w:val="16"/>
        </w:rPr>
        <w:t>1</w:t>
      </w:r>
      <w:r w:rsidRPr="006B3AC6">
        <w:rPr>
          <w:rFonts w:cstheme="minorHAnsi"/>
          <w:sz w:val="16"/>
          <w:szCs w:val="16"/>
        </w:rPr>
        <w:t xml:space="preserve">.4 refers to a Licence group that is owned by its parent company (Supplier Group). For a complete list of supplier groups and their licences, please contact: </w:t>
      </w:r>
      <w:hyperlink r:id="rId54" w:history="1">
        <w:r w:rsidRPr="006B3AC6">
          <w:rPr>
            <w:rStyle w:val="Hyperlink"/>
            <w:rFonts w:cstheme="minorHAnsi"/>
            <w:sz w:val="16"/>
            <w:szCs w:val="16"/>
          </w:rPr>
          <w:t>REcompliance@ofgem.gov.uk</w:t>
        </w:r>
      </w:hyperlink>
      <w:r w:rsidRPr="006B3AC6">
        <w:rPr>
          <w:rFonts w:cstheme="minorHAnsi"/>
          <w:sz w:val="16"/>
          <w:szCs w:val="16"/>
        </w:rPr>
        <w:t xml:space="preserve"> </w:t>
      </w:r>
    </w:p>
  </w:footnote>
  <w:footnote w:id="103">
    <w:p w14:paraId="09F7F4C8" w14:textId="5C7BFC24" w:rsidR="004A396C" w:rsidRPr="006B3AC6" w:rsidRDefault="004A396C" w:rsidP="00E54E83">
      <w:pPr>
        <w:pStyle w:val="FootnoteText"/>
        <w:rPr>
          <w:rFonts w:cstheme="minorHAnsi"/>
          <w:sz w:val="16"/>
          <w:szCs w:val="16"/>
        </w:rPr>
      </w:pPr>
      <w:r w:rsidRPr="006B3AC6">
        <w:rPr>
          <w:rStyle w:val="FootnoteReference"/>
          <w:rFonts w:cstheme="minorHAnsi"/>
          <w:szCs w:val="16"/>
        </w:rPr>
        <w:footnoteRef/>
      </w:r>
      <w:r w:rsidRPr="006B3AC6">
        <w:rPr>
          <w:rFonts w:cstheme="minorHAnsi"/>
          <w:sz w:val="16"/>
          <w:szCs w:val="16"/>
        </w:rPr>
        <w:t xml:space="preserve"> The name of each Licensee in Tables A</w:t>
      </w:r>
      <w:r w:rsidR="00F76275">
        <w:rPr>
          <w:rFonts w:cstheme="minorHAnsi"/>
          <w:sz w:val="16"/>
          <w:szCs w:val="16"/>
        </w:rPr>
        <w:t>1</w:t>
      </w:r>
      <w:r w:rsidRPr="006B3AC6">
        <w:rPr>
          <w:rFonts w:cstheme="minorHAnsi"/>
          <w:sz w:val="16"/>
          <w:szCs w:val="16"/>
        </w:rPr>
        <w:t>.2 to A</w:t>
      </w:r>
      <w:r w:rsidR="00F76275">
        <w:rPr>
          <w:rFonts w:cstheme="minorHAnsi"/>
          <w:sz w:val="16"/>
          <w:szCs w:val="16"/>
        </w:rPr>
        <w:t>1</w:t>
      </w:r>
      <w:r w:rsidRPr="006B3AC6">
        <w:rPr>
          <w:rFonts w:cstheme="minorHAnsi"/>
          <w:sz w:val="16"/>
          <w:szCs w:val="16"/>
        </w:rPr>
        <w:t xml:space="preserve">.4 refers to a Licence group that is owned by its parent company (Supplier Group). For a complete list of supplier groups and their licences, please contact: </w:t>
      </w:r>
      <w:hyperlink r:id="rId55" w:history="1">
        <w:r w:rsidRPr="006B3AC6">
          <w:rPr>
            <w:rStyle w:val="Hyperlink"/>
            <w:rFonts w:cstheme="minorHAnsi"/>
            <w:sz w:val="16"/>
            <w:szCs w:val="16"/>
          </w:rPr>
          <w:t>REcompliance@ofgem.gov.uk</w:t>
        </w:r>
      </w:hyperlink>
    </w:p>
  </w:footnote>
  <w:footnote w:id="104">
    <w:p w14:paraId="44D5ED09" w14:textId="4F1712FB" w:rsidR="00F741F5" w:rsidRPr="003B35B0" w:rsidRDefault="00F741F5">
      <w:pPr>
        <w:pStyle w:val="FootnoteText"/>
        <w:rPr>
          <w:sz w:val="16"/>
          <w:szCs w:val="16"/>
        </w:rPr>
      </w:pPr>
      <w:r>
        <w:rPr>
          <w:rStyle w:val="FootnoteReference"/>
        </w:rPr>
        <w:footnoteRef/>
      </w:r>
      <w:r>
        <w:t xml:space="preserve"> </w:t>
      </w:r>
      <w:r w:rsidR="00F25AF8" w:rsidRPr="00BF6B3A">
        <w:rPr>
          <w:sz w:val="16"/>
          <w:szCs w:val="16"/>
        </w:rPr>
        <w:t>Where a supplier</w:t>
      </w:r>
      <w:r w:rsidR="00F25AF8">
        <w:rPr>
          <w:sz w:val="16"/>
          <w:szCs w:val="16"/>
        </w:rPr>
        <w:t>’</w:t>
      </w:r>
      <w:r w:rsidR="00F25AF8" w:rsidRPr="00BF6B3A">
        <w:rPr>
          <w:sz w:val="16"/>
          <w:szCs w:val="16"/>
        </w:rPr>
        <w:t xml:space="preserve">s licence has been revoked with payments due, we will </w:t>
      </w:r>
      <w:r w:rsidR="00F25AF8">
        <w:rPr>
          <w:sz w:val="16"/>
          <w:szCs w:val="16"/>
        </w:rPr>
        <w:t>seek to make a claim with the relevant administrators for the outstanding balances</w:t>
      </w:r>
      <w:r w:rsidR="00F25AF8" w:rsidRPr="00BF6B3A">
        <w:rPr>
          <w:sz w:val="16"/>
          <w:szCs w:val="16"/>
        </w:rPr>
        <w:t xml:space="preserve">. Any suppliers which are active and fail to pay by the relevant deadline are </w:t>
      </w:r>
      <w:r w:rsidR="00F25AF8">
        <w:rPr>
          <w:sz w:val="16"/>
          <w:szCs w:val="16"/>
        </w:rPr>
        <w:t>referred to our</w:t>
      </w:r>
      <w:r w:rsidR="00F25AF8" w:rsidRPr="00BF6B3A">
        <w:rPr>
          <w:sz w:val="16"/>
          <w:szCs w:val="16"/>
        </w:rPr>
        <w:t xml:space="preserve"> </w:t>
      </w:r>
      <w:r w:rsidR="00F25AF8">
        <w:rPr>
          <w:sz w:val="16"/>
          <w:szCs w:val="16"/>
        </w:rPr>
        <w:t>E</w:t>
      </w:r>
      <w:r w:rsidR="00F25AF8" w:rsidRPr="00BF6B3A">
        <w:rPr>
          <w:sz w:val="16"/>
          <w:szCs w:val="16"/>
        </w:rPr>
        <w:t xml:space="preserve">nforcement </w:t>
      </w:r>
      <w:r w:rsidR="00F25AF8">
        <w:rPr>
          <w:sz w:val="16"/>
          <w:szCs w:val="16"/>
        </w:rPr>
        <w:t>team for consideration</w:t>
      </w:r>
      <w:r w:rsidR="00F25AF8" w:rsidRPr="00BF6B3A">
        <w:rPr>
          <w:sz w:val="16"/>
          <w:szCs w:val="16"/>
        </w:rPr>
        <w:t xml:space="preserve">. Any suppliers that have overpaid </w:t>
      </w:r>
      <w:r w:rsidR="00F25AF8">
        <w:rPr>
          <w:sz w:val="16"/>
          <w:szCs w:val="16"/>
        </w:rPr>
        <w:t>are</w:t>
      </w:r>
      <w:r w:rsidR="00F25AF8" w:rsidRPr="00BF6B3A">
        <w:rPr>
          <w:sz w:val="16"/>
          <w:szCs w:val="16"/>
        </w:rPr>
        <w:t xml:space="preserve"> refunded.</w:t>
      </w:r>
    </w:p>
  </w:footnote>
  <w:footnote w:id="105">
    <w:p w14:paraId="03EDF2B7" w14:textId="7961B439" w:rsidR="00F741F5" w:rsidRPr="003B35B0" w:rsidRDefault="00F741F5">
      <w:pPr>
        <w:pStyle w:val="FootnoteText"/>
        <w:rPr>
          <w:sz w:val="16"/>
          <w:szCs w:val="16"/>
        </w:rPr>
      </w:pPr>
      <w:r>
        <w:rPr>
          <w:rStyle w:val="FootnoteReference"/>
        </w:rPr>
        <w:footnoteRef/>
      </w:r>
      <w:r>
        <w:t xml:space="preserve"> </w:t>
      </w:r>
      <w:r w:rsidRPr="003B35B0">
        <w:rPr>
          <w:sz w:val="16"/>
          <w:szCs w:val="16"/>
        </w:rPr>
        <w:t>Where a supplier</w:t>
      </w:r>
      <w:r w:rsidR="00F25AF8">
        <w:rPr>
          <w:sz w:val="16"/>
          <w:szCs w:val="16"/>
        </w:rPr>
        <w:t>’</w:t>
      </w:r>
      <w:r w:rsidRPr="003B35B0">
        <w:rPr>
          <w:sz w:val="16"/>
          <w:szCs w:val="16"/>
        </w:rPr>
        <w:t xml:space="preserve">s licence has been revoked with payments due, we will </w:t>
      </w:r>
      <w:r w:rsidR="00F25AF8">
        <w:rPr>
          <w:sz w:val="16"/>
          <w:szCs w:val="16"/>
        </w:rPr>
        <w:t>seek to make a claim with the relevant administrators for the outstanding balances</w:t>
      </w:r>
      <w:r w:rsidRPr="003B35B0">
        <w:rPr>
          <w:sz w:val="16"/>
          <w:szCs w:val="16"/>
        </w:rPr>
        <w:t xml:space="preserve">. Any suppliers which are active and fail to pay by the relevant deadline are </w:t>
      </w:r>
      <w:r w:rsidR="00F25AF8">
        <w:rPr>
          <w:sz w:val="16"/>
          <w:szCs w:val="16"/>
        </w:rPr>
        <w:t>referred to our</w:t>
      </w:r>
      <w:r w:rsidRPr="003B35B0">
        <w:rPr>
          <w:sz w:val="16"/>
          <w:szCs w:val="16"/>
        </w:rPr>
        <w:t xml:space="preserve"> </w:t>
      </w:r>
      <w:r w:rsidR="00F25AF8">
        <w:rPr>
          <w:sz w:val="16"/>
          <w:szCs w:val="16"/>
        </w:rPr>
        <w:t>E</w:t>
      </w:r>
      <w:r w:rsidRPr="003B35B0">
        <w:rPr>
          <w:sz w:val="16"/>
          <w:szCs w:val="16"/>
        </w:rPr>
        <w:t xml:space="preserve">nforcement </w:t>
      </w:r>
      <w:r w:rsidR="00F25AF8">
        <w:rPr>
          <w:sz w:val="16"/>
          <w:szCs w:val="16"/>
        </w:rPr>
        <w:t>team for consideration</w:t>
      </w:r>
      <w:r w:rsidRPr="003B35B0">
        <w:rPr>
          <w:sz w:val="16"/>
          <w:szCs w:val="16"/>
        </w:rPr>
        <w:t xml:space="preserve">. Any suppliers that have overpaid </w:t>
      </w:r>
      <w:r w:rsidR="00F25AF8">
        <w:rPr>
          <w:sz w:val="16"/>
          <w:szCs w:val="16"/>
        </w:rPr>
        <w:t>are</w:t>
      </w:r>
      <w:r w:rsidRPr="003B35B0">
        <w:rPr>
          <w:sz w:val="16"/>
          <w:szCs w:val="16"/>
        </w:rPr>
        <w:t xml:space="preserve"> refunded.</w:t>
      </w:r>
    </w:p>
  </w:footnote>
  <w:footnote w:id="106">
    <w:p w14:paraId="61B65DDC" w14:textId="5DE8AB89" w:rsidR="00F741F5" w:rsidRPr="003B35B0" w:rsidRDefault="00F741F5">
      <w:pPr>
        <w:pStyle w:val="FootnoteText"/>
        <w:rPr>
          <w:sz w:val="16"/>
          <w:szCs w:val="16"/>
        </w:rPr>
      </w:pPr>
      <w:r>
        <w:rPr>
          <w:rStyle w:val="FootnoteReference"/>
        </w:rPr>
        <w:footnoteRef/>
      </w:r>
      <w:r>
        <w:t xml:space="preserve"> </w:t>
      </w:r>
      <w:r w:rsidR="00F25AF8" w:rsidRPr="00BF6B3A">
        <w:rPr>
          <w:sz w:val="16"/>
          <w:szCs w:val="16"/>
        </w:rPr>
        <w:t>Where a supplier</w:t>
      </w:r>
      <w:r w:rsidR="00F25AF8">
        <w:rPr>
          <w:sz w:val="16"/>
          <w:szCs w:val="16"/>
        </w:rPr>
        <w:t>’</w:t>
      </w:r>
      <w:r w:rsidR="00F25AF8" w:rsidRPr="00BF6B3A">
        <w:rPr>
          <w:sz w:val="16"/>
          <w:szCs w:val="16"/>
        </w:rPr>
        <w:t xml:space="preserve">s licence has been revoked with payments due, we will </w:t>
      </w:r>
      <w:r w:rsidR="00F25AF8">
        <w:rPr>
          <w:sz w:val="16"/>
          <w:szCs w:val="16"/>
        </w:rPr>
        <w:t>seek to make a claim with the relevant administrators for the outstanding balances</w:t>
      </w:r>
      <w:r w:rsidR="00F25AF8" w:rsidRPr="00BF6B3A">
        <w:rPr>
          <w:sz w:val="16"/>
          <w:szCs w:val="16"/>
        </w:rPr>
        <w:t xml:space="preserve">. Any suppliers which are active and fail to pay by the relevant deadline are </w:t>
      </w:r>
      <w:r w:rsidR="00F25AF8">
        <w:rPr>
          <w:sz w:val="16"/>
          <w:szCs w:val="16"/>
        </w:rPr>
        <w:t>referred to our</w:t>
      </w:r>
      <w:r w:rsidR="00F25AF8" w:rsidRPr="00BF6B3A">
        <w:rPr>
          <w:sz w:val="16"/>
          <w:szCs w:val="16"/>
        </w:rPr>
        <w:t xml:space="preserve"> </w:t>
      </w:r>
      <w:r w:rsidR="00F25AF8">
        <w:rPr>
          <w:sz w:val="16"/>
          <w:szCs w:val="16"/>
        </w:rPr>
        <w:t>E</w:t>
      </w:r>
      <w:r w:rsidR="00F25AF8" w:rsidRPr="00BF6B3A">
        <w:rPr>
          <w:sz w:val="16"/>
          <w:szCs w:val="16"/>
        </w:rPr>
        <w:t xml:space="preserve">nforcement </w:t>
      </w:r>
      <w:r w:rsidR="00F25AF8">
        <w:rPr>
          <w:sz w:val="16"/>
          <w:szCs w:val="16"/>
        </w:rPr>
        <w:t>team for consideration</w:t>
      </w:r>
      <w:r w:rsidR="00F25AF8" w:rsidRPr="00BF6B3A">
        <w:rPr>
          <w:sz w:val="16"/>
          <w:szCs w:val="16"/>
        </w:rPr>
        <w:t xml:space="preserve">. Any suppliers that have overpaid </w:t>
      </w:r>
      <w:r w:rsidR="00F25AF8">
        <w:rPr>
          <w:sz w:val="16"/>
          <w:szCs w:val="16"/>
        </w:rPr>
        <w:t>are</w:t>
      </w:r>
      <w:r w:rsidR="00F25AF8" w:rsidRPr="00BF6B3A">
        <w:rPr>
          <w:sz w:val="16"/>
          <w:szCs w:val="16"/>
        </w:rPr>
        <w:t xml:space="preserve"> refunded.</w:t>
      </w:r>
    </w:p>
  </w:footnote>
  <w:footnote w:id="107">
    <w:p w14:paraId="391996ED" w14:textId="0138D69E" w:rsidR="00F741F5" w:rsidRDefault="00F741F5">
      <w:pPr>
        <w:pStyle w:val="FootnoteText"/>
      </w:pPr>
      <w:r>
        <w:rPr>
          <w:rStyle w:val="FootnoteReference"/>
        </w:rPr>
        <w:footnoteRef/>
      </w:r>
      <w:r>
        <w:t xml:space="preserve"> </w:t>
      </w:r>
      <w:r w:rsidR="00F25AF8" w:rsidRPr="00BF6B3A">
        <w:rPr>
          <w:sz w:val="16"/>
          <w:szCs w:val="16"/>
        </w:rPr>
        <w:t>Where a supplier</w:t>
      </w:r>
      <w:r w:rsidR="00F25AF8">
        <w:rPr>
          <w:sz w:val="16"/>
          <w:szCs w:val="16"/>
        </w:rPr>
        <w:t>’</w:t>
      </w:r>
      <w:r w:rsidR="00F25AF8" w:rsidRPr="00BF6B3A">
        <w:rPr>
          <w:sz w:val="16"/>
          <w:szCs w:val="16"/>
        </w:rPr>
        <w:t xml:space="preserve">s licence has been revoked with payments due, we will </w:t>
      </w:r>
      <w:r w:rsidR="00F25AF8">
        <w:rPr>
          <w:sz w:val="16"/>
          <w:szCs w:val="16"/>
        </w:rPr>
        <w:t>seek to make a claim with the relevant administrators for the outstanding balances</w:t>
      </w:r>
      <w:r w:rsidR="00F25AF8" w:rsidRPr="00BF6B3A">
        <w:rPr>
          <w:sz w:val="16"/>
          <w:szCs w:val="16"/>
        </w:rPr>
        <w:t xml:space="preserve">. Any suppliers which are active and fail to pay by the relevant deadline are </w:t>
      </w:r>
      <w:r w:rsidR="00F25AF8">
        <w:rPr>
          <w:sz w:val="16"/>
          <w:szCs w:val="16"/>
        </w:rPr>
        <w:t>referred to our</w:t>
      </w:r>
      <w:r w:rsidR="00F25AF8" w:rsidRPr="00BF6B3A">
        <w:rPr>
          <w:sz w:val="16"/>
          <w:szCs w:val="16"/>
        </w:rPr>
        <w:t xml:space="preserve"> </w:t>
      </w:r>
      <w:r w:rsidR="00F25AF8">
        <w:rPr>
          <w:sz w:val="16"/>
          <w:szCs w:val="16"/>
        </w:rPr>
        <w:t>E</w:t>
      </w:r>
      <w:r w:rsidR="00F25AF8" w:rsidRPr="00BF6B3A">
        <w:rPr>
          <w:sz w:val="16"/>
          <w:szCs w:val="16"/>
        </w:rPr>
        <w:t xml:space="preserve">nforcement </w:t>
      </w:r>
      <w:r w:rsidR="00F25AF8">
        <w:rPr>
          <w:sz w:val="16"/>
          <w:szCs w:val="16"/>
        </w:rPr>
        <w:t>team for consideration</w:t>
      </w:r>
      <w:r w:rsidR="00F25AF8" w:rsidRPr="00BF6B3A">
        <w:rPr>
          <w:sz w:val="16"/>
          <w:szCs w:val="16"/>
        </w:rPr>
        <w:t xml:space="preserve">. Any suppliers that have overpaid </w:t>
      </w:r>
      <w:r w:rsidR="00F25AF8">
        <w:rPr>
          <w:sz w:val="16"/>
          <w:szCs w:val="16"/>
        </w:rPr>
        <w:t>are</w:t>
      </w:r>
      <w:r w:rsidR="00F25AF8" w:rsidRPr="00BF6B3A">
        <w:rPr>
          <w:sz w:val="16"/>
          <w:szCs w:val="16"/>
        </w:rPr>
        <w:t xml:space="preserve"> refunded.</w:t>
      </w:r>
    </w:p>
  </w:footnote>
  <w:footnote w:id="108">
    <w:p w14:paraId="7A5512C7" w14:textId="31889600" w:rsidR="004A396C" w:rsidRDefault="004A396C">
      <w:pPr>
        <w:pStyle w:val="FootnoteText"/>
      </w:pPr>
      <w:r>
        <w:rPr>
          <w:rStyle w:val="FootnoteReference"/>
        </w:rPr>
        <w:footnoteRef/>
      </w:r>
      <w:r>
        <w:t xml:space="preserve"> </w:t>
      </w:r>
      <w:hyperlink r:id="rId56" w:history="1">
        <w:r w:rsidR="00B83821" w:rsidRPr="003B35B0">
          <w:rPr>
            <w:rStyle w:val="Hyperlink"/>
            <w:sz w:val="16"/>
            <w:szCs w:val="16"/>
          </w:rPr>
          <w:t>Link to Renewables and CHP login page</w:t>
        </w:r>
      </w:hyperlink>
      <w:r w:rsidRPr="003B35B0">
        <w:rPr>
          <w:sz w:val="16"/>
          <w:szCs w:val="16"/>
        </w:rPr>
        <w:t>: &lt;https://www.renewablesandchp.ofgem.gov.uk/&gt;</w:t>
      </w:r>
    </w:p>
  </w:footnote>
  <w:footnote w:id="109">
    <w:p w14:paraId="5233DD17" w14:textId="77777777" w:rsidR="00B83821" w:rsidRDefault="00B83821" w:rsidP="00B83821">
      <w:pPr>
        <w:pStyle w:val="FootnoteText"/>
      </w:pPr>
      <w:r>
        <w:rPr>
          <w:rStyle w:val="FootnoteReference"/>
        </w:rPr>
        <w:footnoteRef/>
      </w:r>
      <w:r>
        <w:t xml:space="preserve"> </w:t>
      </w:r>
      <w:hyperlink r:id="rId57" w:history="1">
        <w:r w:rsidRPr="00CE4A96">
          <w:rPr>
            <w:rStyle w:val="Hyperlink"/>
            <w:sz w:val="16"/>
            <w:szCs w:val="16"/>
          </w:rPr>
          <w:t>Link to information on the new Renewable Electricity Register</w:t>
        </w:r>
      </w:hyperlink>
      <w:r w:rsidRPr="00CE4A96">
        <w:rPr>
          <w:sz w:val="16"/>
          <w:szCs w:val="16"/>
        </w:rPr>
        <w:t>: &lt;https://www.ofgem.gov.uk/publications/redevelopment-renewables-and-chp-register-timeline-and-project-progress-update&gt;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100E" w14:textId="77777777" w:rsidR="00955823" w:rsidRDefault="00955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17C7" w14:textId="7564B05B" w:rsidR="004A396C" w:rsidRDefault="004A396C" w:rsidP="00CC2C71">
    <w:pPr>
      <w:pStyle w:val="Header"/>
    </w:pPr>
    <w:r>
      <w:rPr>
        <w:noProof/>
      </w:rPr>
      <w:drawing>
        <wp:anchor distT="0" distB="0" distL="114300" distR="114300" simplePos="0" relativeHeight="251658242" behindDoc="1" locked="0" layoutInCell="1" allowOverlap="1" wp14:anchorId="2FA16363" wp14:editId="253AB0F2">
          <wp:simplePos x="0" y="0"/>
          <wp:positionH relativeFrom="page">
            <wp:posOffset>13970</wp:posOffset>
          </wp:positionH>
          <wp:positionV relativeFrom="paragraph">
            <wp:posOffset>-135255</wp:posOffset>
          </wp:positionV>
          <wp:extent cx="7603788" cy="6667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788" cy="666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17CA" w14:textId="32CE9848" w:rsidR="004A396C" w:rsidRDefault="004A396C" w:rsidP="00CC2C71">
    <w:pPr>
      <w:pStyle w:val="Header"/>
    </w:pPr>
    <w:r>
      <w:rPr>
        <w:noProof/>
      </w:rPr>
      <w:drawing>
        <wp:anchor distT="0" distB="0" distL="114300" distR="114300" simplePos="0" relativeHeight="251658244" behindDoc="0" locked="0" layoutInCell="1" allowOverlap="1" wp14:anchorId="259517CF" wp14:editId="57A30C2E">
          <wp:simplePos x="0" y="0"/>
          <wp:positionH relativeFrom="column">
            <wp:posOffset>-701040</wp:posOffset>
          </wp:positionH>
          <wp:positionV relativeFrom="paragraph">
            <wp:posOffset>-2385357</wp:posOffset>
          </wp:positionV>
          <wp:extent cx="7530157" cy="2568534"/>
          <wp:effectExtent l="0" t="0" r="0" b="3810"/>
          <wp:wrapNone/>
          <wp:docPr id="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0157" cy="256853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p>
  <w:p w14:paraId="259517CB" w14:textId="77777777" w:rsidR="004A396C" w:rsidRDefault="004A396C" w:rsidP="007E19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8CF0" w14:textId="354EAF81" w:rsidR="004A396C" w:rsidRPr="00CC2C71" w:rsidRDefault="004A396C" w:rsidP="00CC2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9EA"/>
    <w:multiLevelType w:val="hybridMultilevel"/>
    <w:tmpl w:val="4F70D1C2"/>
    <w:lvl w:ilvl="0" w:tplc="53ECFC58">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E6124"/>
    <w:multiLevelType w:val="hybridMultilevel"/>
    <w:tmpl w:val="FD369998"/>
    <w:lvl w:ilvl="0" w:tplc="8B50EBD6">
      <w:start w:val="1"/>
      <w:numFmt w:val="decimal"/>
      <w:lvlText w:val="5.%1"/>
      <w:lvlJc w:val="left"/>
      <w:pPr>
        <w:ind w:left="644" w:hanging="360"/>
      </w:pPr>
      <w:rPr>
        <w:rFonts w:hint="default"/>
        <w:b w:val="0"/>
        <w:bCs/>
        <w:color w:val="auto"/>
      </w:rPr>
    </w:lvl>
    <w:lvl w:ilvl="1" w:tplc="19B497CE">
      <w:start w:val="1"/>
      <w:numFmt w:val="bullet"/>
      <w:lvlText w:val=""/>
      <w:lvlJc w:val="left"/>
      <w:pPr>
        <w:ind w:left="1440" w:hanging="360"/>
      </w:pPr>
      <w:rPr>
        <w:rFonts w:ascii="Symbol" w:hAnsi="Symbo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A01C4"/>
    <w:multiLevelType w:val="hybridMultilevel"/>
    <w:tmpl w:val="FC3C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32DC"/>
    <w:multiLevelType w:val="hybridMultilevel"/>
    <w:tmpl w:val="DB168FAC"/>
    <w:lvl w:ilvl="0" w:tplc="19B497CE">
      <w:start w:val="1"/>
      <w:numFmt w:val="bullet"/>
      <w:lvlText w:val=""/>
      <w:lvlJc w:val="left"/>
      <w:pPr>
        <w:ind w:left="644" w:hanging="360"/>
      </w:pPr>
      <w:rPr>
        <w:rFonts w:ascii="Symbol" w:hAnsi="Symbol" w:hint="default"/>
        <w:b w:val="0"/>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D4A29"/>
    <w:multiLevelType w:val="multilevel"/>
    <w:tmpl w:val="11D45738"/>
    <w:lvl w:ilvl="0">
      <w:start w:val="1"/>
      <w:numFmt w:val="decimal"/>
      <w:pStyle w:val="CH5normal"/>
      <w:lvlText w:val="5.%1"/>
      <w:lvlJc w:val="left"/>
      <w:pPr>
        <w:ind w:left="360" w:hanging="360"/>
      </w:pPr>
      <w:rPr>
        <w:rFonts w:ascii="Verdana" w:hAnsi="Verdana" w:hint="default"/>
        <w:b w:val="0"/>
        <w:bCs w:val="0"/>
        <w:color w:val="auto"/>
        <w:sz w:val="20"/>
        <w:szCs w:val="20"/>
      </w:rPr>
    </w:lvl>
    <w:lvl w:ilvl="1">
      <w:start w:val="1"/>
      <w:numFmt w:val="bullet"/>
      <w:lvlText w:val=""/>
      <w:lvlJc w:val="left"/>
      <w:pPr>
        <w:ind w:left="792" w:hanging="432"/>
      </w:pPr>
      <w:rPr>
        <w:rFonts w:ascii="Symbol" w:hAnsi="Symbo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A715D2"/>
    <w:multiLevelType w:val="hybridMultilevel"/>
    <w:tmpl w:val="9F227A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5116FCE"/>
    <w:multiLevelType w:val="hybridMultilevel"/>
    <w:tmpl w:val="DB2E045C"/>
    <w:lvl w:ilvl="0" w:tplc="B3265066">
      <w:start w:val="1"/>
      <w:numFmt w:val="decimal"/>
      <w:pStyle w:val="CH4normal"/>
      <w:lvlText w:val="4.%1"/>
      <w:lvlJc w:val="left"/>
      <w:pPr>
        <w:ind w:left="360" w:hanging="360"/>
      </w:pPr>
      <w:rPr>
        <w:rFonts w:hint="default"/>
        <w:b w:val="0"/>
        <w:bCs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CD1330"/>
    <w:multiLevelType w:val="hybridMultilevel"/>
    <w:tmpl w:val="734CA58E"/>
    <w:lvl w:ilvl="0" w:tplc="CC3CD0CA">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032F92"/>
    <w:multiLevelType w:val="hybridMultilevel"/>
    <w:tmpl w:val="4872D4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70557E8"/>
    <w:multiLevelType w:val="multilevel"/>
    <w:tmpl w:val="7BC254C0"/>
    <w:lvl w:ilvl="0">
      <w:start w:val="1"/>
      <w:numFmt w:val="decimal"/>
      <w:lvlText w:val="5.%1"/>
      <w:lvlJc w:val="left"/>
      <w:pPr>
        <w:ind w:left="360" w:hanging="360"/>
      </w:pPr>
      <w:rPr>
        <w:rFonts w:ascii="Verdana" w:hAnsi="Verdana" w:hint="default"/>
        <w:b w:val="0"/>
        <w:bCs w:val="0"/>
        <w:color w:val="auto"/>
        <w:sz w:val="20"/>
        <w:szCs w:val="20"/>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675D9C"/>
    <w:multiLevelType w:val="hybridMultilevel"/>
    <w:tmpl w:val="0406A4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B5B23B6"/>
    <w:multiLevelType w:val="hybridMultilevel"/>
    <w:tmpl w:val="728E35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E6B62"/>
    <w:multiLevelType w:val="multilevel"/>
    <w:tmpl w:val="0AAE0D4E"/>
    <w:lvl w:ilvl="0">
      <w:start w:val="5"/>
      <w:numFmt w:val="decimal"/>
      <w:lvlText w:val="4.%1"/>
      <w:lvlJc w:val="left"/>
      <w:pPr>
        <w:ind w:left="360" w:hanging="360"/>
      </w:pPr>
      <w:rPr>
        <w:rFonts w:hint="default"/>
        <w:b w:val="0"/>
        <w:bCs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706626"/>
    <w:multiLevelType w:val="hybridMultilevel"/>
    <w:tmpl w:val="1DBC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F3508"/>
    <w:multiLevelType w:val="hybridMultilevel"/>
    <w:tmpl w:val="313AFBB4"/>
    <w:lvl w:ilvl="0" w:tplc="AA46C79C">
      <w:start w:val="1"/>
      <w:numFmt w:val="decimal"/>
      <w:pStyle w:val="CH6normal"/>
      <w:lvlText w:val="6.%1"/>
      <w:lvlJc w:val="left"/>
      <w:pPr>
        <w:ind w:left="790" w:hanging="360"/>
      </w:pPr>
      <w:rPr>
        <w:rFonts w:ascii="Verdana" w:hAnsi="Verdana" w:hint="default"/>
        <w:b w:val="0"/>
        <w:bCs w:val="0"/>
        <w:sz w:val="20"/>
        <w:szCs w:val="20"/>
      </w:rPr>
    </w:lvl>
    <w:lvl w:ilvl="1" w:tplc="08090001">
      <w:start w:val="1"/>
      <w:numFmt w:val="bullet"/>
      <w:lvlText w:val=""/>
      <w:lvlJc w:val="left"/>
      <w:pPr>
        <w:ind w:left="1510" w:hanging="360"/>
      </w:pPr>
      <w:rPr>
        <w:rFonts w:ascii="Symbol" w:hAnsi="Symbol"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22530983"/>
    <w:multiLevelType w:val="hybridMultilevel"/>
    <w:tmpl w:val="16E4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0805AD"/>
    <w:multiLevelType w:val="hybridMultilevel"/>
    <w:tmpl w:val="D04C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84377"/>
    <w:multiLevelType w:val="hybridMultilevel"/>
    <w:tmpl w:val="862A5FFA"/>
    <w:lvl w:ilvl="0" w:tplc="68806D84">
      <w:start w:val="1"/>
      <w:numFmt w:val="decimal"/>
      <w:pStyle w:val="CH7normal"/>
      <w:lvlText w:val="7.%1"/>
      <w:lvlJc w:val="left"/>
      <w:pPr>
        <w:ind w:left="720" w:hanging="360"/>
      </w:pPr>
      <w:rPr>
        <w:rFonts w:ascii="Verdana" w:hAnsi="Verdana"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7C6B64"/>
    <w:multiLevelType w:val="hybridMultilevel"/>
    <w:tmpl w:val="6D82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766F7"/>
    <w:multiLevelType w:val="hybridMultilevel"/>
    <w:tmpl w:val="E18C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54494"/>
    <w:multiLevelType w:val="multilevel"/>
    <w:tmpl w:val="63AAE254"/>
    <w:numStyleLink w:val="Style5"/>
  </w:abstractNum>
  <w:abstractNum w:abstractNumId="21" w15:restartNumberingAfterBreak="0">
    <w:nsid w:val="35693ED4"/>
    <w:multiLevelType w:val="hybridMultilevel"/>
    <w:tmpl w:val="1D7436B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36BF7305"/>
    <w:multiLevelType w:val="hybridMultilevel"/>
    <w:tmpl w:val="ABD8E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6FD3B5C"/>
    <w:multiLevelType w:val="multilevel"/>
    <w:tmpl w:val="EA30FB9C"/>
    <w:lvl w:ilvl="0">
      <w:start w:val="3"/>
      <w:numFmt w:val="decimal"/>
      <w:lvlText w:val="%1."/>
      <w:lvlJc w:val="left"/>
      <w:pPr>
        <w:ind w:left="360" w:hanging="360"/>
      </w:pPr>
      <w:rPr>
        <w:rFonts w:eastAsiaTheme="majorEastAsia" w:cstheme="majorBidi" w:hint="default"/>
        <w:b/>
        <w:color w:val="004125"/>
        <w:sz w:val="28"/>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71E3304"/>
    <w:multiLevelType w:val="hybridMultilevel"/>
    <w:tmpl w:val="A9CA5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1001B"/>
    <w:multiLevelType w:val="multilevel"/>
    <w:tmpl w:val="DDF83116"/>
    <w:numStyleLink w:val="Style1"/>
  </w:abstractNum>
  <w:abstractNum w:abstractNumId="26" w15:restartNumberingAfterBreak="0">
    <w:nsid w:val="3B156103"/>
    <w:multiLevelType w:val="hybridMultilevel"/>
    <w:tmpl w:val="F0929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991584"/>
    <w:multiLevelType w:val="hybridMultilevel"/>
    <w:tmpl w:val="24A8B8A8"/>
    <w:lvl w:ilvl="0" w:tplc="8B50EBD6">
      <w:start w:val="1"/>
      <w:numFmt w:val="decimal"/>
      <w:lvlText w:val="5.%1"/>
      <w:lvlJc w:val="left"/>
      <w:pPr>
        <w:ind w:left="720" w:hanging="360"/>
      </w:pPr>
      <w:rPr>
        <w:rFonts w:hint="default"/>
        <w:b w:val="0"/>
        <w:bCs/>
        <w:color w:val="auto"/>
      </w:rPr>
    </w:lvl>
    <w:lvl w:ilvl="1" w:tplc="19B497CE">
      <w:start w:val="1"/>
      <w:numFmt w:val="bullet"/>
      <w:lvlText w:val=""/>
      <w:lvlJc w:val="left"/>
      <w:pPr>
        <w:ind w:left="1440" w:hanging="360"/>
      </w:pPr>
      <w:rPr>
        <w:rFonts w:ascii="Symbol" w:hAnsi="Symbo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5B2D03"/>
    <w:multiLevelType w:val="multilevel"/>
    <w:tmpl w:val="38F4376A"/>
    <w:lvl w:ilvl="0">
      <w:start w:val="3"/>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D8E2734"/>
    <w:multiLevelType w:val="hybridMultilevel"/>
    <w:tmpl w:val="6F7C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C457B3"/>
    <w:multiLevelType w:val="hybridMultilevel"/>
    <w:tmpl w:val="6312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5C022A"/>
    <w:multiLevelType w:val="hybridMultilevel"/>
    <w:tmpl w:val="4318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E61151"/>
    <w:multiLevelType w:val="hybridMultilevel"/>
    <w:tmpl w:val="2B908FAC"/>
    <w:lvl w:ilvl="0" w:tplc="CC3CD0CA">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637D50"/>
    <w:multiLevelType w:val="multilevel"/>
    <w:tmpl w:val="8402D3E6"/>
    <w:lvl w:ilvl="0">
      <w:start w:val="1"/>
      <w:numFmt w:val="bullet"/>
      <w:lvlText w:val=""/>
      <w:lvlJc w:val="left"/>
      <w:pPr>
        <w:ind w:left="360" w:hanging="360"/>
      </w:pPr>
      <w:rPr>
        <w:rFonts w:ascii="Symbol" w:hAnsi="Symbol" w:hint="default"/>
        <w:b w:val="0"/>
        <w:bCs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EE4084"/>
    <w:multiLevelType w:val="hybridMultilevel"/>
    <w:tmpl w:val="7912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023D8F"/>
    <w:multiLevelType w:val="multilevel"/>
    <w:tmpl w:val="DB60B1C6"/>
    <w:numStyleLink w:val="Style2"/>
  </w:abstractNum>
  <w:abstractNum w:abstractNumId="36" w15:restartNumberingAfterBreak="0">
    <w:nsid w:val="446E67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ADE680F"/>
    <w:multiLevelType w:val="hybridMultilevel"/>
    <w:tmpl w:val="8584AEC8"/>
    <w:lvl w:ilvl="0" w:tplc="B93E2FBA">
      <w:start w:val="1"/>
      <w:numFmt w:val="decimal"/>
      <w:pStyle w:val="CH8nor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1644EC"/>
    <w:multiLevelType w:val="hybridMultilevel"/>
    <w:tmpl w:val="A516A692"/>
    <w:lvl w:ilvl="0" w:tplc="08090001">
      <w:start w:val="1"/>
      <w:numFmt w:val="bullet"/>
      <w:lvlText w:val=""/>
      <w:lvlJc w:val="left"/>
      <w:pPr>
        <w:ind w:left="1424" w:hanging="360"/>
      </w:pPr>
      <w:rPr>
        <w:rFonts w:ascii="Symbol" w:hAnsi="Symbol" w:hint="default"/>
      </w:rPr>
    </w:lvl>
    <w:lvl w:ilvl="1" w:tplc="08090003" w:tentative="1">
      <w:start w:val="1"/>
      <w:numFmt w:val="bullet"/>
      <w:lvlText w:val="o"/>
      <w:lvlJc w:val="left"/>
      <w:pPr>
        <w:ind w:left="2144" w:hanging="360"/>
      </w:pPr>
      <w:rPr>
        <w:rFonts w:ascii="Courier New" w:hAnsi="Courier New" w:cs="Courier New" w:hint="default"/>
      </w:rPr>
    </w:lvl>
    <w:lvl w:ilvl="2" w:tplc="08090005" w:tentative="1">
      <w:start w:val="1"/>
      <w:numFmt w:val="bullet"/>
      <w:lvlText w:val=""/>
      <w:lvlJc w:val="left"/>
      <w:pPr>
        <w:ind w:left="2864" w:hanging="360"/>
      </w:pPr>
      <w:rPr>
        <w:rFonts w:ascii="Wingdings" w:hAnsi="Wingdings" w:hint="default"/>
      </w:rPr>
    </w:lvl>
    <w:lvl w:ilvl="3" w:tplc="08090001" w:tentative="1">
      <w:start w:val="1"/>
      <w:numFmt w:val="bullet"/>
      <w:lvlText w:val=""/>
      <w:lvlJc w:val="left"/>
      <w:pPr>
        <w:ind w:left="3584" w:hanging="360"/>
      </w:pPr>
      <w:rPr>
        <w:rFonts w:ascii="Symbol" w:hAnsi="Symbol" w:hint="default"/>
      </w:rPr>
    </w:lvl>
    <w:lvl w:ilvl="4" w:tplc="08090003" w:tentative="1">
      <w:start w:val="1"/>
      <w:numFmt w:val="bullet"/>
      <w:lvlText w:val="o"/>
      <w:lvlJc w:val="left"/>
      <w:pPr>
        <w:ind w:left="4304" w:hanging="360"/>
      </w:pPr>
      <w:rPr>
        <w:rFonts w:ascii="Courier New" w:hAnsi="Courier New" w:cs="Courier New" w:hint="default"/>
      </w:rPr>
    </w:lvl>
    <w:lvl w:ilvl="5" w:tplc="08090005" w:tentative="1">
      <w:start w:val="1"/>
      <w:numFmt w:val="bullet"/>
      <w:lvlText w:val=""/>
      <w:lvlJc w:val="left"/>
      <w:pPr>
        <w:ind w:left="5024" w:hanging="360"/>
      </w:pPr>
      <w:rPr>
        <w:rFonts w:ascii="Wingdings" w:hAnsi="Wingdings" w:hint="default"/>
      </w:rPr>
    </w:lvl>
    <w:lvl w:ilvl="6" w:tplc="08090001" w:tentative="1">
      <w:start w:val="1"/>
      <w:numFmt w:val="bullet"/>
      <w:lvlText w:val=""/>
      <w:lvlJc w:val="left"/>
      <w:pPr>
        <w:ind w:left="5744" w:hanging="360"/>
      </w:pPr>
      <w:rPr>
        <w:rFonts w:ascii="Symbol" w:hAnsi="Symbol" w:hint="default"/>
      </w:rPr>
    </w:lvl>
    <w:lvl w:ilvl="7" w:tplc="08090003" w:tentative="1">
      <w:start w:val="1"/>
      <w:numFmt w:val="bullet"/>
      <w:lvlText w:val="o"/>
      <w:lvlJc w:val="left"/>
      <w:pPr>
        <w:ind w:left="6464" w:hanging="360"/>
      </w:pPr>
      <w:rPr>
        <w:rFonts w:ascii="Courier New" w:hAnsi="Courier New" w:cs="Courier New" w:hint="default"/>
      </w:rPr>
    </w:lvl>
    <w:lvl w:ilvl="8" w:tplc="08090005" w:tentative="1">
      <w:start w:val="1"/>
      <w:numFmt w:val="bullet"/>
      <w:lvlText w:val=""/>
      <w:lvlJc w:val="left"/>
      <w:pPr>
        <w:ind w:left="7184" w:hanging="360"/>
      </w:pPr>
      <w:rPr>
        <w:rFonts w:ascii="Wingdings" w:hAnsi="Wingdings" w:hint="default"/>
      </w:rPr>
    </w:lvl>
  </w:abstractNum>
  <w:abstractNum w:abstractNumId="39" w15:restartNumberingAfterBreak="0">
    <w:nsid w:val="4FC62437"/>
    <w:multiLevelType w:val="multilevel"/>
    <w:tmpl w:val="AA340A1A"/>
    <w:styleLink w:val="Style4"/>
    <w:lvl w:ilvl="0">
      <w:start w:val="1"/>
      <w:numFmt w:val="decimal"/>
      <w:lvlText w:val="5.%1"/>
      <w:lvlJc w:val="left"/>
      <w:pPr>
        <w:ind w:left="720" w:hanging="360"/>
      </w:pPr>
      <w:rPr>
        <w:rFonts w:ascii="Verdana" w:hAnsi="Verdana" w:hint="default"/>
        <w:b w:val="0"/>
        <w:bCs w:val="0"/>
        <w:color w:val="auto"/>
        <w:sz w:val="20"/>
        <w:szCs w:val="20"/>
      </w:rPr>
    </w:lvl>
    <w:lvl w:ilvl="1">
      <w:start w:val="1"/>
      <w:numFmt w:val="decimal"/>
      <w:lvlText w:val="%15.%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522107A0"/>
    <w:multiLevelType w:val="multilevel"/>
    <w:tmpl w:val="38F4376A"/>
    <w:lvl w:ilvl="0">
      <w:start w:val="3"/>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4A62AE4"/>
    <w:multiLevelType w:val="multilevel"/>
    <w:tmpl w:val="DB60B1C6"/>
    <w:styleLink w:val="Style2"/>
    <w:lvl w:ilvl="0">
      <w:start w:val="1"/>
      <w:numFmt w:val="decimal"/>
      <w:lvlText w:val="5.%1"/>
      <w:lvlJc w:val="left"/>
      <w:pPr>
        <w:ind w:left="360" w:hanging="360"/>
      </w:pPr>
      <w:rPr>
        <w:rFonts w:ascii="Verdana" w:hAnsi="Verdana" w:hint="default"/>
        <w:b w:val="0"/>
        <w:bCs w:val="0"/>
        <w:color w:val="auto"/>
        <w:sz w:val="20"/>
        <w:szCs w:val="20"/>
      </w:rPr>
    </w:lvl>
    <w:lvl w:ilvl="1">
      <w:start w:val="1"/>
      <w:numFmt w:val="decimal"/>
      <w:lvlText w:val="%1.%2"/>
      <w:lvlJc w:val="left"/>
      <w:pPr>
        <w:ind w:left="792" w:hanging="432"/>
      </w:pPr>
      <w:rPr>
        <w:rFonts w:hint="default"/>
      </w:rPr>
    </w:lvl>
    <w:lvl w:ilvl="2">
      <w:start w:val="1"/>
      <w:numFmt w:val="decimal"/>
      <w:lvlText w:val="%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59D1D03"/>
    <w:multiLevelType w:val="hybridMultilevel"/>
    <w:tmpl w:val="2A928FF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5632746E"/>
    <w:multiLevelType w:val="multilevel"/>
    <w:tmpl w:val="0809001F"/>
    <w:lvl w:ilvl="0">
      <w:start w:val="1"/>
      <w:numFmt w:val="decimal"/>
      <w:lvlText w:val="%1."/>
      <w:lvlJc w:val="left"/>
      <w:pPr>
        <w:ind w:left="72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57923869"/>
    <w:multiLevelType w:val="hybridMultilevel"/>
    <w:tmpl w:val="A168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397571"/>
    <w:multiLevelType w:val="hybridMultilevel"/>
    <w:tmpl w:val="9836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434CE7"/>
    <w:multiLevelType w:val="hybridMultilevel"/>
    <w:tmpl w:val="E348F56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7" w15:restartNumberingAfterBreak="0">
    <w:nsid w:val="5CD118D7"/>
    <w:multiLevelType w:val="hybridMultilevel"/>
    <w:tmpl w:val="3CB20A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5DF67CAA"/>
    <w:multiLevelType w:val="hybridMultilevel"/>
    <w:tmpl w:val="979A7258"/>
    <w:lvl w:ilvl="0" w:tplc="19B497CE">
      <w:start w:val="1"/>
      <w:numFmt w:val="bullet"/>
      <w:lvlText w:val=""/>
      <w:lvlJc w:val="left"/>
      <w:pPr>
        <w:ind w:left="720" w:hanging="360"/>
      </w:pPr>
      <w:rPr>
        <w:rFonts w:ascii="Symbol" w:hAnsi="Symbol" w:hint="default"/>
        <w:color w:val="000000" w:themeColor="text1"/>
      </w:rPr>
    </w:lvl>
    <w:lvl w:ilvl="1" w:tplc="19B497CE">
      <w:start w:val="1"/>
      <w:numFmt w:val="bullet"/>
      <w:lvlText w:val=""/>
      <w:lvlJc w:val="left"/>
      <w:pPr>
        <w:ind w:left="1440" w:hanging="360"/>
      </w:pPr>
      <w:rPr>
        <w:rFonts w:ascii="Symbol" w:hAnsi="Symbo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DF718F3"/>
    <w:multiLevelType w:val="hybridMultilevel"/>
    <w:tmpl w:val="B4745908"/>
    <w:lvl w:ilvl="0" w:tplc="08090003">
      <w:start w:val="1"/>
      <w:numFmt w:val="bullet"/>
      <w:lvlText w:val="o"/>
      <w:lvlJc w:val="left"/>
      <w:pPr>
        <w:ind w:left="1446" w:hanging="360"/>
      </w:pPr>
      <w:rPr>
        <w:rFonts w:ascii="Courier New" w:hAnsi="Courier New" w:cs="Courier New"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0" w15:restartNumberingAfterBreak="0">
    <w:nsid w:val="5E041045"/>
    <w:multiLevelType w:val="multilevel"/>
    <w:tmpl w:val="CC124FF4"/>
    <w:numStyleLink w:val="Style3"/>
  </w:abstractNum>
  <w:abstractNum w:abstractNumId="51" w15:restartNumberingAfterBreak="0">
    <w:nsid w:val="5E344751"/>
    <w:multiLevelType w:val="hybridMultilevel"/>
    <w:tmpl w:val="6CA0B664"/>
    <w:lvl w:ilvl="0" w:tplc="08090001">
      <w:start w:val="1"/>
      <w:numFmt w:val="bullet"/>
      <w:lvlText w:val=""/>
      <w:lvlJc w:val="left"/>
      <w:pPr>
        <w:ind w:left="1157" w:hanging="360"/>
      </w:pPr>
      <w:rPr>
        <w:rFonts w:ascii="Symbol" w:hAnsi="Symbol" w:hint="default"/>
      </w:rPr>
    </w:lvl>
    <w:lvl w:ilvl="1" w:tplc="08090003" w:tentative="1">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52" w15:restartNumberingAfterBreak="0">
    <w:nsid w:val="602539AF"/>
    <w:multiLevelType w:val="hybridMultilevel"/>
    <w:tmpl w:val="7D941D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3" w15:restartNumberingAfterBreak="0">
    <w:nsid w:val="60527528"/>
    <w:multiLevelType w:val="hybridMultilevel"/>
    <w:tmpl w:val="AD24D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C46E5B"/>
    <w:multiLevelType w:val="multilevel"/>
    <w:tmpl w:val="EA30FB9C"/>
    <w:lvl w:ilvl="0">
      <w:start w:val="3"/>
      <w:numFmt w:val="decimal"/>
      <w:lvlText w:val="%1."/>
      <w:lvlJc w:val="left"/>
      <w:pPr>
        <w:ind w:left="360" w:hanging="360"/>
      </w:pPr>
      <w:rPr>
        <w:rFonts w:eastAsiaTheme="majorEastAsia" w:cstheme="majorBidi" w:hint="default"/>
        <w:b/>
        <w:color w:val="004125"/>
        <w:sz w:val="28"/>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61ED0189"/>
    <w:multiLevelType w:val="multilevel"/>
    <w:tmpl w:val="DDF83116"/>
    <w:styleLink w:val="Style1"/>
    <w:lvl w:ilvl="0">
      <w:start w:val="1"/>
      <w:numFmt w:val="decimal"/>
      <w:lvlText w:val="5.%1"/>
      <w:lvlJc w:val="left"/>
      <w:pPr>
        <w:ind w:left="720" w:hanging="360"/>
      </w:pPr>
      <w:rPr>
        <w:rFonts w:ascii="Verdana" w:hAnsi="Verdana" w:hint="default"/>
        <w:b w:val="0"/>
        <w:bCs w:val="0"/>
        <w:color w:val="auto"/>
        <w:sz w:val="20"/>
        <w:szCs w:val="20"/>
      </w:rPr>
    </w:lvl>
    <w:lvl w:ilvl="1">
      <w:start w:val="1"/>
      <w:numFmt w:val="decimal"/>
      <w:lvlText w:val="5.%2."/>
      <w:lvlJc w:val="left"/>
      <w:pPr>
        <w:ind w:left="1152" w:hanging="432"/>
      </w:pPr>
      <w:rPr>
        <w:rFonts w:hint="default"/>
      </w:rPr>
    </w:lvl>
    <w:lvl w:ilvl="2">
      <w:start w:val="1"/>
      <w:numFmt w:val="decimal"/>
      <w:lvlText w:val="5.%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6" w15:restartNumberingAfterBreak="0">
    <w:nsid w:val="65EC6B52"/>
    <w:multiLevelType w:val="hybridMultilevel"/>
    <w:tmpl w:val="F95CEA0E"/>
    <w:lvl w:ilvl="0" w:tplc="F21CCAE8">
      <w:start w:val="1"/>
      <w:numFmt w:val="decimal"/>
      <w:lvlText w:val="6.%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BA33E8"/>
    <w:multiLevelType w:val="hybridMultilevel"/>
    <w:tmpl w:val="C4BCF3D2"/>
    <w:lvl w:ilvl="0" w:tplc="53ECFC5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6F76E07"/>
    <w:multiLevelType w:val="multilevel"/>
    <w:tmpl w:val="BA88989E"/>
    <w:lvl w:ilvl="0">
      <w:start w:val="1"/>
      <w:numFmt w:val="decimal"/>
      <w:lvlText w:val="%1"/>
      <w:lvlJc w:val="left"/>
      <w:pPr>
        <w:ind w:left="400" w:hanging="400"/>
      </w:pPr>
      <w:rPr>
        <w:rFonts w:eastAsiaTheme="majorEastAsia" w:hint="default"/>
        <w:color w:val="004125"/>
      </w:rPr>
    </w:lvl>
    <w:lvl w:ilvl="1">
      <w:start w:val="1"/>
      <w:numFmt w:val="decimal"/>
      <w:lvlText w:val="%1.%2"/>
      <w:lvlJc w:val="left"/>
      <w:pPr>
        <w:ind w:left="720" w:hanging="720"/>
      </w:pPr>
      <w:rPr>
        <w:rFonts w:eastAsiaTheme="majorEastAsia" w:hint="default"/>
        <w:color w:val="004125"/>
      </w:rPr>
    </w:lvl>
    <w:lvl w:ilvl="2">
      <w:start w:val="1"/>
      <w:numFmt w:val="decimal"/>
      <w:lvlText w:val="%1.%2.%3"/>
      <w:lvlJc w:val="left"/>
      <w:pPr>
        <w:ind w:left="720" w:hanging="720"/>
      </w:pPr>
      <w:rPr>
        <w:rFonts w:eastAsiaTheme="majorEastAsia" w:hint="default"/>
        <w:color w:val="004125"/>
      </w:rPr>
    </w:lvl>
    <w:lvl w:ilvl="3">
      <w:start w:val="1"/>
      <w:numFmt w:val="decimal"/>
      <w:lvlText w:val="%1.%2.%3.%4"/>
      <w:lvlJc w:val="left"/>
      <w:pPr>
        <w:ind w:left="1080" w:hanging="1080"/>
      </w:pPr>
      <w:rPr>
        <w:rFonts w:eastAsiaTheme="majorEastAsia" w:hint="default"/>
        <w:color w:val="004125"/>
      </w:rPr>
    </w:lvl>
    <w:lvl w:ilvl="4">
      <w:start w:val="1"/>
      <w:numFmt w:val="decimal"/>
      <w:lvlText w:val="%1.%2.%3.%4.%5"/>
      <w:lvlJc w:val="left"/>
      <w:pPr>
        <w:ind w:left="1440" w:hanging="1440"/>
      </w:pPr>
      <w:rPr>
        <w:rFonts w:eastAsiaTheme="majorEastAsia" w:hint="default"/>
        <w:color w:val="004125"/>
      </w:rPr>
    </w:lvl>
    <w:lvl w:ilvl="5">
      <w:start w:val="1"/>
      <w:numFmt w:val="decimal"/>
      <w:lvlText w:val="%1.%2.%3.%4.%5.%6"/>
      <w:lvlJc w:val="left"/>
      <w:pPr>
        <w:ind w:left="1440" w:hanging="1440"/>
      </w:pPr>
      <w:rPr>
        <w:rFonts w:eastAsiaTheme="majorEastAsia" w:hint="default"/>
        <w:color w:val="004125"/>
      </w:rPr>
    </w:lvl>
    <w:lvl w:ilvl="6">
      <w:start w:val="1"/>
      <w:numFmt w:val="decimal"/>
      <w:lvlText w:val="%1.%2.%3.%4.%5.%6.%7"/>
      <w:lvlJc w:val="left"/>
      <w:pPr>
        <w:ind w:left="1800" w:hanging="1800"/>
      </w:pPr>
      <w:rPr>
        <w:rFonts w:eastAsiaTheme="majorEastAsia" w:hint="default"/>
        <w:color w:val="004125"/>
      </w:rPr>
    </w:lvl>
    <w:lvl w:ilvl="7">
      <w:start w:val="1"/>
      <w:numFmt w:val="decimal"/>
      <w:lvlText w:val="%1.%2.%3.%4.%5.%6.%7.%8"/>
      <w:lvlJc w:val="left"/>
      <w:pPr>
        <w:ind w:left="2160" w:hanging="2160"/>
      </w:pPr>
      <w:rPr>
        <w:rFonts w:eastAsiaTheme="majorEastAsia" w:hint="default"/>
        <w:color w:val="004125"/>
      </w:rPr>
    </w:lvl>
    <w:lvl w:ilvl="8">
      <w:start w:val="1"/>
      <w:numFmt w:val="decimal"/>
      <w:lvlText w:val="%1.%2.%3.%4.%5.%6.%7.%8.%9"/>
      <w:lvlJc w:val="left"/>
      <w:pPr>
        <w:ind w:left="2160" w:hanging="2160"/>
      </w:pPr>
      <w:rPr>
        <w:rFonts w:eastAsiaTheme="majorEastAsia" w:hint="default"/>
        <w:color w:val="004125"/>
      </w:rPr>
    </w:lvl>
  </w:abstractNum>
  <w:abstractNum w:abstractNumId="59" w15:restartNumberingAfterBreak="0">
    <w:nsid w:val="671E46BD"/>
    <w:multiLevelType w:val="hybridMultilevel"/>
    <w:tmpl w:val="0944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FC0796"/>
    <w:multiLevelType w:val="hybridMultilevel"/>
    <w:tmpl w:val="2F760C66"/>
    <w:lvl w:ilvl="0" w:tplc="108085EC">
      <w:start w:val="1"/>
      <w:numFmt w:val="decimal"/>
      <w:pStyle w:val="CH1normal"/>
      <w:lvlText w:val="1.%1"/>
      <w:lvlJc w:val="left"/>
      <w:pPr>
        <w:ind w:left="644"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D1E64"/>
    <w:multiLevelType w:val="hybridMultilevel"/>
    <w:tmpl w:val="6D52484A"/>
    <w:lvl w:ilvl="0" w:tplc="C3ECABEC">
      <w:start w:val="1"/>
      <w:numFmt w:val="decimal"/>
      <w:pStyle w:val="CH3normal"/>
      <w:lvlText w:val="3.%1"/>
      <w:lvlJc w:val="left"/>
      <w:pPr>
        <w:ind w:left="360" w:hanging="360"/>
      </w:pPr>
      <w:rPr>
        <w:rFonts w:hint="default"/>
        <w:b w:val="0"/>
        <w:bCs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9CA3B1B"/>
    <w:multiLevelType w:val="hybridMultilevel"/>
    <w:tmpl w:val="991EA810"/>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3" w15:restartNumberingAfterBreak="0">
    <w:nsid w:val="6A3655F9"/>
    <w:multiLevelType w:val="hybridMultilevel"/>
    <w:tmpl w:val="3F922A96"/>
    <w:lvl w:ilvl="0" w:tplc="19B497C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151E36"/>
    <w:multiLevelType w:val="hybridMultilevel"/>
    <w:tmpl w:val="DE867B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C9306DE"/>
    <w:multiLevelType w:val="hybridMultilevel"/>
    <w:tmpl w:val="DF8A393E"/>
    <w:lvl w:ilvl="0" w:tplc="F21CCAE8">
      <w:start w:val="1"/>
      <w:numFmt w:val="decimal"/>
      <w:lvlText w:val="6.%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D094140"/>
    <w:multiLevelType w:val="multilevel"/>
    <w:tmpl w:val="63AAE254"/>
    <w:styleLink w:val="Style5"/>
    <w:lvl w:ilvl="0">
      <w:start w:val="1"/>
      <w:numFmt w:val="decimal"/>
      <w:lvlText w:val="5.%1"/>
      <w:lvlJc w:val="left"/>
      <w:pPr>
        <w:ind w:left="360" w:hanging="360"/>
      </w:pPr>
      <w:rPr>
        <w:rFonts w:ascii="Verdana" w:hAnsi="Verdana" w:hint="default"/>
        <w:b w:val="0"/>
        <w:bCs w:val="0"/>
        <w:color w:val="auto"/>
        <w:sz w:val="20"/>
        <w:szCs w:val="20"/>
      </w:rPr>
    </w:lvl>
    <w:lvl w:ilvl="1">
      <w:start w:val="1"/>
      <w:numFmt w:val="decimal"/>
      <w:lvlText w:val="5.2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F810138"/>
    <w:multiLevelType w:val="hybridMultilevel"/>
    <w:tmpl w:val="4A8EB6B2"/>
    <w:lvl w:ilvl="0" w:tplc="E5384A62">
      <w:start w:val="1"/>
      <w:numFmt w:val="decimal"/>
      <w:pStyle w:val="CH2normal"/>
      <w:lvlText w:val="2.%1"/>
      <w:lvlJc w:val="left"/>
      <w:pPr>
        <w:ind w:left="720" w:hanging="360"/>
      </w:pPr>
      <w:rPr>
        <w:rFonts w:ascii="Verdana" w:hAnsi="Verdana"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1CB5B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29330E5"/>
    <w:multiLevelType w:val="multilevel"/>
    <w:tmpl w:val="7BC254C0"/>
    <w:lvl w:ilvl="0">
      <w:start w:val="1"/>
      <w:numFmt w:val="decimal"/>
      <w:lvlText w:val="5.%1"/>
      <w:lvlJc w:val="left"/>
      <w:pPr>
        <w:ind w:left="360" w:hanging="360"/>
      </w:pPr>
      <w:rPr>
        <w:rFonts w:ascii="Verdana" w:hAnsi="Verdana" w:hint="default"/>
        <w:b w:val="0"/>
        <w:bCs w:val="0"/>
        <w:color w:val="auto"/>
        <w:sz w:val="20"/>
        <w:szCs w:val="20"/>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50752DF"/>
    <w:multiLevelType w:val="multilevel"/>
    <w:tmpl w:val="AA340A1A"/>
    <w:numStyleLink w:val="Style4"/>
  </w:abstractNum>
  <w:abstractNum w:abstractNumId="71" w15:restartNumberingAfterBreak="0">
    <w:nsid w:val="76E44F7C"/>
    <w:multiLevelType w:val="hybridMultilevel"/>
    <w:tmpl w:val="3E3876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78227066"/>
    <w:multiLevelType w:val="multilevel"/>
    <w:tmpl w:val="CC124FF4"/>
    <w:styleLink w:val="Style3"/>
    <w:lvl w:ilvl="0">
      <w:start w:val="1"/>
      <w:numFmt w:val="decimal"/>
      <w:lvlText w:val="5.%1"/>
      <w:lvlJc w:val="left"/>
      <w:pPr>
        <w:ind w:left="360" w:hanging="360"/>
      </w:pPr>
      <w:rPr>
        <w:rFonts w:ascii="Verdana" w:hAnsi="Verdana" w:hint="default"/>
        <w:b w:val="0"/>
        <w:bCs w:val="0"/>
        <w:color w:val="auto"/>
        <w:sz w:val="20"/>
        <w:szCs w:val="20"/>
      </w:rPr>
    </w:lvl>
    <w:lvl w:ilvl="1">
      <w:start w:val="1"/>
      <w:numFmt w:val="decimal"/>
      <w:lvlText w:val="%1.%2."/>
      <w:lvlJc w:val="left"/>
      <w:pPr>
        <w:ind w:left="792" w:hanging="432"/>
      </w:pPr>
      <w:rPr>
        <w:rFonts w:hint="default"/>
      </w:rPr>
    </w:lvl>
    <w:lvl w:ilvl="2">
      <w:start w:val="1"/>
      <w:numFmt w:val="decimal"/>
      <w:lvlText w:val="%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8727FDE"/>
    <w:multiLevelType w:val="multilevel"/>
    <w:tmpl w:val="ADDA3790"/>
    <w:lvl w:ilvl="0">
      <w:start w:val="5"/>
      <w:numFmt w:val="decimal"/>
      <w:lvlText w:val="4.%1"/>
      <w:lvlJc w:val="left"/>
      <w:pPr>
        <w:ind w:left="360" w:hanging="360"/>
      </w:pPr>
      <w:rPr>
        <w:rFonts w:hint="default"/>
        <w:b w:val="0"/>
        <w:bCs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9FB6D8A"/>
    <w:multiLevelType w:val="hybridMultilevel"/>
    <w:tmpl w:val="0E88E5E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B856BA0"/>
    <w:multiLevelType w:val="hybridMultilevel"/>
    <w:tmpl w:val="5F18A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C936C4A"/>
    <w:multiLevelType w:val="hybridMultilevel"/>
    <w:tmpl w:val="696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6427FA"/>
    <w:multiLevelType w:val="hybridMultilevel"/>
    <w:tmpl w:val="324286F0"/>
    <w:lvl w:ilvl="0" w:tplc="9F169B88">
      <w:start w:val="1"/>
      <w:numFmt w:val="decimal"/>
      <w:lvlText w:val="%1."/>
      <w:lvlJc w:val="left"/>
      <w:pPr>
        <w:ind w:left="1080" w:hanging="720"/>
      </w:pPr>
      <w:rPr>
        <w:rFonts w:eastAsiaTheme="majorEastAsia" w:cstheme="majorBidi" w:hint="default"/>
        <w:b/>
        <w:color w:val="004125"/>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3"/>
  </w:num>
  <w:num w:numId="2">
    <w:abstractNumId w:val="44"/>
  </w:num>
  <w:num w:numId="3">
    <w:abstractNumId w:val="0"/>
  </w:num>
  <w:num w:numId="4">
    <w:abstractNumId w:val="67"/>
  </w:num>
  <w:num w:numId="5">
    <w:abstractNumId w:val="65"/>
  </w:num>
  <w:num w:numId="6">
    <w:abstractNumId w:val="14"/>
  </w:num>
  <w:num w:numId="7">
    <w:abstractNumId w:val="56"/>
  </w:num>
  <w:num w:numId="8">
    <w:abstractNumId w:val="54"/>
  </w:num>
  <w:num w:numId="9">
    <w:abstractNumId w:val="28"/>
  </w:num>
  <w:num w:numId="10">
    <w:abstractNumId w:val="23"/>
  </w:num>
  <w:num w:numId="11">
    <w:abstractNumId w:val="77"/>
  </w:num>
  <w:num w:numId="12">
    <w:abstractNumId w:val="63"/>
  </w:num>
  <w:num w:numId="13">
    <w:abstractNumId w:val="51"/>
  </w:num>
  <w:num w:numId="14">
    <w:abstractNumId w:val="2"/>
  </w:num>
  <w:num w:numId="15">
    <w:abstractNumId w:val="40"/>
  </w:num>
  <w:num w:numId="16">
    <w:abstractNumId w:val="61"/>
  </w:num>
  <w:num w:numId="17">
    <w:abstractNumId w:val="1"/>
  </w:num>
  <w:num w:numId="18">
    <w:abstractNumId w:val="48"/>
  </w:num>
  <w:num w:numId="19">
    <w:abstractNumId w:val="60"/>
  </w:num>
  <w:num w:numId="20">
    <w:abstractNumId w:val="3"/>
  </w:num>
  <w:num w:numId="21">
    <w:abstractNumId w:val="27"/>
  </w:num>
  <w:num w:numId="22">
    <w:abstractNumId w:val="76"/>
  </w:num>
  <w:num w:numId="23">
    <w:abstractNumId w:val="18"/>
  </w:num>
  <w:num w:numId="24">
    <w:abstractNumId w:val="46"/>
  </w:num>
  <w:num w:numId="25">
    <w:abstractNumId w:val="16"/>
  </w:num>
  <w:num w:numId="26">
    <w:abstractNumId w:val="12"/>
  </w:num>
  <w:num w:numId="27">
    <w:abstractNumId w:val="64"/>
  </w:num>
  <w:num w:numId="28">
    <w:abstractNumId w:val="68"/>
  </w:num>
  <w:num w:numId="29">
    <w:abstractNumId w:val="36"/>
  </w:num>
  <w:num w:numId="30">
    <w:abstractNumId w:val="49"/>
  </w:num>
  <w:num w:numId="31">
    <w:abstractNumId w:val="22"/>
  </w:num>
  <w:num w:numId="32">
    <w:abstractNumId w:val="74"/>
  </w:num>
  <w:num w:numId="33">
    <w:abstractNumId w:val="13"/>
  </w:num>
  <w:num w:numId="34">
    <w:abstractNumId w:val="62"/>
  </w:num>
  <w:num w:numId="35">
    <w:abstractNumId w:val="24"/>
  </w:num>
  <w:num w:numId="36">
    <w:abstractNumId w:val="29"/>
  </w:num>
  <w:num w:numId="37">
    <w:abstractNumId w:val="43"/>
  </w:num>
  <w:num w:numId="38">
    <w:abstractNumId w:val="11"/>
  </w:num>
  <w:num w:numId="39">
    <w:abstractNumId w:val="26"/>
  </w:num>
  <w:num w:numId="40">
    <w:abstractNumId w:val="58"/>
  </w:num>
  <w:num w:numId="41">
    <w:abstractNumId w:val="6"/>
  </w:num>
  <w:num w:numId="42">
    <w:abstractNumId w:val="73"/>
  </w:num>
  <w:num w:numId="43">
    <w:abstractNumId w:val="33"/>
  </w:num>
  <w:num w:numId="44">
    <w:abstractNumId w:val="45"/>
  </w:num>
  <w:num w:numId="45">
    <w:abstractNumId w:val="4"/>
  </w:num>
  <w:num w:numId="46">
    <w:abstractNumId w:val="75"/>
  </w:num>
  <w:num w:numId="47">
    <w:abstractNumId w:val="71"/>
  </w:num>
  <w:num w:numId="48">
    <w:abstractNumId w:val="10"/>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52"/>
  </w:num>
  <w:num w:numId="52">
    <w:abstractNumId w:val="47"/>
  </w:num>
  <w:num w:numId="53">
    <w:abstractNumId w:val="42"/>
  </w:num>
  <w:num w:numId="54">
    <w:abstractNumId w:val="21"/>
  </w:num>
  <w:num w:numId="55">
    <w:abstractNumId w:val="55"/>
  </w:num>
  <w:num w:numId="56">
    <w:abstractNumId w:val="25"/>
  </w:num>
  <w:num w:numId="57">
    <w:abstractNumId w:val="9"/>
  </w:num>
  <w:num w:numId="58">
    <w:abstractNumId w:val="41"/>
  </w:num>
  <w:num w:numId="59">
    <w:abstractNumId w:val="35"/>
  </w:num>
  <w:num w:numId="60">
    <w:abstractNumId w:val="72"/>
  </w:num>
  <w:num w:numId="61">
    <w:abstractNumId w:val="50"/>
  </w:num>
  <w:num w:numId="62">
    <w:abstractNumId w:val="39"/>
  </w:num>
  <w:num w:numId="63">
    <w:abstractNumId w:val="70"/>
  </w:num>
  <w:num w:numId="64">
    <w:abstractNumId w:val="66"/>
  </w:num>
  <w:num w:numId="65">
    <w:abstractNumId w:val="20"/>
  </w:num>
  <w:num w:numId="66">
    <w:abstractNumId w:val="69"/>
  </w:num>
  <w:num w:numId="67">
    <w:abstractNumId w:val="17"/>
  </w:num>
  <w:num w:numId="68">
    <w:abstractNumId w:val="7"/>
  </w:num>
  <w:num w:numId="69">
    <w:abstractNumId w:val="32"/>
  </w:num>
  <w:num w:numId="70">
    <w:abstractNumId w:val="37"/>
  </w:num>
  <w:num w:numId="71">
    <w:abstractNumId w:val="5"/>
  </w:num>
  <w:num w:numId="72">
    <w:abstractNumId w:val="15"/>
  </w:num>
  <w:num w:numId="73">
    <w:abstractNumId w:val="34"/>
  </w:num>
  <w:num w:numId="74">
    <w:abstractNumId w:val="59"/>
  </w:num>
  <w:num w:numId="75">
    <w:abstractNumId w:val="30"/>
  </w:num>
  <w:num w:numId="76">
    <w:abstractNumId w:val="19"/>
  </w:num>
  <w:num w:numId="77">
    <w:abstractNumId w:val="17"/>
    <w:lvlOverride w:ilvl="0">
      <w:startOverride w:val="1"/>
    </w:lvlOverride>
  </w:num>
  <w:num w:numId="78">
    <w:abstractNumId w:val="17"/>
  </w:num>
  <w:num w:numId="79">
    <w:abstractNumId w:val="8"/>
  </w:num>
  <w:num w:numId="80">
    <w:abstractNumId w:val="31"/>
  </w:num>
  <w:num w:numId="81">
    <w:abstractNumId w:val="57"/>
  </w:num>
  <w:num w:numId="82">
    <w:abstractNumId w:val="67"/>
  </w:num>
  <w:num w:numId="83">
    <w:abstractNumId w:val="67"/>
    <w:lvlOverride w:ilvl="0">
      <w:startOverride w:val="1"/>
    </w:lvlOverride>
  </w:num>
  <w:num w:numId="8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zNTExMDKxNDc0MzNX0lEKTi0uzszPAykwrAUAC/8CrSwAAAA="/>
  </w:docVars>
  <w:rsids>
    <w:rsidRoot w:val="0023313A"/>
    <w:rsid w:val="00000684"/>
    <w:rsid w:val="00004782"/>
    <w:rsid w:val="00005620"/>
    <w:rsid w:val="0000600C"/>
    <w:rsid w:val="00006FDD"/>
    <w:rsid w:val="00007254"/>
    <w:rsid w:val="00007C9D"/>
    <w:rsid w:val="00010A0A"/>
    <w:rsid w:val="00012D57"/>
    <w:rsid w:val="000131ED"/>
    <w:rsid w:val="00016049"/>
    <w:rsid w:val="0001684F"/>
    <w:rsid w:val="00017E6B"/>
    <w:rsid w:val="000220C6"/>
    <w:rsid w:val="000233A2"/>
    <w:rsid w:val="00024D2D"/>
    <w:rsid w:val="000250B5"/>
    <w:rsid w:val="00025308"/>
    <w:rsid w:val="0002537C"/>
    <w:rsid w:val="0002745F"/>
    <w:rsid w:val="00027E5C"/>
    <w:rsid w:val="0003072C"/>
    <w:rsid w:val="00031A2F"/>
    <w:rsid w:val="00031E6B"/>
    <w:rsid w:val="00032152"/>
    <w:rsid w:val="000326C1"/>
    <w:rsid w:val="00032947"/>
    <w:rsid w:val="00033FA2"/>
    <w:rsid w:val="0003454B"/>
    <w:rsid w:val="00035A3A"/>
    <w:rsid w:val="00036B8A"/>
    <w:rsid w:val="00036F46"/>
    <w:rsid w:val="000371B8"/>
    <w:rsid w:val="00042AA0"/>
    <w:rsid w:val="00042D30"/>
    <w:rsid w:val="00043BA7"/>
    <w:rsid w:val="00044774"/>
    <w:rsid w:val="00044991"/>
    <w:rsid w:val="0004544F"/>
    <w:rsid w:val="000460A5"/>
    <w:rsid w:val="00046197"/>
    <w:rsid w:val="000472FF"/>
    <w:rsid w:val="0004765D"/>
    <w:rsid w:val="000477DF"/>
    <w:rsid w:val="00051882"/>
    <w:rsid w:val="00051D2C"/>
    <w:rsid w:val="00052AD0"/>
    <w:rsid w:val="00054C4E"/>
    <w:rsid w:val="00056601"/>
    <w:rsid w:val="00056C3D"/>
    <w:rsid w:val="00060AA8"/>
    <w:rsid w:val="000624B7"/>
    <w:rsid w:val="00062DA9"/>
    <w:rsid w:val="00065026"/>
    <w:rsid w:val="00065680"/>
    <w:rsid w:val="00065A22"/>
    <w:rsid w:val="00067C1D"/>
    <w:rsid w:val="00067C84"/>
    <w:rsid w:val="00070B38"/>
    <w:rsid w:val="000717B9"/>
    <w:rsid w:val="00071AD7"/>
    <w:rsid w:val="00071CD9"/>
    <w:rsid w:val="00072EA4"/>
    <w:rsid w:val="00073C2C"/>
    <w:rsid w:val="00073DB1"/>
    <w:rsid w:val="000746F4"/>
    <w:rsid w:val="0007546A"/>
    <w:rsid w:val="00075E6D"/>
    <w:rsid w:val="00080749"/>
    <w:rsid w:val="000807B5"/>
    <w:rsid w:val="000810AD"/>
    <w:rsid w:val="00082076"/>
    <w:rsid w:val="0008555B"/>
    <w:rsid w:val="000866A1"/>
    <w:rsid w:val="00086BAA"/>
    <w:rsid w:val="00087577"/>
    <w:rsid w:val="0008761A"/>
    <w:rsid w:val="00090818"/>
    <w:rsid w:val="0009142E"/>
    <w:rsid w:val="00093E8F"/>
    <w:rsid w:val="000972DC"/>
    <w:rsid w:val="000A06AF"/>
    <w:rsid w:val="000A178D"/>
    <w:rsid w:val="000A1D28"/>
    <w:rsid w:val="000A22AB"/>
    <w:rsid w:val="000A2508"/>
    <w:rsid w:val="000A3E0E"/>
    <w:rsid w:val="000A4034"/>
    <w:rsid w:val="000A48E1"/>
    <w:rsid w:val="000A57F0"/>
    <w:rsid w:val="000A6799"/>
    <w:rsid w:val="000A6C95"/>
    <w:rsid w:val="000A6FDF"/>
    <w:rsid w:val="000A7819"/>
    <w:rsid w:val="000A790E"/>
    <w:rsid w:val="000A7A8F"/>
    <w:rsid w:val="000B03D6"/>
    <w:rsid w:val="000B0FC9"/>
    <w:rsid w:val="000B11FC"/>
    <w:rsid w:val="000B1DA0"/>
    <w:rsid w:val="000B2087"/>
    <w:rsid w:val="000B26EE"/>
    <w:rsid w:val="000B502C"/>
    <w:rsid w:val="000B595A"/>
    <w:rsid w:val="000C059D"/>
    <w:rsid w:val="000C0DBA"/>
    <w:rsid w:val="000C47B8"/>
    <w:rsid w:val="000C67A4"/>
    <w:rsid w:val="000C701F"/>
    <w:rsid w:val="000C7086"/>
    <w:rsid w:val="000C786B"/>
    <w:rsid w:val="000D1E3F"/>
    <w:rsid w:val="000D46C6"/>
    <w:rsid w:val="000D75FA"/>
    <w:rsid w:val="000E2757"/>
    <w:rsid w:val="000E342A"/>
    <w:rsid w:val="000E3A63"/>
    <w:rsid w:val="000E3A85"/>
    <w:rsid w:val="000E3B7D"/>
    <w:rsid w:val="000E4A62"/>
    <w:rsid w:val="000E4FCC"/>
    <w:rsid w:val="000E55B7"/>
    <w:rsid w:val="000F01BE"/>
    <w:rsid w:val="000F154B"/>
    <w:rsid w:val="000F1C3D"/>
    <w:rsid w:val="000F22AA"/>
    <w:rsid w:val="000F556D"/>
    <w:rsid w:val="000F6448"/>
    <w:rsid w:val="00100276"/>
    <w:rsid w:val="0010154A"/>
    <w:rsid w:val="00101749"/>
    <w:rsid w:val="0010198F"/>
    <w:rsid w:val="00102453"/>
    <w:rsid w:val="00102AC3"/>
    <w:rsid w:val="00102F96"/>
    <w:rsid w:val="001032DA"/>
    <w:rsid w:val="00103CF3"/>
    <w:rsid w:val="001048F9"/>
    <w:rsid w:val="00105067"/>
    <w:rsid w:val="00105D24"/>
    <w:rsid w:val="00105D43"/>
    <w:rsid w:val="00107AEA"/>
    <w:rsid w:val="0011042C"/>
    <w:rsid w:val="001105DD"/>
    <w:rsid w:val="0011067A"/>
    <w:rsid w:val="001119A3"/>
    <w:rsid w:val="00111FEB"/>
    <w:rsid w:val="001127BF"/>
    <w:rsid w:val="00112D2E"/>
    <w:rsid w:val="00113909"/>
    <w:rsid w:val="00113FC5"/>
    <w:rsid w:val="001148DD"/>
    <w:rsid w:val="00115C0B"/>
    <w:rsid w:val="001160BD"/>
    <w:rsid w:val="00116291"/>
    <w:rsid w:val="001162FE"/>
    <w:rsid w:val="001168D8"/>
    <w:rsid w:val="00116ED6"/>
    <w:rsid w:val="001170A1"/>
    <w:rsid w:val="0011766A"/>
    <w:rsid w:val="00117C32"/>
    <w:rsid w:val="001200D2"/>
    <w:rsid w:val="00121151"/>
    <w:rsid w:val="0012258A"/>
    <w:rsid w:val="00123408"/>
    <w:rsid w:val="00125AA2"/>
    <w:rsid w:val="001266DB"/>
    <w:rsid w:val="00126E4A"/>
    <w:rsid w:val="00127568"/>
    <w:rsid w:val="001275F8"/>
    <w:rsid w:val="00127688"/>
    <w:rsid w:val="00131FEB"/>
    <w:rsid w:val="0013278C"/>
    <w:rsid w:val="00132DD2"/>
    <w:rsid w:val="00134163"/>
    <w:rsid w:val="00134602"/>
    <w:rsid w:val="00136150"/>
    <w:rsid w:val="00136A5E"/>
    <w:rsid w:val="00136CD9"/>
    <w:rsid w:val="00141E11"/>
    <w:rsid w:val="001423AB"/>
    <w:rsid w:val="00142D67"/>
    <w:rsid w:val="0014343A"/>
    <w:rsid w:val="001439EB"/>
    <w:rsid w:val="00143AD4"/>
    <w:rsid w:val="00143DC7"/>
    <w:rsid w:val="001441C1"/>
    <w:rsid w:val="00144452"/>
    <w:rsid w:val="00144E3F"/>
    <w:rsid w:val="001468BD"/>
    <w:rsid w:val="00147C7B"/>
    <w:rsid w:val="00147E29"/>
    <w:rsid w:val="00147FDF"/>
    <w:rsid w:val="0015175E"/>
    <w:rsid w:val="00151F39"/>
    <w:rsid w:val="001526B9"/>
    <w:rsid w:val="00153663"/>
    <w:rsid w:val="00153B80"/>
    <w:rsid w:val="00154CD9"/>
    <w:rsid w:val="00154E3F"/>
    <w:rsid w:val="00155233"/>
    <w:rsid w:val="00155C44"/>
    <w:rsid w:val="001610C7"/>
    <w:rsid w:val="00161166"/>
    <w:rsid w:val="00162363"/>
    <w:rsid w:val="001625A2"/>
    <w:rsid w:val="0016280A"/>
    <w:rsid w:val="0016281C"/>
    <w:rsid w:val="001628D0"/>
    <w:rsid w:val="001646FE"/>
    <w:rsid w:val="00165594"/>
    <w:rsid w:val="00165BAF"/>
    <w:rsid w:val="001675A9"/>
    <w:rsid w:val="001719C3"/>
    <w:rsid w:val="00171E7A"/>
    <w:rsid w:val="00172516"/>
    <w:rsid w:val="0017333F"/>
    <w:rsid w:val="0017399E"/>
    <w:rsid w:val="0017573B"/>
    <w:rsid w:val="001759F4"/>
    <w:rsid w:val="0017609D"/>
    <w:rsid w:val="00176A89"/>
    <w:rsid w:val="0018059C"/>
    <w:rsid w:val="00181C3C"/>
    <w:rsid w:val="00182D5B"/>
    <w:rsid w:val="0018313C"/>
    <w:rsid w:val="001839CE"/>
    <w:rsid w:val="00184D08"/>
    <w:rsid w:val="00185139"/>
    <w:rsid w:val="0018639D"/>
    <w:rsid w:val="00186E46"/>
    <w:rsid w:val="00187A9D"/>
    <w:rsid w:val="00187E35"/>
    <w:rsid w:val="00190333"/>
    <w:rsid w:val="0019041A"/>
    <w:rsid w:val="00190E90"/>
    <w:rsid w:val="001914AF"/>
    <w:rsid w:val="00192521"/>
    <w:rsid w:val="00194F88"/>
    <w:rsid w:val="00197491"/>
    <w:rsid w:val="001975AC"/>
    <w:rsid w:val="001A074A"/>
    <w:rsid w:val="001A0B5C"/>
    <w:rsid w:val="001A27F8"/>
    <w:rsid w:val="001A394B"/>
    <w:rsid w:val="001A6C80"/>
    <w:rsid w:val="001A6FC0"/>
    <w:rsid w:val="001B0075"/>
    <w:rsid w:val="001B0C9A"/>
    <w:rsid w:val="001B0F5C"/>
    <w:rsid w:val="001B1CA5"/>
    <w:rsid w:val="001B1F27"/>
    <w:rsid w:val="001B51D0"/>
    <w:rsid w:val="001B5916"/>
    <w:rsid w:val="001B59A7"/>
    <w:rsid w:val="001B6235"/>
    <w:rsid w:val="001B7836"/>
    <w:rsid w:val="001C2585"/>
    <w:rsid w:val="001C2799"/>
    <w:rsid w:val="001C2D50"/>
    <w:rsid w:val="001C34A9"/>
    <w:rsid w:val="001C3697"/>
    <w:rsid w:val="001C3B6C"/>
    <w:rsid w:val="001C3E18"/>
    <w:rsid w:val="001C4FE5"/>
    <w:rsid w:val="001C5A5E"/>
    <w:rsid w:val="001C6BCE"/>
    <w:rsid w:val="001C7EA4"/>
    <w:rsid w:val="001D0E63"/>
    <w:rsid w:val="001D67B3"/>
    <w:rsid w:val="001D6C95"/>
    <w:rsid w:val="001D7568"/>
    <w:rsid w:val="001D7B7B"/>
    <w:rsid w:val="001E26E3"/>
    <w:rsid w:val="001E382F"/>
    <w:rsid w:val="001E4798"/>
    <w:rsid w:val="001E4FD5"/>
    <w:rsid w:val="001E596A"/>
    <w:rsid w:val="001E5D4B"/>
    <w:rsid w:val="001E7807"/>
    <w:rsid w:val="001E7968"/>
    <w:rsid w:val="001F0058"/>
    <w:rsid w:val="001F0DA3"/>
    <w:rsid w:val="001F0E7D"/>
    <w:rsid w:val="001F50C2"/>
    <w:rsid w:val="001F58FA"/>
    <w:rsid w:val="001F6264"/>
    <w:rsid w:val="001F6360"/>
    <w:rsid w:val="001F7262"/>
    <w:rsid w:val="001F7286"/>
    <w:rsid w:val="001F73E7"/>
    <w:rsid w:val="001F7A7C"/>
    <w:rsid w:val="001F7D9E"/>
    <w:rsid w:val="00200D41"/>
    <w:rsid w:val="00202EC5"/>
    <w:rsid w:val="00204BA1"/>
    <w:rsid w:val="00206DBE"/>
    <w:rsid w:val="002071A6"/>
    <w:rsid w:val="00211664"/>
    <w:rsid w:val="00211872"/>
    <w:rsid w:val="0021211F"/>
    <w:rsid w:val="00214E05"/>
    <w:rsid w:val="002152B6"/>
    <w:rsid w:val="002156BA"/>
    <w:rsid w:val="00215982"/>
    <w:rsid w:val="00215F00"/>
    <w:rsid w:val="00216025"/>
    <w:rsid w:val="00216834"/>
    <w:rsid w:val="00220269"/>
    <w:rsid w:val="002205F8"/>
    <w:rsid w:val="0022094B"/>
    <w:rsid w:val="00221933"/>
    <w:rsid w:val="00222539"/>
    <w:rsid w:val="00223041"/>
    <w:rsid w:val="00223286"/>
    <w:rsid w:val="00223C63"/>
    <w:rsid w:val="002242CA"/>
    <w:rsid w:val="002257AD"/>
    <w:rsid w:val="00225B05"/>
    <w:rsid w:val="00226067"/>
    <w:rsid w:val="0022737F"/>
    <w:rsid w:val="00227C99"/>
    <w:rsid w:val="0023313A"/>
    <w:rsid w:val="0023460A"/>
    <w:rsid w:val="00234B08"/>
    <w:rsid w:val="00236B09"/>
    <w:rsid w:val="002379E3"/>
    <w:rsid w:val="00237C32"/>
    <w:rsid w:val="00245251"/>
    <w:rsid w:val="00245E78"/>
    <w:rsid w:val="00246678"/>
    <w:rsid w:val="00247209"/>
    <w:rsid w:val="00250DFC"/>
    <w:rsid w:val="002512A3"/>
    <w:rsid w:val="002517CB"/>
    <w:rsid w:val="0025325C"/>
    <w:rsid w:val="0025370F"/>
    <w:rsid w:val="002544D1"/>
    <w:rsid w:val="002550CC"/>
    <w:rsid w:val="0025541A"/>
    <w:rsid w:val="002556AF"/>
    <w:rsid w:val="00255ACB"/>
    <w:rsid w:val="00255CCE"/>
    <w:rsid w:val="002560C1"/>
    <w:rsid w:val="00257C2C"/>
    <w:rsid w:val="0026099C"/>
    <w:rsid w:val="00260F47"/>
    <w:rsid w:val="00261F33"/>
    <w:rsid w:val="002643C8"/>
    <w:rsid w:val="002648B1"/>
    <w:rsid w:val="00266664"/>
    <w:rsid w:val="002720BA"/>
    <w:rsid w:val="002721B0"/>
    <w:rsid w:val="00272700"/>
    <w:rsid w:val="00272A48"/>
    <w:rsid w:val="00272C63"/>
    <w:rsid w:val="00273623"/>
    <w:rsid w:val="00273830"/>
    <w:rsid w:val="00273DB2"/>
    <w:rsid w:val="00273FDE"/>
    <w:rsid w:val="00274476"/>
    <w:rsid w:val="002755E0"/>
    <w:rsid w:val="002758FD"/>
    <w:rsid w:val="00275ADA"/>
    <w:rsid w:val="00275B4F"/>
    <w:rsid w:val="00276A44"/>
    <w:rsid w:val="00276AD2"/>
    <w:rsid w:val="0028015D"/>
    <w:rsid w:val="0028130B"/>
    <w:rsid w:val="0028131B"/>
    <w:rsid w:val="00281631"/>
    <w:rsid w:val="00281D5B"/>
    <w:rsid w:val="00282962"/>
    <w:rsid w:val="00282BD7"/>
    <w:rsid w:val="00283784"/>
    <w:rsid w:val="00283ED5"/>
    <w:rsid w:val="0028480F"/>
    <w:rsid w:val="00286040"/>
    <w:rsid w:val="00286730"/>
    <w:rsid w:val="00286C7D"/>
    <w:rsid w:val="00287F6B"/>
    <w:rsid w:val="002901C6"/>
    <w:rsid w:val="0029034F"/>
    <w:rsid w:val="002908DC"/>
    <w:rsid w:val="00290D8B"/>
    <w:rsid w:val="002918CF"/>
    <w:rsid w:val="00292EBC"/>
    <w:rsid w:val="002937DB"/>
    <w:rsid w:val="00294371"/>
    <w:rsid w:val="00295D31"/>
    <w:rsid w:val="002964C4"/>
    <w:rsid w:val="00297AFA"/>
    <w:rsid w:val="00297C87"/>
    <w:rsid w:val="002A0068"/>
    <w:rsid w:val="002A0F15"/>
    <w:rsid w:val="002A2682"/>
    <w:rsid w:val="002A2C86"/>
    <w:rsid w:val="002A3F02"/>
    <w:rsid w:val="002A5DBD"/>
    <w:rsid w:val="002A5FE7"/>
    <w:rsid w:val="002A69FD"/>
    <w:rsid w:val="002B0F66"/>
    <w:rsid w:val="002B1428"/>
    <w:rsid w:val="002B175A"/>
    <w:rsid w:val="002B175D"/>
    <w:rsid w:val="002B193F"/>
    <w:rsid w:val="002B3BE8"/>
    <w:rsid w:val="002B4B37"/>
    <w:rsid w:val="002B67AC"/>
    <w:rsid w:val="002C012F"/>
    <w:rsid w:val="002C2391"/>
    <w:rsid w:val="002C5770"/>
    <w:rsid w:val="002C6C8A"/>
    <w:rsid w:val="002C7BF4"/>
    <w:rsid w:val="002D06BE"/>
    <w:rsid w:val="002D0CC6"/>
    <w:rsid w:val="002D14A2"/>
    <w:rsid w:val="002D2115"/>
    <w:rsid w:val="002D3003"/>
    <w:rsid w:val="002D3247"/>
    <w:rsid w:val="002D4595"/>
    <w:rsid w:val="002D488A"/>
    <w:rsid w:val="002D4B6C"/>
    <w:rsid w:val="002D510D"/>
    <w:rsid w:val="002D51DC"/>
    <w:rsid w:val="002D538A"/>
    <w:rsid w:val="002D597E"/>
    <w:rsid w:val="002D662B"/>
    <w:rsid w:val="002D7BE3"/>
    <w:rsid w:val="002E0A4D"/>
    <w:rsid w:val="002E0F5D"/>
    <w:rsid w:val="002E1F62"/>
    <w:rsid w:val="002E2D26"/>
    <w:rsid w:val="002E3D36"/>
    <w:rsid w:val="002E3F72"/>
    <w:rsid w:val="002E4D19"/>
    <w:rsid w:val="002E5B44"/>
    <w:rsid w:val="002E6657"/>
    <w:rsid w:val="002E7495"/>
    <w:rsid w:val="002E7A81"/>
    <w:rsid w:val="002F1511"/>
    <w:rsid w:val="002F1EF6"/>
    <w:rsid w:val="002F391D"/>
    <w:rsid w:val="002F3E76"/>
    <w:rsid w:val="002F4971"/>
    <w:rsid w:val="002F587A"/>
    <w:rsid w:val="002F5B77"/>
    <w:rsid w:val="002F6FF7"/>
    <w:rsid w:val="002F7FA2"/>
    <w:rsid w:val="00300174"/>
    <w:rsid w:val="00300399"/>
    <w:rsid w:val="003024FB"/>
    <w:rsid w:val="0030278F"/>
    <w:rsid w:val="00302C78"/>
    <w:rsid w:val="003040DC"/>
    <w:rsid w:val="00304AC4"/>
    <w:rsid w:val="00304E25"/>
    <w:rsid w:val="003060D1"/>
    <w:rsid w:val="00312F19"/>
    <w:rsid w:val="003170E7"/>
    <w:rsid w:val="0031722B"/>
    <w:rsid w:val="0031740C"/>
    <w:rsid w:val="00317845"/>
    <w:rsid w:val="00317A7E"/>
    <w:rsid w:val="00321FF7"/>
    <w:rsid w:val="00322F01"/>
    <w:rsid w:val="0032433F"/>
    <w:rsid w:val="00326597"/>
    <w:rsid w:val="00326665"/>
    <w:rsid w:val="00326EAF"/>
    <w:rsid w:val="00327B84"/>
    <w:rsid w:val="003313AF"/>
    <w:rsid w:val="00331757"/>
    <w:rsid w:val="003319A6"/>
    <w:rsid w:val="00331DDD"/>
    <w:rsid w:val="00331FCC"/>
    <w:rsid w:val="00333F44"/>
    <w:rsid w:val="00334030"/>
    <w:rsid w:val="00336C5C"/>
    <w:rsid w:val="003373FC"/>
    <w:rsid w:val="00337694"/>
    <w:rsid w:val="00337768"/>
    <w:rsid w:val="00337A59"/>
    <w:rsid w:val="0034258B"/>
    <w:rsid w:val="00342EE2"/>
    <w:rsid w:val="0034368B"/>
    <w:rsid w:val="00343D7A"/>
    <w:rsid w:val="00343D8D"/>
    <w:rsid w:val="003476F9"/>
    <w:rsid w:val="0035130D"/>
    <w:rsid w:val="00352141"/>
    <w:rsid w:val="00352E33"/>
    <w:rsid w:val="0035421F"/>
    <w:rsid w:val="003552CC"/>
    <w:rsid w:val="00355B14"/>
    <w:rsid w:val="0035668E"/>
    <w:rsid w:val="00357C9E"/>
    <w:rsid w:val="0036008D"/>
    <w:rsid w:val="003609E3"/>
    <w:rsid w:val="0036186F"/>
    <w:rsid w:val="003628DE"/>
    <w:rsid w:val="00363C72"/>
    <w:rsid w:val="00363EA3"/>
    <w:rsid w:val="003645EC"/>
    <w:rsid w:val="003648D0"/>
    <w:rsid w:val="00364C3B"/>
    <w:rsid w:val="0036720A"/>
    <w:rsid w:val="00367FD1"/>
    <w:rsid w:val="003713CA"/>
    <w:rsid w:val="00371756"/>
    <w:rsid w:val="00371B84"/>
    <w:rsid w:val="00373C98"/>
    <w:rsid w:val="003747E0"/>
    <w:rsid w:val="00374AA4"/>
    <w:rsid w:val="00375BC5"/>
    <w:rsid w:val="0037733C"/>
    <w:rsid w:val="00380C16"/>
    <w:rsid w:val="003814FF"/>
    <w:rsid w:val="00382E03"/>
    <w:rsid w:val="00383FF1"/>
    <w:rsid w:val="00384214"/>
    <w:rsid w:val="0038610A"/>
    <w:rsid w:val="003864D4"/>
    <w:rsid w:val="00386F5A"/>
    <w:rsid w:val="00387441"/>
    <w:rsid w:val="00393C21"/>
    <w:rsid w:val="00394F8C"/>
    <w:rsid w:val="00396F8C"/>
    <w:rsid w:val="003A11EF"/>
    <w:rsid w:val="003A1BC6"/>
    <w:rsid w:val="003A2FFB"/>
    <w:rsid w:val="003A591E"/>
    <w:rsid w:val="003A5EEE"/>
    <w:rsid w:val="003A61E5"/>
    <w:rsid w:val="003A6C2D"/>
    <w:rsid w:val="003A704E"/>
    <w:rsid w:val="003A78E0"/>
    <w:rsid w:val="003A79D3"/>
    <w:rsid w:val="003B0B92"/>
    <w:rsid w:val="003B0D8F"/>
    <w:rsid w:val="003B1013"/>
    <w:rsid w:val="003B1513"/>
    <w:rsid w:val="003B35B0"/>
    <w:rsid w:val="003B36B6"/>
    <w:rsid w:val="003B4BAE"/>
    <w:rsid w:val="003B7616"/>
    <w:rsid w:val="003B7840"/>
    <w:rsid w:val="003B7D3C"/>
    <w:rsid w:val="003C0102"/>
    <w:rsid w:val="003C12E6"/>
    <w:rsid w:val="003C182C"/>
    <w:rsid w:val="003C2895"/>
    <w:rsid w:val="003C2DE0"/>
    <w:rsid w:val="003C4062"/>
    <w:rsid w:val="003C480D"/>
    <w:rsid w:val="003C4B1C"/>
    <w:rsid w:val="003C59F9"/>
    <w:rsid w:val="003C6C68"/>
    <w:rsid w:val="003D172F"/>
    <w:rsid w:val="003D189D"/>
    <w:rsid w:val="003D242E"/>
    <w:rsid w:val="003D2FB9"/>
    <w:rsid w:val="003D460B"/>
    <w:rsid w:val="003D493A"/>
    <w:rsid w:val="003D4BD3"/>
    <w:rsid w:val="003D4F75"/>
    <w:rsid w:val="003D50F5"/>
    <w:rsid w:val="003D52BA"/>
    <w:rsid w:val="003D5A73"/>
    <w:rsid w:val="003D6185"/>
    <w:rsid w:val="003D663A"/>
    <w:rsid w:val="003D6D38"/>
    <w:rsid w:val="003D71F1"/>
    <w:rsid w:val="003E1DE0"/>
    <w:rsid w:val="003E32FF"/>
    <w:rsid w:val="003E4B24"/>
    <w:rsid w:val="003E4B29"/>
    <w:rsid w:val="003E4EEF"/>
    <w:rsid w:val="003E5637"/>
    <w:rsid w:val="003E675A"/>
    <w:rsid w:val="003E6D4D"/>
    <w:rsid w:val="003E7319"/>
    <w:rsid w:val="003F00AC"/>
    <w:rsid w:val="003F039A"/>
    <w:rsid w:val="003F044F"/>
    <w:rsid w:val="003F0580"/>
    <w:rsid w:val="003F2361"/>
    <w:rsid w:val="003F32B9"/>
    <w:rsid w:val="003F5601"/>
    <w:rsid w:val="003F7788"/>
    <w:rsid w:val="00400208"/>
    <w:rsid w:val="00401DF2"/>
    <w:rsid w:val="00401EFB"/>
    <w:rsid w:val="004025FF"/>
    <w:rsid w:val="0040277F"/>
    <w:rsid w:val="00402840"/>
    <w:rsid w:val="00403A48"/>
    <w:rsid w:val="00404510"/>
    <w:rsid w:val="00404FFF"/>
    <w:rsid w:val="0040581E"/>
    <w:rsid w:val="00405999"/>
    <w:rsid w:val="004064B8"/>
    <w:rsid w:val="00407919"/>
    <w:rsid w:val="00410298"/>
    <w:rsid w:val="00412926"/>
    <w:rsid w:val="0041366A"/>
    <w:rsid w:val="00413BF2"/>
    <w:rsid w:val="00413E13"/>
    <w:rsid w:val="00415047"/>
    <w:rsid w:val="004151EE"/>
    <w:rsid w:val="0041593C"/>
    <w:rsid w:val="00417145"/>
    <w:rsid w:val="004174A9"/>
    <w:rsid w:val="00420596"/>
    <w:rsid w:val="00420E62"/>
    <w:rsid w:val="004210BF"/>
    <w:rsid w:val="004253FC"/>
    <w:rsid w:val="00425A9A"/>
    <w:rsid w:val="00426278"/>
    <w:rsid w:val="0042628C"/>
    <w:rsid w:val="00426E9A"/>
    <w:rsid w:val="00427906"/>
    <w:rsid w:val="00427FCB"/>
    <w:rsid w:val="00431897"/>
    <w:rsid w:val="00431F03"/>
    <w:rsid w:val="00432A75"/>
    <w:rsid w:val="00433CC5"/>
    <w:rsid w:val="00434AB8"/>
    <w:rsid w:val="00435134"/>
    <w:rsid w:val="00436F68"/>
    <w:rsid w:val="0043763A"/>
    <w:rsid w:val="00440FDB"/>
    <w:rsid w:val="00441549"/>
    <w:rsid w:val="0044279D"/>
    <w:rsid w:val="00442ADD"/>
    <w:rsid w:val="004433D7"/>
    <w:rsid w:val="00444DD2"/>
    <w:rsid w:val="00444F9E"/>
    <w:rsid w:val="00444FCA"/>
    <w:rsid w:val="0044579D"/>
    <w:rsid w:val="0044586F"/>
    <w:rsid w:val="00446DB1"/>
    <w:rsid w:val="004473C0"/>
    <w:rsid w:val="00447E5B"/>
    <w:rsid w:val="0045046F"/>
    <w:rsid w:val="00450B49"/>
    <w:rsid w:val="00450F5F"/>
    <w:rsid w:val="004513EB"/>
    <w:rsid w:val="004516D2"/>
    <w:rsid w:val="004537F3"/>
    <w:rsid w:val="004553F7"/>
    <w:rsid w:val="00455C6C"/>
    <w:rsid w:val="00455ED9"/>
    <w:rsid w:val="00456867"/>
    <w:rsid w:val="0045751A"/>
    <w:rsid w:val="0046054A"/>
    <w:rsid w:val="00461289"/>
    <w:rsid w:val="0046278D"/>
    <w:rsid w:val="00464605"/>
    <w:rsid w:val="004655F2"/>
    <w:rsid w:val="00465750"/>
    <w:rsid w:val="00466BE6"/>
    <w:rsid w:val="00467920"/>
    <w:rsid w:val="00467B19"/>
    <w:rsid w:val="00470326"/>
    <w:rsid w:val="004718C4"/>
    <w:rsid w:val="00471EF7"/>
    <w:rsid w:val="004720FE"/>
    <w:rsid w:val="0047270F"/>
    <w:rsid w:val="00473272"/>
    <w:rsid w:val="004734AA"/>
    <w:rsid w:val="00473D0F"/>
    <w:rsid w:val="0047506F"/>
    <w:rsid w:val="00475660"/>
    <w:rsid w:val="00475FF6"/>
    <w:rsid w:val="00476D59"/>
    <w:rsid w:val="00480889"/>
    <w:rsid w:val="00482956"/>
    <w:rsid w:val="00482C5E"/>
    <w:rsid w:val="00482CEB"/>
    <w:rsid w:val="00482E14"/>
    <w:rsid w:val="00483797"/>
    <w:rsid w:val="0048380D"/>
    <w:rsid w:val="00485FAE"/>
    <w:rsid w:val="0048607D"/>
    <w:rsid w:val="00486FB6"/>
    <w:rsid w:val="00487CBE"/>
    <w:rsid w:val="00490A2F"/>
    <w:rsid w:val="00491BBB"/>
    <w:rsid w:val="00492A93"/>
    <w:rsid w:val="00492E78"/>
    <w:rsid w:val="00493557"/>
    <w:rsid w:val="00493B05"/>
    <w:rsid w:val="0049475E"/>
    <w:rsid w:val="004978B2"/>
    <w:rsid w:val="004A0518"/>
    <w:rsid w:val="004A0A08"/>
    <w:rsid w:val="004A138E"/>
    <w:rsid w:val="004A1C4D"/>
    <w:rsid w:val="004A2A70"/>
    <w:rsid w:val="004A35FF"/>
    <w:rsid w:val="004A396C"/>
    <w:rsid w:val="004A72C0"/>
    <w:rsid w:val="004B0271"/>
    <w:rsid w:val="004B5378"/>
    <w:rsid w:val="004B55CC"/>
    <w:rsid w:val="004B6A5D"/>
    <w:rsid w:val="004C389C"/>
    <w:rsid w:val="004C470C"/>
    <w:rsid w:val="004C47CF"/>
    <w:rsid w:val="004C5937"/>
    <w:rsid w:val="004C59E7"/>
    <w:rsid w:val="004C6553"/>
    <w:rsid w:val="004C737E"/>
    <w:rsid w:val="004D108B"/>
    <w:rsid w:val="004D1198"/>
    <w:rsid w:val="004D1311"/>
    <w:rsid w:val="004D1427"/>
    <w:rsid w:val="004D1CE0"/>
    <w:rsid w:val="004D374E"/>
    <w:rsid w:val="004D4602"/>
    <w:rsid w:val="004D463A"/>
    <w:rsid w:val="004D4B6B"/>
    <w:rsid w:val="004D5729"/>
    <w:rsid w:val="004D69C2"/>
    <w:rsid w:val="004D7854"/>
    <w:rsid w:val="004E0A39"/>
    <w:rsid w:val="004E1B52"/>
    <w:rsid w:val="004E1BCE"/>
    <w:rsid w:val="004E2867"/>
    <w:rsid w:val="004E31D8"/>
    <w:rsid w:val="004E4843"/>
    <w:rsid w:val="004F3A36"/>
    <w:rsid w:val="004F401C"/>
    <w:rsid w:val="004F553E"/>
    <w:rsid w:val="004F5DBF"/>
    <w:rsid w:val="004F73A8"/>
    <w:rsid w:val="005014D9"/>
    <w:rsid w:val="00501785"/>
    <w:rsid w:val="005032CC"/>
    <w:rsid w:val="005038AB"/>
    <w:rsid w:val="00503C62"/>
    <w:rsid w:val="00504430"/>
    <w:rsid w:val="00504B83"/>
    <w:rsid w:val="005055D5"/>
    <w:rsid w:val="0050560B"/>
    <w:rsid w:val="00505DC6"/>
    <w:rsid w:val="005068E3"/>
    <w:rsid w:val="00507125"/>
    <w:rsid w:val="00507792"/>
    <w:rsid w:val="005118AC"/>
    <w:rsid w:val="00511CEE"/>
    <w:rsid w:val="005123B1"/>
    <w:rsid w:val="005131E2"/>
    <w:rsid w:val="0051352D"/>
    <w:rsid w:val="00513A7C"/>
    <w:rsid w:val="00514799"/>
    <w:rsid w:val="00515CA8"/>
    <w:rsid w:val="0051770B"/>
    <w:rsid w:val="00517916"/>
    <w:rsid w:val="0052078E"/>
    <w:rsid w:val="005209D0"/>
    <w:rsid w:val="00520B56"/>
    <w:rsid w:val="00523651"/>
    <w:rsid w:val="00523EA2"/>
    <w:rsid w:val="005261E7"/>
    <w:rsid w:val="00530787"/>
    <w:rsid w:val="005307B8"/>
    <w:rsid w:val="00530A11"/>
    <w:rsid w:val="00532756"/>
    <w:rsid w:val="00534C92"/>
    <w:rsid w:val="0054004A"/>
    <w:rsid w:val="005406A9"/>
    <w:rsid w:val="005412E8"/>
    <w:rsid w:val="005419C8"/>
    <w:rsid w:val="00542753"/>
    <w:rsid w:val="00543FFA"/>
    <w:rsid w:val="00545588"/>
    <w:rsid w:val="0055155E"/>
    <w:rsid w:val="00556B81"/>
    <w:rsid w:val="00560EF9"/>
    <w:rsid w:val="00561821"/>
    <w:rsid w:val="005626D4"/>
    <w:rsid w:val="00562B3D"/>
    <w:rsid w:val="00564EFF"/>
    <w:rsid w:val="0056517D"/>
    <w:rsid w:val="005652F6"/>
    <w:rsid w:val="005666EB"/>
    <w:rsid w:val="00566884"/>
    <w:rsid w:val="00567450"/>
    <w:rsid w:val="005704A6"/>
    <w:rsid w:val="0057051C"/>
    <w:rsid w:val="00570F9E"/>
    <w:rsid w:val="00571CC2"/>
    <w:rsid w:val="00571FAB"/>
    <w:rsid w:val="00573121"/>
    <w:rsid w:val="005740B4"/>
    <w:rsid w:val="00574E3C"/>
    <w:rsid w:val="00574FC2"/>
    <w:rsid w:val="005762F7"/>
    <w:rsid w:val="00576ECF"/>
    <w:rsid w:val="00576FBE"/>
    <w:rsid w:val="00577416"/>
    <w:rsid w:val="00577795"/>
    <w:rsid w:val="00580D9A"/>
    <w:rsid w:val="00582ACA"/>
    <w:rsid w:val="00584A05"/>
    <w:rsid w:val="005857A8"/>
    <w:rsid w:val="00587C11"/>
    <w:rsid w:val="00590017"/>
    <w:rsid w:val="005912EB"/>
    <w:rsid w:val="005923DB"/>
    <w:rsid w:val="00594F1D"/>
    <w:rsid w:val="0059535D"/>
    <w:rsid w:val="00595B23"/>
    <w:rsid w:val="005965EC"/>
    <w:rsid w:val="00596FF4"/>
    <w:rsid w:val="0059720D"/>
    <w:rsid w:val="005A04AB"/>
    <w:rsid w:val="005A14D0"/>
    <w:rsid w:val="005A21AA"/>
    <w:rsid w:val="005A22AB"/>
    <w:rsid w:val="005A3707"/>
    <w:rsid w:val="005A3C81"/>
    <w:rsid w:val="005A3E13"/>
    <w:rsid w:val="005A446B"/>
    <w:rsid w:val="005A52F4"/>
    <w:rsid w:val="005A5D3C"/>
    <w:rsid w:val="005A5FE8"/>
    <w:rsid w:val="005B2659"/>
    <w:rsid w:val="005B2894"/>
    <w:rsid w:val="005B34B8"/>
    <w:rsid w:val="005B3F8D"/>
    <w:rsid w:val="005B4A43"/>
    <w:rsid w:val="005B4DEC"/>
    <w:rsid w:val="005B5C94"/>
    <w:rsid w:val="005B7BEB"/>
    <w:rsid w:val="005C0CB1"/>
    <w:rsid w:val="005C129B"/>
    <w:rsid w:val="005C1320"/>
    <w:rsid w:val="005C1A74"/>
    <w:rsid w:val="005C2D5D"/>
    <w:rsid w:val="005C70DD"/>
    <w:rsid w:val="005C7FD6"/>
    <w:rsid w:val="005D0A11"/>
    <w:rsid w:val="005D2787"/>
    <w:rsid w:val="005D32BB"/>
    <w:rsid w:val="005D3460"/>
    <w:rsid w:val="005D3B89"/>
    <w:rsid w:val="005D4184"/>
    <w:rsid w:val="005D5F34"/>
    <w:rsid w:val="005D7827"/>
    <w:rsid w:val="005E04E9"/>
    <w:rsid w:val="005E1443"/>
    <w:rsid w:val="005E27F4"/>
    <w:rsid w:val="005E2EC9"/>
    <w:rsid w:val="005E46AD"/>
    <w:rsid w:val="005E525A"/>
    <w:rsid w:val="005E6184"/>
    <w:rsid w:val="005E6376"/>
    <w:rsid w:val="005E6DC7"/>
    <w:rsid w:val="005E74DB"/>
    <w:rsid w:val="005E7E55"/>
    <w:rsid w:val="005F046C"/>
    <w:rsid w:val="005F208E"/>
    <w:rsid w:val="005F31EB"/>
    <w:rsid w:val="005F5566"/>
    <w:rsid w:val="005F57F6"/>
    <w:rsid w:val="005F5CC4"/>
    <w:rsid w:val="005F6D21"/>
    <w:rsid w:val="005F7D22"/>
    <w:rsid w:val="0060042E"/>
    <w:rsid w:val="006031F0"/>
    <w:rsid w:val="006049E2"/>
    <w:rsid w:val="00604D7C"/>
    <w:rsid w:val="00605479"/>
    <w:rsid w:val="0061354B"/>
    <w:rsid w:val="00614782"/>
    <w:rsid w:val="00616B73"/>
    <w:rsid w:val="00616F27"/>
    <w:rsid w:val="00621FC9"/>
    <w:rsid w:val="00622074"/>
    <w:rsid w:val="0062311C"/>
    <w:rsid w:val="006250A4"/>
    <w:rsid w:val="006251A7"/>
    <w:rsid w:val="00625BFE"/>
    <w:rsid w:val="00625C1F"/>
    <w:rsid w:val="00625C93"/>
    <w:rsid w:val="00627324"/>
    <w:rsid w:val="006303D2"/>
    <w:rsid w:val="006321E9"/>
    <w:rsid w:val="00632B61"/>
    <w:rsid w:val="00635480"/>
    <w:rsid w:val="00635E00"/>
    <w:rsid w:val="00637F53"/>
    <w:rsid w:val="00641458"/>
    <w:rsid w:val="0064181C"/>
    <w:rsid w:val="00641C1F"/>
    <w:rsid w:val="006421F7"/>
    <w:rsid w:val="006424F5"/>
    <w:rsid w:val="00642ED8"/>
    <w:rsid w:val="006431D7"/>
    <w:rsid w:val="006432C3"/>
    <w:rsid w:val="0064481E"/>
    <w:rsid w:val="006448EA"/>
    <w:rsid w:val="006453D6"/>
    <w:rsid w:val="0064671B"/>
    <w:rsid w:val="00650149"/>
    <w:rsid w:val="006513B3"/>
    <w:rsid w:val="006524E9"/>
    <w:rsid w:val="00653843"/>
    <w:rsid w:val="00660A41"/>
    <w:rsid w:val="00660A42"/>
    <w:rsid w:val="00662C30"/>
    <w:rsid w:val="00662D63"/>
    <w:rsid w:val="00662DE5"/>
    <w:rsid w:val="00666C27"/>
    <w:rsid w:val="00667ADC"/>
    <w:rsid w:val="00673B18"/>
    <w:rsid w:val="00675970"/>
    <w:rsid w:val="006759D7"/>
    <w:rsid w:val="00677D23"/>
    <w:rsid w:val="00680E60"/>
    <w:rsid w:val="00681BCF"/>
    <w:rsid w:val="006827D0"/>
    <w:rsid w:val="00683271"/>
    <w:rsid w:val="006836C5"/>
    <w:rsid w:val="00684689"/>
    <w:rsid w:val="00685787"/>
    <w:rsid w:val="00687881"/>
    <w:rsid w:val="00690AA2"/>
    <w:rsid w:val="00690B52"/>
    <w:rsid w:val="006918DD"/>
    <w:rsid w:val="00691A16"/>
    <w:rsid w:val="00691EF1"/>
    <w:rsid w:val="00692614"/>
    <w:rsid w:val="00695AC5"/>
    <w:rsid w:val="0069643F"/>
    <w:rsid w:val="00697922"/>
    <w:rsid w:val="006A0379"/>
    <w:rsid w:val="006A1136"/>
    <w:rsid w:val="006A190C"/>
    <w:rsid w:val="006A1D82"/>
    <w:rsid w:val="006A2DF7"/>
    <w:rsid w:val="006A3513"/>
    <w:rsid w:val="006A47E2"/>
    <w:rsid w:val="006A54B1"/>
    <w:rsid w:val="006A5804"/>
    <w:rsid w:val="006A59AE"/>
    <w:rsid w:val="006A70F4"/>
    <w:rsid w:val="006B0B43"/>
    <w:rsid w:val="006B42B6"/>
    <w:rsid w:val="006B43A0"/>
    <w:rsid w:val="006B4508"/>
    <w:rsid w:val="006B4F8E"/>
    <w:rsid w:val="006B56FF"/>
    <w:rsid w:val="006B5859"/>
    <w:rsid w:val="006B58F1"/>
    <w:rsid w:val="006B6B57"/>
    <w:rsid w:val="006B778B"/>
    <w:rsid w:val="006C0BD7"/>
    <w:rsid w:val="006C1647"/>
    <w:rsid w:val="006C1911"/>
    <w:rsid w:val="006C1E25"/>
    <w:rsid w:val="006C29F0"/>
    <w:rsid w:val="006C77D1"/>
    <w:rsid w:val="006D02FD"/>
    <w:rsid w:val="006D119E"/>
    <w:rsid w:val="006D1E8D"/>
    <w:rsid w:val="006D27A1"/>
    <w:rsid w:val="006D29FA"/>
    <w:rsid w:val="006D4664"/>
    <w:rsid w:val="006D467B"/>
    <w:rsid w:val="006D4864"/>
    <w:rsid w:val="006D4D0B"/>
    <w:rsid w:val="006D4DE2"/>
    <w:rsid w:val="006D5A9E"/>
    <w:rsid w:val="006D7CE0"/>
    <w:rsid w:val="006E0C42"/>
    <w:rsid w:val="006E0CF2"/>
    <w:rsid w:val="006E35CE"/>
    <w:rsid w:val="006E44B1"/>
    <w:rsid w:val="006E4E18"/>
    <w:rsid w:val="006E642D"/>
    <w:rsid w:val="006E6CFE"/>
    <w:rsid w:val="006E7CC9"/>
    <w:rsid w:val="006E7DBA"/>
    <w:rsid w:val="006F392C"/>
    <w:rsid w:val="006F3FF5"/>
    <w:rsid w:val="006F403C"/>
    <w:rsid w:val="006F5CCB"/>
    <w:rsid w:val="006F5FFF"/>
    <w:rsid w:val="006F65DF"/>
    <w:rsid w:val="006F6B41"/>
    <w:rsid w:val="006F7160"/>
    <w:rsid w:val="00701E1C"/>
    <w:rsid w:val="007041CE"/>
    <w:rsid w:val="00704446"/>
    <w:rsid w:val="00710E2C"/>
    <w:rsid w:val="007113AD"/>
    <w:rsid w:val="007115A4"/>
    <w:rsid w:val="00713468"/>
    <w:rsid w:val="007136D3"/>
    <w:rsid w:val="007153E5"/>
    <w:rsid w:val="007158FF"/>
    <w:rsid w:val="00717B7E"/>
    <w:rsid w:val="00717EB5"/>
    <w:rsid w:val="00720253"/>
    <w:rsid w:val="00720C65"/>
    <w:rsid w:val="00721103"/>
    <w:rsid w:val="0072179B"/>
    <w:rsid w:val="00722C09"/>
    <w:rsid w:val="00723710"/>
    <w:rsid w:val="00723B3C"/>
    <w:rsid w:val="007256EF"/>
    <w:rsid w:val="007264F0"/>
    <w:rsid w:val="00727FA4"/>
    <w:rsid w:val="007316AB"/>
    <w:rsid w:val="00731BB7"/>
    <w:rsid w:val="00732C68"/>
    <w:rsid w:val="00733C1A"/>
    <w:rsid w:val="00733CFD"/>
    <w:rsid w:val="007341BA"/>
    <w:rsid w:val="00734C0D"/>
    <w:rsid w:val="007351DE"/>
    <w:rsid w:val="007371EB"/>
    <w:rsid w:val="0074141E"/>
    <w:rsid w:val="00742681"/>
    <w:rsid w:val="0074272D"/>
    <w:rsid w:val="00745922"/>
    <w:rsid w:val="00746499"/>
    <w:rsid w:val="00746DB3"/>
    <w:rsid w:val="007475E1"/>
    <w:rsid w:val="007503CD"/>
    <w:rsid w:val="007515BF"/>
    <w:rsid w:val="00753A80"/>
    <w:rsid w:val="00754E83"/>
    <w:rsid w:val="00755592"/>
    <w:rsid w:val="00757811"/>
    <w:rsid w:val="00757F18"/>
    <w:rsid w:val="007607A5"/>
    <w:rsid w:val="00761DEA"/>
    <w:rsid w:val="00762DF8"/>
    <w:rsid w:val="00762F43"/>
    <w:rsid w:val="0076464C"/>
    <w:rsid w:val="007648FA"/>
    <w:rsid w:val="00765029"/>
    <w:rsid w:val="007679E0"/>
    <w:rsid w:val="00770F22"/>
    <w:rsid w:val="00771D74"/>
    <w:rsid w:val="00772186"/>
    <w:rsid w:val="007724AA"/>
    <w:rsid w:val="00773B75"/>
    <w:rsid w:val="00774CCC"/>
    <w:rsid w:val="0077718D"/>
    <w:rsid w:val="00777B60"/>
    <w:rsid w:val="00777B96"/>
    <w:rsid w:val="00780608"/>
    <w:rsid w:val="007812B6"/>
    <w:rsid w:val="007838C4"/>
    <w:rsid w:val="00785279"/>
    <w:rsid w:val="00785C2F"/>
    <w:rsid w:val="00785DDD"/>
    <w:rsid w:val="00785E8C"/>
    <w:rsid w:val="00786B01"/>
    <w:rsid w:val="007908B8"/>
    <w:rsid w:val="00790A77"/>
    <w:rsid w:val="007931C0"/>
    <w:rsid w:val="007937C5"/>
    <w:rsid w:val="0079389C"/>
    <w:rsid w:val="00794DAB"/>
    <w:rsid w:val="00795437"/>
    <w:rsid w:val="00795663"/>
    <w:rsid w:val="00795C3C"/>
    <w:rsid w:val="00797732"/>
    <w:rsid w:val="007979E3"/>
    <w:rsid w:val="007A0EA1"/>
    <w:rsid w:val="007A2121"/>
    <w:rsid w:val="007A2461"/>
    <w:rsid w:val="007A2B36"/>
    <w:rsid w:val="007A3D13"/>
    <w:rsid w:val="007A4597"/>
    <w:rsid w:val="007A4BCC"/>
    <w:rsid w:val="007A4F18"/>
    <w:rsid w:val="007A5132"/>
    <w:rsid w:val="007A596A"/>
    <w:rsid w:val="007A6539"/>
    <w:rsid w:val="007B72C2"/>
    <w:rsid w:val="007C17A7"/>
    <w:rsid w:val="007C26C7"/>
    <w:rsid w:val="007C51DA"/>
    <w:rsid w:val="007C547D"/>
    <w:rsid w:val="007C5989"/>
    <w:rsid w:val="007C5C70"/>
    <w:rsid w:val="007C66E6"/>
    <w:rsid w:val="007D236A"/>
    <w:rsid w:val="007D3A6E"/>
    <w:rsid w:val="007D43FF"/>
    <w:rsid w:val="007D4D05"/>
    <w:rsid w:val="007D4D6B"/>
    <w:rsid w:val="007D4DBF"/>
    <w:rsid w:val="007D4F16"/>
    <w:rsid w:val="007D5079"/>
    <w:rsid w:val="007D5AE0"/>
    <w:rsid w:val="007D5C0E"/>
    <w:rsid w:val="007D5E8D"/>
    <w:rsid w:val="007D63E7"/>
    <w:rsid w:val="007D78C2"/>
    <w:rsid w:val="007E0D27"/>
    <w:rsid w:val="007E1963"/>
    <w:rsid w:val="007E26E3"/>
    <w:rsid w:val="007E58E9"/>
    <w:rsid w:val="007E64DA"/>
    <w:rsid w:val="007E6D55"/>
    <w:rsid w:val="007E6E8A"/>
    <w:rsid w:val="007E784F"/>
    <w:rsid w:val="007F06CE"/>
    <w:rsid w:val="007F1130"/>
    <w:rsid w:val="007F1186"/>
    <w:rsid w:val="007F18BD"/>
    <w:rsid w:val="007F1E59"/>
    <w:rsid w:val="007F347C"/>
    <w:rsid w:val="007F595B"/>
    <w:rsid w:val="007F598B"/>
    <w:rsid w:val="007F6685"/>
    <w:rsid w:val="007F673D"/>
    <w:rsid w:val="007F799E"/>
    <w:rsid w:val="0080177F"/>
    <w:rsid w:val="00801BAD"/>
    <w:rsid w:val="00802208"/>
    <w:rsid w:val="008029DB"/>
    <w:rsid w:val="00802BFE"/>
    <w:rsid w:val="0080320C"/>
    <w:rsid w:val="00803537"/>
    <w:rsid w:val="008037C7"/>
    <w:rsid w:val="008057E6"/>
    <w:rsid w:val="00805F00"/>
    <w:rsid w:val="008076A9"/>
    <w:rsid w:val="008114B5"/>
    <w:rsid w:val="00812FA8"/>
    <w:rsid w:val="00815617"/>
    <w:rsid w:val="00815D12"/>
    <w:rsid w:val="00815F80"/>
    <w:rsid w:val="00817778"/>
    <w:rsid w:val="008200B3"/>
    <w:rsid w:val="00820749"/>
    <w:rsid w:val="00822135"/>
    <w:rsid w:val="00822415"/>
    <w:rsid w:val="0082241C"/>
    <w:rsid w:val="00822768"/>
    <w:rsid w:val="0082285C"/>
    <w:rsid w:val="0082345F"/>
    <w:rsid w:val="00825916"/>
    <w:rsid w:val="00830119"/>
    <w:rsid w:val="00831485"/>
    <w:rsid w:val="008316CE"/>
    <w:rsid w:val="00832252"/>
    <w:rsid w:val="00832CD0"/>
    <w:rsid w:val="00833BFF"/>
    <w:rsid w:val="00833E28"/>
    <w:rsid w:val="00833E74"/>
    <w:rsid w:val="0083403E"/>
    <w:rsid w:val="0083446C"/>
    <w:rsid w:val="008361F1"/>
    <w:rsid w:val="00836ED1"/>
    <w:rsid w:val="008378CA"/>
    <w:rsid w:val="0084257C"/>
    <w:rsid w:val="00843B70"/>
    <w:rsid w:val="00843CE9"/>
    <w:rsid w:val="00844E8D"/>
    <w:rsid w:val="00844F43"/>
    <w:rsid w:val="00845770"/>
    <w:rsid w:val="00845D74"/>
    <w:rsid w:val="0084687F"/>
    <w:rsid w:val="0084779D"/>
    <w:rsid w:val="0085060E"/>
    <w:rsid w:val="00851375"/>
    <w:rsid w:val="008537D8"/>
    <w:rsid w:val="00854C78"/>
    <w:rsid w:val="00854E3E"/>
    <w:rsid w:val="00855200"/>
    <w:rsid w:val="00855B62"/>
    <w:rsid w:val="0085771A"/>
    <w:rsid w:val="00862903"/>
    <w:rsid w:val="008632B3"/>
    <w:rsid w:val="008649BA"/>
    <w:rsid w:val="008650ED"/>
    <w:rsid w:val="00867573"/>
    <w:rsid w:val="00872144"/>
    <w:rsid w:val="00872327"/>
    <w:rsid w:val="00872420"/>
    <w:rsid w:val="00872E9B"/>
    <w:rsid w:val="008741D6"/>
    <w:rsid w:val="00875218"/>
    <w:rsid w:val="00876AAA"/>
    <w:rsid w:val="00880E59"/>
    <w:rsid w:val="00881321"/>
    <w:rsid w:val="00881B2D"/>
    <w:rsid w:val="00882379"/>
    <w:rsid w:val="008833DC"/>
    <w:rsid w:val="00883716"/>
    <w:rsid w:val="00883A0E"/>
    <w:rsid w:val="0088414A"/>
    <w:rsid w:val="008847A0"/>
    <w:rsid w:val="008850A5"/>
    <w:rsid w:val="0088534E"/>
    <w:rsid w:val="008858FF"/>
    <w:rsid w:val="00885D7B"/>
    <w:rsid w:val="00886777"/>
    <w:rsid w:val="00886D14"/>
    <w:rsid w:val="0089114A"/>
    <w:rsid w:val="00891385"/>
    <w:rsid w:val="00891426"/>
    <w:rsid w:val="00892500"/>
    <w:rsid w:val="00893C2E"/>
    <w:rsid w:val="008956BB"/>
    <w:rsid w:val="00895CAC"/>
    <w:rsid w:val="0089773A"/>
    <w:rsid w:val="00897ABF"/>
    <w:rsid w:val="008A0D05"/>
    <w:rsid w:val="008A1F4E"/>
    <w:rsid w:val="008A2955"/>
    <w:rsid w:val="008A2F4F"/>
    <w:rsid w:val="008A3526"/>
    <w:rsid w:val="008A49A3"/>
    <w:rsid w:val="008A51C1"/>
    <w:rsid w:val="008A5C00"/>
    <w:rsid w:val="008A627F"/>
    <w:rsid w:val="008A6542"/>
    <w:rsid w:val="008A6818"/>
    <w:rsid w:val="008A7031"/>
    <w:rsid w:val="008A708B"/>
    <w:rsid w:val="008B015E"/>
    <w:rsid w:val="008B0815"/>
    <w:rsid w:val="008B2422"/>
    <w:rsid w:val="008B28B4"/>
    <w:rsid w:val="008B3151"/>
    <w:rsid w:val="008B39B8"/>
    <w:rsid w:val="008B4281"/>
    <w:rsid w:val="008B545B"/>
    <w:rsid w:val="008B563D"/>
    <w:rsid w:val="008B613B"/>
    <w:rsid w:val="008C0792"/>
    <w:rsid w:val="008C123B"/>
    <w:rsid w:val="008C26EC"/>
    <w:rsid w:val="008C3B59"/>
    <w:rsid w:val="008C5EAD"/>
    <w:rsid w:val="008D04AE"/>
    <w:rsid w:val="008D114A"/>
    <w:rsid w:val="008E24D5"/>
    <w:rsid w:val="008E4965"/>
    <w:rsid w:val="008E69A0"/>
    <w:rsid w:val="008F0C38"/>
    <w:rsid w:val="008F135B"/>
    <w:rsid w:val="008F15E1"/>
    <w:rsid w:val="008F226F"/>
    <w:rsid w:val="008F3AAB"/>
    <w:rsid w:val="008F4010"/>
    <w:rsid w:val="008F4C6E"/>
    <w:rsid w:val="008F5634"/>
    <w:rsid w:val="008F7DA9"/>
    <w:rsid w:val="0090009D"/>
    <w:rsid w:val="00900758"/>
    <w:rsid w:val="00901408"/>
    <w:rsid w:val="009020FF"/>
    <w:rsid w:val="009023AC"/>
    <w:rsid w:val="00902D86"/>
    <w:rsid w:val="00903557"/>
    <w:rsid w:val="00906427"/>
    <w:rsid w:val="009064F5"/>
    <w:rsid w:val="009067BE"/>
    <w:rsid w:val="0091102D"/>
    <w:rsid w:val="00911209"/>
    <w:rsid w:val="00911AD5"/>
    <w:rsid w:val="00911E61"/>
    <w:rsid w:val="00912A35"/>
    <w:rsid w:val="00912BBE"/>
    <w:rsid w:val="00914440"/>
    <w:rsid w:val="00914AA9"/>
    <w:rsid w:val="0091532A"/>
    <w:rsid w:val="009156A4"/>
    <w:rsid w:val="00917742"/>
    <w:rsid w:val="00917C9C"/>
    <w:rsid w:val="00920153"/>
    <w:rsid w:val="009218D7"/>
    <w:rsid w:val="009226FB"/>
    <w:rsid w:val="00924403"/>
    <w:rsid w:val="0092553B"/>
    <w:rsid w:val="009262F0"/>
    <w:rsid w:val="00927D91"/>
    <w:rsid w:val="00931373"/>
    <w:rsid w:val="009352C0"/>
    <w:rsid w:val="00935CC4"/>
    <w:rsid w:val="00936075"/>
    <w:rsid w:val="00936617"/>
    <w:rsid w:val="00937BF2"/>
    <w:rsid w:val="009403CE"/>
    <w:rsid w:val="0094071E"/>
    <w:rsid w:val="0094101E"/>
    <w:rsid w:val="009417CA"/>
    <w:rsid w:val="00942EE6"/>
    <w:rsid w:val="00943DA0"/>
    <w:rsid w:val="00944040"/>
    <w:rsid w:val="00944063"/>
    <w:rsid w:val="00945C1E"/>
    <w:rsid w:val="009466D0"/>
    <w:rsid w:val="009470FD"/>
    <w:rsid w:val="00947635"/>
    <w:rsid w:val="009505A3"/>
    <w:rsid w:val="00951AD9"/>
    <w:rsid w:val="009524AC"/>
    <w:rsid w:val="0095272B"/>
    <w:rsid w:val="009528D1"/>
    <w:rsid w:val="00952DA4"/>
    <w:rsid w:val="00952F0B"/>
    <w:rsid w:val="009530DA"/>
    <w:rsid w:val="00955177"/>
    <w:rsid w:val="00955823"/>
    <w:rsid w:val="00957315"/>
    <w:rsid w:val="009607A8"/>
    <w:rsid w:val="009633E9"/>
    <w:rsid w:val="009634DE"/>
    <w:rsid w:val="00964B66"/>
    <w:rsid w:val="009665E0"/>
    <w:rsid w:val="00967316"/>
    <w:rsid w:val="00967398"/>
    <w:rsid w:val="00970191"/>
    <w:rsid w:val="009701D9"/>
    <w:rsid w:val="00973C32"/>
    <w:rsid w:val="009743DD"/>
    <w:rsid w:val="00974BC2"/>
    <w:rsid w:val="00974FB5"/>
    <w:rsid w:val="00976EDF"/>
    <w:rsid w:val="009773DC"/>
    <w:rsid w:val="0098038B"/>
    <w:rsid w:val="00980579"/>
    <w:rsid w:val="00981A4B"/>
    <w:rsid w:val="009840AE"/>
    <w:rsid w:val="00985230"/>
    <w:rsid w:val="009856B5"/>
    <w:rsid w:val="0098578E"/>
    <w:rsid w:val="00985B64"/>
    <w:rsid w:val="0099133F"/>
    <w:rsid w:val="009913EB"/>
    <w:rsid w:val="009921A4"/>
    <w:rsid w:val="009924A0"/>
    <w:rsid w:val="00993232"/>
    <w:rsid w:val="00995971"/>
    <w:rsid w:val="009A0340"/>
    <w:rsid w:val="009A085B"/>
    <w:rsid w:val="009A1A75"/>
    <w:rsid w:val="009A2AE3"/>
    <w:rsid w:val="009A30A3"/>
    <w:rsid w:val="009A4805"/>
    <w:rsid w:val="009B08CE"/>
    <w:rsid w:val="009B26FD"/>
    <w:rsid w:val="009B2FC1"/>
    <w:rsid w:val="009B5E82"/>
    <w:rsid w:val="009B6421"/>
    <w:rsid w:val="009B6579"/>
    <w:rsid w:val="009B6D8D"/>
    <w:rsid w:val="009C097E"/>
    <w:rsid w:val="009C1D64"/>
    <w:rsid w:val="009C386E"/>
    <w:rsid w:val="009C3BB0"/>
    <w:rsid w:val="009C3CDA"/>
    <w:rsid w:val="009C4319"/>
    <w:rsid w:val="009C4926"/>
    <w:rsid w:val="009C4FDB"/>
    <w:rsid w:val="009C715F"/>
    <w:rsid w:val="009C7F71"/>
    <w:rsid w:val="009C7F88"/>
    <w:rsid w:val="009D2DCD"/>
    <w:rsid w:val="009D32B4"/>
    <w:rsid w:val="009D33B7"/>
    <w:rsid w:val="009D4C0F"/>
    <w:rsid w:val="009D6618"/>
    <w:rsid w:val="009D68E5"/>
    <w:rsid w:val="009D7AB9"/>
    <w:rsid w:val="009E0E4F"/>
    <w:rsid w:val="009E1161"/>
    <w:rsid w:val="009E3533"/>
    <w:rsid w:val="009E476D"/>
    <w:rsid w:val="009E584C"/>
    <w:rsid w:val="009E60E1"/>
    <w:rsid w:val="009E7A68"/>
    <w:rsid w:val="009E7F4C"/>
    <w:rsid w:val="009F06EC"/>
    <w:rsid w:val="009F0C2C"/>
    <w:rsid w:val="009F20DE"/>
    <w:rsid w:val="009F2309"/>
    <w:rsid w:val="009F3209"/>
    <w:rsid w:val="009F330D"/>
    <w:rsid w:val="009F3365"/>
    <w:rsid w:val="009F3DC6"/>
    <w:rsid w:val="009F6A19"/>
    <w:rsid w:val="009F6E5C"/>
    <w:rsid w:val="009F7BC2"/>
    <w:rsid w:val="00A004F7"/>
    <w:rsid w:val="00A0066B"/>
    <w:rsid w:val="00A00795"/>
    <w:rsid w:val="00A008F3"/>
    <w:rsid w:val="00A00BA5"/>
    <w:rsid w:val="00A01E4A"/>
    <w:rsid w:val="00A03052"/>
    <w:rsid w:val="00A032FC"/>
    <w:rsid w:val="00A03379"/>
    <w:rsid w:val="00A03E86"/>
    <w:rsid w:val="00A04D81"/>
    <w:rsid w:val="00A05A92"/>
    <w:rsid w:val="00A06D94"/>
    <w:rsid w:val="00A0788C"/>
    <w:rsid w:val="00A10CAE"/>
    <w:rsid w:val="00A122C2"/>
    <w:rsid w:val="00A13132"/>
    <w:rsid w:val="00A131B6"/>
    <w:rsid w:val="00A1389D"/>
    <w:rsid w:val="00A14023"/>
    <w:rsid w:val="00A148D6"/>
    <w:rsid w:val="00A14B06"/>
    <w:rsid w:val="00A1674B"/>
    <w:rsid w:val="00A168AE"/>
    <w:rsid w:val="00A2076F"/>
    <w:rsid w:val="00A2152A"/>
    <w:rsid w:val="00A23E1D"/>
    <w:rsid w:val="00A23FED"/>
    <w:rsid w:val="00A23FF2"/>
    <w:rsid w:val="00A244F1"/>
    <w:rsid w:val="00A24D22"/>
    <w:rsid w:val="00A24E9E"/>
    <w:rsid w:val="00A25B59"/>
    <w:rsid w:val="00A25EF2"/>
    <w:rsid w:val="00A26073"/>
    <w:rsid w:val="00A262B6"/>
    <w:rsid w:val="00A26423"/>
    <w:rsid w:val="00A27498"/>
    <w:rsid w:val="00A31FF0"/>
    <w:rsid w:val="00A320FF"/>
    <w:rsid w:val="00A3234E"/>
    <w:rsid w:val="00A342CD"/>
    <w:rsid w:val="00A35051"/>
    <w:rsid w:val="00A3784A"/>
    <w:rsid w:val="00A37F23"/>
    <w:rsid w:val="00A42D5B"/>
    <w:rsid w:val="00A432ED"/>
    <w:rsid w:val="00A45722"/>
    <w:rsid w:val="00A461F3"/>
    <w:rsid w:val="00A47C38"/>
    <w:rsid w:val="00A50F23"/>
    <w:rsid w:val="00A514E9"/>
    <w:rsid w:val="00A515AF"/>
    <w:rsid w:val="00A525AE"/>
    <w:rsid w:val="00A53A0D"/>
    <w:rsid w:val="00A53EE9"/>
    <w:rsid w:val="00A54111"/>
    <w:rsid w:val="00A54FDA"/>
    <w:rsid w:val="00A553B7"/>
    <w:rsid w:val="00A56637"/>
    <w:rsid w:val="00A616B8"/>
    <w:rsid w:val="00A61EF7"/>
    <w:rsid w:val="00A62B84"/>
    <w:rsid w:val="00A62ECB"/>
    <w:rsid w:val="00A66E74"/>
    <w:rsid w:val="00A70620"/>
    <w:rsid w:val="00A7104A"/>
    <w:rsid w:val="00A73023"/>
    <w:rsid w:val="00A73F10"/>
    <w:rsid w:val="00A7417D"/>
    <w:rsid w:val="00A746D0"/>
    <w:rsid w:val="00A748EA"/>
    <w:rsid w:val="00A75430"/>
    <w:rsid w:val="00A766E2"/>
    <w:rsid w:val="00A7694F"/>
    <w:rsid w:val="00A7736C"/>
    <w:rsid w:val="00A776F0"/>
    <w:rsid w:val="00A80029"/>
    <w:rsid w:val="00A8115B"/>
    <w:rsid w:val="00A81F0F"/>
    <w:rsid w:val="00A8362D"/>
    <w:rsid w:val="00A84754"/>
    <w:rsid w:val="00A858B4"/>
    <w:rsid w:val="00A86457"/>
    <w:rsid w:val="00A86B2C"/>
    <w:rsid w:val="00A86E19"/>
    <w:rsid w:val="00A8706B"/>
    <w:rsid w:val="00A87585"/>
    <w:rsid w:val="00A87C1F"/>
    <w:rsid w:val="00A91870"/>
    <w:rsid w:val="00A9246A"/>
    <w:rsid w:val="00A9251A"/>
    <w:rsid w:val="00A92F6E"/>
    <w:rsid w:val="00A93A55"/>
    <w:rsid w:val="00A93F0A"/>
    <w:rsid w:val="00A950DC"/>
    <w:rsid w:val="00A95E8A"/>
    <w:rsid w:val="00AA20CB"/>
    <w:rsid w:val="00AA22DD"/>
    <w:rsid w:val="00AA27B0"/>
    <w:rsid w:val="00AA3CB5"/>
    <w:rsid w:val="00AA3F8A"/>
    <w:rsid w:val="00AA6043"/>
    <w:rsid w:val="00AA68EE"/>
    <w:rsid w:val="00AA6BBC"/>
    <w:rsid w:val="00AA7542"/>
    <w:rsid w:val="00AA7A20"/>
    <w:rsid w:val="00AB01BF"/>
    <w:rsid w:val="00AB1FD3"/>
    <w:rsid w:val="00AB2C04"/>
    <w:rsid w:val="00AB3ABD"/>
    <w:rsid w:val="00AB3DDA"/>
    <w:rsid w:val="00AB4439"/>
    <w:rsid w:val="00AB49AD"/>
    <w:rsid w:val="00AB52A9"/>
    <w:rsid w:val="00AB632C"/>
    <w:rsid w:val="00AB6924"/>
    <w:rsid w:val="00AB78BB"/>
    <w:rsid w:val="00AB7C65"/>
    <w:rsid w:val="00AC0046"/>
    <w:rsid w:val="00AC0925"/>
    <w:rsid w:val="00AC1E74"/>
    <w:rsid w:val="00AC2C6B"/>
    <w:rsid w:val="00AC50EB"/>
    <w:rsid w:val="00AC5E87"/>
    <w:rsid w:val="00AD00AE"/>
    <w:rsid w:val="00AD031C"/>
    <w:rsid w:val="00AD03C8"/>
    <w:rsid w:val="00AD1665"/>
    <w:rsid w:val="00AD1D9B"/>
    <w:rsid w:val="00AD2220"/>
    <w:rsid w:val="00AD35A4"/>
    <w:rsid w:val="00AD41B0"/>
    <w:rsid w:val="00AD58EE"/>
    <w:rsid w:val="00AD79EA"/>
    <w:rsid w:val="00AE0B76"/>
    <w:rsid w:val="00AE2C82"/>
    <w:rsid w:val="00AE3975"/>
    <w:rsid w:val="00AE3995"/>
    <w:rsid w:val="00AE426F"/>
    <w:rsid w:val="00AE53F4"/>
    <w:rsid w:val="00AE78E4"/>
    <w:rsid w:val="00AF0D6A"/>
    <w:rsid w:val="00AF471D"/>
    <w:rsid w:val="00AF4DA1"/>
    <w:rsid w:val="00B02276"/>
    <w:rsid w:val="00B04505"/>
    <w:rsid w:val="00B045B3"/>
    <w:rsid w:val="00B05322"/>
    <w:rsid w:val="00B06331"/>
    <w:rsid w:val="00B06484"/>
    <w:rsid w:val="00B12B1A"/>
    <w:rsid w:val="00B14243"/>
    <w:rsid w:val="00B14B10"/>
    <w:rsid w:val="00B17538"/>
    <w:rsid w:val="00B17854"/>
    <w:rsid w:val="00B2022C"/>
    <w:rsid w:val="00B2130D"/>
    <w:rsid w:val="00B219EB"/>
    <w:rsid w:val="00B21B5F"/>
    <w:rsid w:val="00B222CA"/>
    <w:rsid w:val="00B24D65"/>
    <w:rsid w:val="00B24E81"/>
    <w:rsid w:val="00B255F2"/>
    <w:rsid w:val="00B25657"/>
    <w:rsid w:val="00B30B49"/>
    <w:rsid w:val="00B320EB"/>
    <w:rsid w:val="00B32C45"/>
    <w:rsid w:val="00B32DDE"/>
    <w:rsid w:val="00B334D1"/>
    <w:rsid w:val="00B344C1"/>
    <w:rsid w:val="00B3546E"/>
    <w:rsid w:val="00B37EF4"/>
    <w:rsid w:val="00B408B3"/>
    <w:rsid w:val="00B41BDB"/>
    <w:rsid w:val="00B432F1"/>
    <w:rsid w:val="00B43926"/>
    <w:rsid w:val="00B46322"/>
    <w:rsid w:val="00B46619"/>
    <w:rsid w:val="00B4679E"/>
    <w:rsid w:val="00B474EC"/>
    <w:rsid w:val="00B50096"/>
    <w:rsid w:val="00B5104D"/>
    <w:rsid w:val="00B5228C"/>
    <w:rsid w:val="00B559F8"/>
    <w:rsid w:val="00B5632A"/>
    <w:rsid w:val="00B56E06"/>
    <w:rsid w:val="00B573DE"/>
    <w:rsid w:val="00B57D06"/>
    <w:rsid w:val="00B60126"/>
    <w:rsid w:val="00B601ED"/>
    <w:rsid w:val="00B60643"/>
    <w:rsid w:val="00B62811"/>
    <w:rsid w:val="00B63D84"/>
    <w:rsid w:val="00B64A89"/>
    <w:rsid w:val="00B64E36"/>
    <w:rsid w:val="00B64E51"/>
    <w:rsid w:val="00B65DC8"/>
    <w:rsid w:val="00B66DD9"/>
    <w:rsid w:val="00B71543"/>
    <w:rsid w:val="00B71C76"/>
    <w:rsid w:val="00B7347E"/>
    <w:rsid w:val="00B736BF"/>
    <w:rsid w:val="00B74E71"/>
    <w:rsid w:val="00B75238"/>
    <w:rsid w:val="00B800B3"/>
    <w:rsid w:val="00B8277B"/>
    <w:rsid w:val="00B83821"/>
    <w:rsid w:val="00B83A39"/>
    <w:rsid w:val="00B83F14"/>
    <w:rsid w:val="00B840A1"/>
    <w:rsid w:val="00B84318"/>
    <w:rsid w:val="00B85223"/>
    <w:rsid w:val="00B85F3E"/>
    <w:rsid w:val="00B86025"/>
    <w:rsid w:val="00B924EC"/>
    <w:rsid w:val="00B94279"/>
    <w:rsid w:val="00B94801"/>
    <w:rsid w:val="00B96A68"/>
    <w:rsid w:val="00BA2C20"/>
    <w:rsid w:val="00BA2E20"/>
    <w:rsid w:val="00BA2E46"/>
    <w:rsid w:val="00BA30BC"/>
    <w:rsid w:val="00BA30CD"/>
    <w:rsid w:val="00BA33F1"/>
    <w:rsid w:val="00BA497A"/>
    <w:rsid w:val="00BA508C"/>
    <w:rsid w:val="00BA5324"/>
    <w:rsid w:val="00BA663D"/>
    <w:rsid w:val="00BA67C0"/>
    <w:rsid w:val="00BA726D"/>
    <w:rsid w:val="00BB0244"/>
    <w:rsid w:val="00BB0B97"/>
    <w:rsid w:val="00BB168A"/>
    <w:rsid w:val="00BB1E0F"/>
    <w:rsid w:val="00BB2566"/>
    <w:rsid w:val="00BB2704"/>
    <w:rsid w:val="00BB5321"/>
    <w:rsid w:val="00BB5983"/>
    <w:rsid w:val="00BB65C2"/>
    <w:rsid w:val="00BC140F"/>
    <w:rsid w:val="00BC1D59"/>
    <w:rsid w:val="00BC3CF4"/>
    <w:rsid w:val="00BC417B"/>
    <w:rsid w:val="00BC570E"/>
    <w:rsid w:val="00BC5E78"/>
    <w:rsid w:val="00BC62B5"/>
    <w:rsid w:val="00BC687D"/>
    <w:rsid w:val="00BD2456"/>
    <w:rsid w:val="00BD26FE"/>
    <w:rsid w:val="00BD2AF3"/>
    <w:rsid w:val="00BD3157"/>
    <w:rsid w:val="00BD68E0"/>
    <w:rsid w:val="00BD6AE3"/>
    <w:rsid w:val="00BD7A46"/>
    <w:rsid w:val="00BE0044"/>
    <w:rsid w:val="00BE1217"/>
    <w:rsid w:val="00BE14F8"/>
    <w:rsid w:val="00BE1C55"/>
    <w:rsid w:val="00BE2DFA"/>
    <w:rsid w:val="00BE30D1"/>
    <w:rsid w:val="00BE33E5"/>
    <w:rsid w:val="00BE37AC"/>
    <w:rsid w:val="00BE5B0C"/>
    <w:rsid w:val="00BE65F7"/>
    <w:rsid w:val="00BE79FF"/>
    <w:rsid w:val="00BF041D"/>
    <w:rsid w:val="00BF058B"/>
    <w:rsid w:val="00BF1F5D"/>
    <w:rsid w:val="00BF359F"/>
    <w:rsid w:val="00BF7413"/>
    <w:rsid w:val="00BF748B"/>
    <w:rsid w:val="00BF79E6"/>
    <w:rsid w:val="00BF7BA8"/>
    <w:rsid w:val="00C03F4F"/>
    <w:rsid w:val="00C04006"/>
    <w:rsid w:val="00C04943"/>
    <w:rsid w:val="00C06AE1"/>
    <w:rsid w:val="00C06E42"/>
    <w:rsid w:val="00C077A2"/>
    <w:rsid w:val="00C1055C"/>
    <w:rsid w:val="00C12E81"/>
    <w:rsid w:val="00C13F5C"/>
    <w:rsid w:val="00C14009"/>
    <w:rsid w:val="00C14667"/>
    <w:rsid w:val="00C149BE"/>
    <w:rsid w:val="00C1604F"/>
    <w:rsid w:val="00C1685A"/>
    <w:rsid w:val="00C16D6E"/>
    <w:rsid w:val="00C17506"/>
    <w:rsid w:val="00C21675"/>
    <w:rsid w:val="00C2727A"/>
    <w:rsid w:val="00C27A96"/>
    <w:rsid w:val="00C3023D"/>
    <w:rsid w:val="00C312BB"/>
    <w:rsid w:val="00C32612"/>
    <w:rsid w:val="00C3393C"/>
    <w:rsid w:val="00C33E6C"/>
    <w:rsid w:val="00C350B6"/>
    <w:rsid w:val="00C3677C"/>
    <w:rsid w:val="00C413BF"/>
    <w:rsid w:val="00C427D2"/>
    <w:rsid w:val="00C429C1"/>
    <w:rsid w:val="00C43294"/>
    <w:rsid w:val="00C43F06"/>
    <w:rsid w:val="00C44A07"/>
    <w:rsid w:val="00C44DB6"/>
    <w:rsid w:val="00C46017"/>
    <w:rsid w:val="00C4617C"/>
    <w:rsid w:val="00C467B9"/>
    <w:rsid w:val="00C502EC"/>
    <w:rsid w:val="00C50B16"/>
    <w:rsid w:val="00C51CDB"/>
    <w:rsid w:val="00C51DE3"/>
    <w:rsid w:val="00C52885"/>
    <w:rsid w:val="00C52A9D"/>
    <w:rsid w:val="00C52C4E"/>
    <w:rsid w:val="00C53C64"/>
    <w:rsid w:val="00C547D7"/>
    <w:rsid w:val="00C548DD"/>
    <w:rsid w:val="00C5561B"/>
    <w:rsid w:val="00C55BAF"/>
    <w:rsid w:val="00C56A02"/>
    <w:rsid w:val="00C60235"/>
    <w:rsid w:val="00C60E36"/>
    <w:rsid w:val="00C611B6"/>
    <w:rsid w:val="00C63BF0"/>
    <w:rsid w:val="00C63CAD"/>
    <w:rsid w:val="00C64396"/>
    <w:rsid w:val="00C64B66"/>
    <w:rsid w:val="00C6563B"/>
    <w:rsid w:val="00C66625"/>
    <w:rsid w:val="00C67BEA"/>
    <w:rsid w:val="00C70FC7"/>
    <w:rsid w:val="00C7253D"/>
    <w:rsid w:val="00C73085"/>
    <w:rsid w:val="00C8193A"/>
    <w:rsid w:val="00C8194B"/>
    <w:rsid w:val="00C81D25"/>
    <w:rsid w:val="00C82935"/>
    <w:rsid w:val="00C8328F"/>
    <w:rsid w:val="00C83514"/>
    <w:rsid w:val="00C83A49"/>
    <w:rsid w:val="00C84039"/>
    <w:rsid w:val="00C85354"/>
    <w:rsid w:val="00C85B64"/>
    <w:rsid w:val="00C864B4"/>
    <w:rsid w:val="00C86A12"/>
    <w:rsid w:val="00C8778C"/>
    <w:rsid w:val="00C87B38"/>
    <w:rsid w:val="00C901AE"/>
    <w:rsid w:val="00C90C91"/>
    <w:rsid w:val="00C923F5"/>
    <w:rsid w:val="00C92C6C"/>
    <w:rsid w:val="00C93441"/>
    <w:rsid w:val="00C944FE"/>
    <w:rsid w:val="00CA181A"/>
    <w:rsid w:val="00CA2495"/>
    <w:rsid w:val="00CA3019"/>
    <w:rsid w:val="00CA392E"/>
    <w:rsid w:val="00CA6605"/>
    <w:rsid w:val="00CA79BD"/>
    <w:rsid w:val="00CA7BF2"/>
    <w:rsid w:val="00CB129E"/>
    <w:rsid w:val="00CB1434"/>
    <w:rsid w:val="00CB1C10"/>
    <w:rsid w:val="00CB1F3A"/>
    <w:rsid w:val="00CB27D7"/>
    <w:rsid w:val="00CB2FBC"/>
    <w:rsid w:val="00CB34B6"/>
    <w:rsid w:val="00CB52D1"/>
    <w:rsid w:val="00CB6B6F"/>
    <w:rsid w:val="00CC1C98"/>
    <w:rsid w:val="00CC2C71"/>
    <w:rsid w:val="00CC4236"/>
    <w:rsid w:val="00CC44FF"/>
    <w:rsid w:val="00CC478D"/>
    <w:rsid w:val="00CC62C2"/>
    <w:rsid w:val="00CC74CB"/>
    <w:rsid w:val="00CC77A1"/>
    <w:rsid w:val="00CD0D96"/>
    <w:rsid w:val="00CD0EDF"/>
    <w:rsid w:val="00CD10B2"/>
    <w:rsid w:val="00CD2B48"/>
    <w:rsid w:val="00CD2C64"/>
    <w:rsid w:val="00CD2EC5"/>
    <w:rsid w:val="00CD33C6"/>
    <w:rsid w:val="00CD39AD"/>
    <w:rsid w:val="00CD4482"/>
    <w:rsid w:val="00CD5964"/>
    <w:rsid w:val="00CD625A"/>
    <w:rsid w:val="00CD6C7F"/>
    <w:rsid w:val="00CD6E68"/>
    <w:rsid w:val="00CE0376"/>
    <w:rsid w:val="00CE1641"/>
    <w:rsid w:val="00CE1D94"/>
    <w:rsid w:val="00CE4271"/>
    <w:rsid w:val="00CE52BA"/>
    <w:rsid w:val="00CE5428"/>
    <w:rsid w:val="00CE5ABF"/>
    <w:rsid w:val="00CE707D"/>
    <w:rsid w:val="00CF00EF"/>
    <w:rsid w:val="00CF0542"/>
    <w:rsid w:val="00CF0982"/>
    <w:rsid w:val="00CF0E05"/>
    <w:rsid w:val="00CF525D"/>
    <w:rsid w:val="00CF67C4"/>
    <w:rsid w:val="00CF6B23"/>
    <w:rsid w:val="00CF7344"/>
    <w:rsid w:val="00D0187A"/>
    <w:rsid w:val="00D02664"/>
    <w:rsid w:val="00D04597"/>
    <w:rsid w:val="00D051C6"/>
    <w:rsid w:val="00D076E2"/>
    <w:rsid w:val="00D07D7F"/>
    <w:rsid w:val="00D07F5E"/>
    <w:rsid w:val="00D11161"/>
    <w:rsid w:val="00D1150C"/>
    <w:rsid w:val="00D11A31"/>
    <w:rsid w:val="00D12A2C"/>
    <w:rsid w:val="00D142C2"/>
    <w:rsid w:val="00D14BE0"/>
    <w:rsid w:val="00D167B5"/>
    <w:rsid w:val="00D17B07"/>
    <w:rsid w:val="00D22F0C"/>
    <w:rsid w:val="00D23C62"/>
    <w:rsid w:val="00D259FC"/>
    <w:rsid w:val="00D25EFC"/>
    <w:rsid w:val="00D31E15"/>
    <w:rsid w:val="00D333C6"/>
    <w:rsid w:val="00D336CB"/>
    <w:rsid w:val="00D345F0"/>
    <w:rsid w:val="00D355DF"/>
    <w:rsid w:val="00D362E8"/>
    <w:rsid w:val="00D400C8"/>
    <w:rsid w:val="00D41821"/>
    <w:rsid w:val="00D41E13"/>
    <w:rsid w:val="00D42191"/>
    <w:rsid w:val="00D42534"/>
    <w:rsid w:val="00D4556C"/>
    <w:rsid w:val="00D45B72"/>
    <w:rsid w:val="00D45FA0"/>
    <w:rsid w:val="00D46BD3"/>
    <w:rsid w:val="00D503C7"/>
    <w:rsid w:val="00D5259D"/>
    <w:rsid w:val="00D55457"/>
    <w:rsid w:val="00D5599A"/>
    <w:rsid w:val="00D55CE5"/>
    <w:rsid w:val="00D57178"/>
    <w:rsid w:val="00D57466"/>
    <w:rsid w:val="00D60119"/>
    <w:rsid w:val="00D60584"/>
    <w:rsid w:val="00D606D2"/>
    <w:rsid w:val="00D60C54"/>
    <w:rsid w:val="00D64EFF"/>
    <w:rsid w:val="00D71210"/>
    <w:rsid w:val="00D71708"/>
    <w:rsid w:val="00D71785"/>
    <w:rsid w:val="00D71987"/>
    <w:rsid w:val="00D72709"/>
    <w:rsid w:val="00D72E11"/>
    <w:rsid w:val="00D7322E"/>
    <w:rsid w:val="00D741FF"/>
    <w:rsid w:val="00D75A7C"/>
    <w:rsid w:val="00D77933"/>
    <w:rsid w:val="00D77AD1"/>
    <w:rsid w:val="00D80E39"/>
    <w:rsid w:val="00D81174"/>
    <w:rsid w:val="00D830D2"/>
    <w:rsid w:val="00D83307"/>
    <w:rsid w:val="00D856B8"/>
    <w:rsid w:val="00D8616D"/>
    <w:rsid w:val="00D86B34"/>
    <w:rsid w:val="00D873B8"/>
    <w:rsid w:val="00D9043E"/>
    <w:rsid w:val="00D90BCF"/>
    <w:rsid w:val="00D91664"/>
    <w:rsid w:val="00D91F75"/>
    <w:rsid w:val="00D9298D"/>
    <w:rsid w:val="00D92ABE"/>
    <w:rsid w:val="00D930B1"/>
    <w:rsid w:val="00D940BA"/>
    <w:rsid w:val="00DA06F8"/>
    <w:rsid w:val="00DA210E"/>
    <w:rsid w:val="00DA2149"/>
    <w:rsid w:val="00DA2E7B"/>
    <w:rsid w:val="00DA3FC1"/>
    <w:rsid w:val="00DA40F7"/>
    <w:rsid w:val="00DA4715"/>
    <w:rsid w:val="00DA6118"/>
    <w:rsid w:val="00DA6243"/>
    <w:rsid w:val="00DA639F"/>
    <w:rsid w:val="00DA6B3F"/>
    <w:rsid w:val="00DA6C7E"/>
    <w:rsid w:val="00DB21CB"/>
    <w:rsid w:val="00DB2F15"/>
    <w:rsid w:val="00DB4044"/>
    <w:rsid w:val="00DB408A"/>
    <w:rsid w:val="00DB4C64"/>
    <w:rsid w:val="00DB50A2"/>
    <w:rsid w:val="00DB6062"/>
    <w:rsid w:val="00DB716D"/>
    <w:rsid w:val="00DB7614"/>
    <w:rsid w:val="00DC0822"/>
    <w:rsid w:val="00DC10CE"/>
    <w:rsid w:val="00DC1419"/>
    <w:rsid w:val="00DC171C"/>
    <w:rsid w:val="00DC17C4"/>
    <w:rsid w:val="00DC5496"/>
    <w:rsid w:val="00DC5DA1"/>
    <w:rsid w:val="00DC68BC"/>
    <w:rsid w:val="00DC726A"/>
    <w:rsid w:val="00DC7899"/>
    <w:rsid w:val="00DD10E6"/>
    <w:rsid w:val="00DD128F"/>
    <w:rsid w:val="00DD7F29"/>
    <w:rsid w:val="00DD7FBB"/>
    <w:rsid w:val="00DE08F8"/>
    <w:rsid w:val="00DE1AA7"/>
    <w:rsid w:val="00DE20BA"/>
    <w:rsid w:val="00DE6F60"/>
    <w:rsid w:val="00DE7690"/>
    <w:rsid w:val="00DE7E0D"/>
    <w:rsid w:val="00DF0F83"/>
    <w:rsid w:val="00DF3356"/>
    <w:rsid w:val="00DF4396"/>
    <w:rsid w:val="00DF4689"/>
    <w:rsid w:val="00DF51C5"/>
    <w:rsid w:val="00DF5F7F"/>
    <w:rsid w:val="00DF63B0"/>
    <w:rsid w:val="00DF6426"/>
    <w:rsid w:val="00DF64C0"/>
    <w:rsid w:val="00DF705A"/>
    <w:rsid w:val="00E00945"/>
    <w:rsid w:val="00E00A8E"/>
    <w:rsid w:val="00E02B09"/>
    <w:rsid w:val="00E03A27"/>
    <w:rsid w:val="00E03B57"/>
    <w:rsid w:val="00E04C29"/>
    <w:rsid w:val="00E04D18"/>
    <w:rsid w:val="00E0563A"/>
    <w:rsid w:val="00E0571C"/>
    <w:rsid w:val="00E06B62"/>
    <w:rsid w:val="00E07194"/>
    <w:rsid w:val="00E07651"/>
    <w:rsid w:val="00E0766F"/>
    <w:rsid w:val="00E107B8"/>
    <w:rsid w:val="00E10941"/>
    <w:rsid w:val="00E10A8A"/>
    <w:rsid w:val="00E110B5"/>
    <w:rsid w:val="00E1224F"/>
    <w:rsid w:val="00E12F77"/>
    <w:rsid w:val="00E133D8"/>
    <w:rsid w:val="00E1390F"/>
    <w:rsid w:val="00E1405D"/>
    <w:rsid w:val="00E15017"/>
    <w:rsid w:val="00E17544"/>
    <w:rsid w:val="00E20744"/>
    <w:rsid w:val="00E2493D"/>
    <w:rsid w:val="00E2562A"/>
    <w:rsid w:val="00E25C61"/>
    <w:rsid w:val="00E26ECE"/>
    <w:rsid w:val="00E31236"/>
    <w:rsid w:val="00E32531"/>
    <w:rsid w:val="00E33472"/>
    <w:rsid w:val="00E33ED2"/>
    <w:rsid w:val="00E3460F"/>
    <w:rsid w:val="00E359FA"/>
    <w:rsid w:val="00E403EF"/>
    <w:rsid w:val="00E404DA"/>
    <w:rsid w:val="00E4176C"/>
    <w:rsid w:val="00E41ADA"/>
    <w:rsid w:val="00E434C3"/>
    <w:rsid w:val="00E44427"/>
    <w:rsid w:val="00E4544F"/>
    <w:rsid w:val="00E45962"/>
    <w:rsid w:val="00E46016"/>
    <w:rsid w:val="00E462E9"/>
    <w:rsid w:val="00E4745A"/>
    <w:rsid w:val="00E51ADA"/>
    <w:rsid w:val="00E51EB6"/>
    <w:rsid w:val="00E5276F"/>
    <w:rsid w:val="00E52A32"/>
    <w:rsid w:val="00E5371A"/>
    <w:rsid w:val="00E54BCE"/>
    <w:rsid w:val="00E54E83"/>
    <w:rsid w:val="00E55759"/>
    <w:rsid w:val="00E55954"/>
    <w:rsid w:val="00E55B2B"/>
    <w:rsid w:val="00E57893"/>
    <w:rsid w:val="00E57E5C"/>
    <w:rsid w:val="00E627F8"/>
    <w:rsid w:val="00E6294B"/>
    <w:rsid w:val="00E643F1"/>
    <w:rsid w:val="00E645A3"/>
    <w:rsid w:val="00E654ED"/>
    <w:rsid w:val="00E65F38"/>
    <w:rsid w:val="00E67039"/>
    <w:rsid w:val="00E670D3"/>
    <w:rsid w:val="00E71D74"/>
    <w:rsid w:val="00E732A6"/>
    <w:rsid w:val="00E74884"/>
    <w:rsid w:val="00E80140"/>
    <w:rsid w:val="00E814E2"/>
    <w:rsid w:val="00E83142"/>
    <w:rsid w:val="00E84F9D"/>
    <w:rsid w:val="00E860D8"/>
    <w:rsid w:val="00E876C6"/>
    <w:rsid w:val="00E91EC7"/>
    <w:rsid w:val="00E92A9D"/>
    <w:rsid w:val="00E92C96"/>
    <w:rsid w:val="00E937E0"/>
    <w:rsid w:val="00E9437D"/>
    <w:rsid w:val="00E9441D"/>
    <w:rsid w:val="00E94FAC"/>
    <w:rsid w:val="00E97890"/>
    <w:rsid w:val="00E978E9"/>
    <w:rsid w:val="00E97E86"/>
    <w:rsid w:val="00EA0647"/>
    <w:rsid w:val="00EA0D94"/>
    <w:rsid w:val="00EA260C"/>
    <w:rsid w:val="00EA3743"/>
    <w:rsid w:val="00EA45A2"/>
    <w:rsid w:val="00EA5AA8"/>
    <w:rsid w:val="00EA735C"/>
    <w:rsid w:val="00EB07FD"/>
    <w:rsid w:val="00EB0E80"/>
    <w:rsid w:val="00EB25FE"/>
    <w:rsid w:val="00EB266D"/>
    <w:rsid w:val="00EB2C9C"/>
    <w:rsid w:val="00EB2DD5"/>
    <w:rsid w:val="00EB37E9"/>
    <w:rsid w:val="00EB3E3B"/>
    <w:rsid w:val="00EB5D98"/>
    <w:rsid w:val="00EB76AF"/>
    <w:rsid w:val="00EC2B62"/>
    <w:rsid w:val="00EC3DAE"/>
    <w:rsid w:val="00EC481A"/>
    <w:rsid w:val="00EC4998"/>
    <w:rsid w:val="00EC4ED0"/>
    <w:rsid w:val="00EC5292"/>
    <w:rsid w:val="00EC6B11"/>
    <w:rsid w:val="00ED053E"/>
    <w:rsid w:val="00ED172D"/>
    <w:rsid w:val="00ED32E3"/>
    <w:rsid w:val="00ED45C2"/>
    <w:rsid w:val="00ED469B"/>
    <w:rsid w:val="00ED5E27"/>
    <w:rsid w:val="00ED782C"/>
    <w:rsid w:val="00ED7850"/>
    <w:rsid w:val="00EE0620"/>
    <w:rsid w:val="00EE086F"/>
    <w:rsid w:val="00EE1083"/>
    <w:rsid w:val="00EE14D4"/>
    <w:rsid w:val="00EE4354"/>
    <w:rsid w:val="00EE4D96"/>
    <w:rsid w:val="00EE53BC"/>
    <w:rsid w:val="00EF0329"/>
    <w:rsid w:val="00EF08B9"/>
    <w:rsid w:val="00EF2887"/>
    <w:rsid w:val="00EF2AA3"/>
    <w:rsid w:val="00EF2FE3"/>
    <w:rsid w:val="00EF390E"/>
    <w:rsid w:val="00EF5B7C"/>
    <w:rsid w:val="00EF72A9"/>
    <w:rsid w:val="00F00870"/>
    <w:rsid w:val="00F00AA6"/>
    <w:rsid w:val="00F0131C"/>
    <w:rsid w:val="00F01C7B"/>
    <w:rsid w:val="00F01F38"/>
    <w:rsid w:val="00F03339"/>
    <w:rsid w:val="00F0338E"/>
    <w:rsid w:val="00F03EEE"/>
    <w:rsid w:val="00F04A24"/>
    <w:rsid w:val="00F05197"/>
    <w:rsid w:val="00F059D1"/>
    <w:rsid w:val="00F05BF2"/>
    <w:rsid w:val="00F0710D"/>
    <w:rsid w:val="00F1384A"/>
    <w:rsid w:val="00F14235"/>
    <w:rsid w:val="00F1581D"/>
    <w:rsid w:val="00F2325B"/>
    <w:rsid w:val="00F2431C"/>
    <w:rsid w:val="00F249C7"/>
    <w:rsid w:val="00F25AF8"/>
    <w:rsid w:val="00F2713F"/>
    <w:rsid w:val="00F30C54"/>
    <w:rsid w:val="00F314F0"/>
    <w:rsid w:val="00F327F9"/>
    <w:rsid w:val="00F3380D"/>
    <w:rsid w:val="00F408B6"/>
    <w:rsid w:val="00F4108D"/>
    <w:rsid w:val="00F41671"/>
    <w:rsid w:val="00F43AB4"/>
    <w:rsid w:val="00F468CA"/>
    <w:rsid w:val="00F47A6C"/>
    <w:rsid w:val="00F47B7D"/>
    <w:rsid w:val="00F50C78"/>
    <w:rsid w:val="00F53E46"/>
    <w:rsid w:val="00F54F7D"/>
    <w:rsid w:val="00F556FF"/>
    <w:rsid w:val="00F55993"/>
    <w:rsid w:val="00F571B7"/>
    <w:rsid w:val="00F6069F"/>
    <w:rsid w:val="00F6105E"/>
    <w:rsid w:val="00F6150B"/>
    <w:rsid w:val="00F66B27"/>
    <w:rsid w:val="00F67209"/>
    <w:rsid w:val="00F672AE"/>
    <w:rsid w:val="00F70011"/>
    <w:rsid w:val="00F7029E"/>
    <w:rsid w:val="00F709B4"/>
    <w:rsid w:val="00F71071"/>
    <w:rsid w:val="00F71643"/>
    <w:rsid w:val="00F73800"/>
    <w:rsid w:val="00F741F5"/>
    <w:rsid w:val="00F74C0A"/>
    <w:rsid w:val="00F76275"/>
    <w:rsid w:val="00F808DE"/>
    <w:rsid w:val="00F81696"/>
    <w:rsid w:val="00F8185D"/>
    <w:rsid w:val="00F833B2"/>
    <w:rsid w:val="00F84C93"/>
    <w:rsid w:val="00F84D48"/>
    <w:rsid w:val="00F85AC5"/>
    <w:rsid w:val="00F85AF8"/>
    <w:rsid w:val="00F85F6E"/>
    <w:rsid w:val="00F87680"/>
    <w:rsid w:val="00F9014A"/>
    <w:rsid w:val="00F9144C"/>
    <w:rsid w:val="00F919BA"/>
    <w:rsid w:val="00F91CE5"/>
    <w:rsid w:val="00F93851"/>
    <w:rsid w:val="00F95A22"/>
    <w:rsid w:val="00F9602C"/>
    <w:rsid w:val="00F9715B"/>
    <w:rsid w:val="00FA192A"/>
    <w:rsid w:val="00FA2BD5"/>
    <w:rsid w:val="00FA32C4"/>
    <w:rsid w:val="00FA411D"/>
    <w:rsid w:val="00FA5215"/>
    <w:rsid w:val="00FA590E"/>
    <w:rsid w:val="00FA5EE7"/>
    <w:rsid w:val="00FA6139"/>
    <w:rsid w:val="00FA6556"/>
    <w:rsid w:val="00FA68A9"/>
    <w:rsid w:val="00FA72BD"/>
    <w:rsid w:val="00FA7C79"/>
    <w:rsid w:val="00FB0363"/>
    <w:rsid w:val="00FB0903"/>
    <w:rsid w:val="00FB0E8C"/>
    <w:rsid w:val="00FB1C92"/>
    <w:rsid w:val="00FB2C30"/>
    <w:rsid w:val="00FB4607"/>
    <w:rsid w:val="00FB6488"/>
    <w:rsid w:val="00FB659E"/>
    <w:rsid w:val="00FB6800"/>
    <w:rsid w:val="00FB6DD6"/>
    <w:rsid w:val="00FC06B6"/>
    <w:rsid w:val="00FC226A"/>
    <w:rsid w:val="00FC2B8C"/>
    <w:rsid w:val="00FC2DD4"/>
    <w:rsid w:val="00FC36C1"/>
    <w:rsid w:val="00FC4B0F"/>
    <w:rsid w:val="00FC4D45"/>
    <w:rsid w:val="00FC4FA3"/>
    <w:rsid w:val="00FC53AC"/>
    <w:rsid w:val="00FC6500"/>
    <w:rsid w:val="00FD0ADC"/>
    <w:rsid w:val="00FD0D99"/>
    <w:rsid w:val="00FD1318"/>
    <w:rsid w:val="00FD2400"/>
    <w:rsid w:val="00FD34F1"/>
    <w:rsid w:val="00FD4129"/>
    <w:rsid w:val="00FD4290"/>
    <w:rsid w:val="00FD5DA8"/>
    <w:rsid w:val="00FD66CF"/>
    <w:rsid w:val="00FD74FB"/>
    <w:rsid w:val="00FD7E68"/>
    <w:rsid w:val="00FE0BF6"/>
    <w:rsid w:val="00FE3951"/>
    <w:rsid w:val="00FE3F14"/>
    <w:rsid w:val="00FE4092"/>
    <w:rsid w:val="00FE40B9"/>
    <w:rsid w:val="00FE4F92"/>
    <w:rsid w:val="00FE55F1"/>
    <w:rsid w:val="00FE641F"/>
    <w:rsid w:val="00FE691E"/>
    <w:rsid w:val="00FE6DF3"/>
    <w:rsid w:val="00FE6F3C"/>
    <w:rsid w:val="00FF101F"/>
    <w:rsid w:val="00FF1B7A"/>
    <w:rsid w:val="00FF1C21"/>
    <w:rsid w:val="00FF2C7E"/>
    <w:rsid w:val="00FF5791"/>
    <w:rsid w:val="00FF6C12"/>
    <w:rsid w:val="00FF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95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91"/>
    <w:pPr>
      <w:spacing w:line="360" w:lineRule="auto"/>
    </w:pPr>
    <w:rPr>
      <w:rFonts w:ascii="Verdana" w:hAnsi="Verdana"/>
      <w:sz w:val="20"/>
      <w:szCs w:val="20"/>
      <w:lang w:eastAsia="en-GB"/>
    </w:rPr>
  </w:style>
  <w:style w:type="paragraph" w:styleId="Heading1">
    <w:name w:val="heading 1"/>
    <w:aliases w:val="Title header"/>
    <w:basedOn w:val="Normal"/>
    <w:next w:val="Normal"/>
    <w:link w:val="Heading1Char"/>
    <w:uiPriority w:val="9"/>
    <w:qFormat/>
    <w:rsid w:val="00327B84"/>
    <w:pPr>
      <w:outlineLvl w:val="0"/>
    </w:pPr>
    <w:rPr>
      <w:b/>
      <w:bCs/>
      <w:color w:val="004125"/>
      <w:sz w:val="36"/>
      <w:szCs w:val="36"/>
    </w:rPr>
  </w:style>
  <w:style w:type="paragraph" w:styleId="Heading2">
    <w:name w:val="heading 2"/>
    <w:aliases w:val="Subheader style 1"/>
    <w:basedOn w:val="Normal"/>
    <w:next w:val="Normal"/>
    <w:link w:val="Heading2Char"/>
    <w:uiPriority w:val="9"/>
    <w:unhideWhenUsed/>
    <w:qFormat/>
    <w:rsid w:val="006D4DE2"/>
    <w:pPr>
      <w:keepNext/>
      <w:keepLines/>
      <w:spacing w:before="40"/>
      <w:outlineLvl w:val="1"/>
    </w:pPr>
    <w:rPr>
      <w:rFonts w:eastAsiaTheme="majorEastAsia" w:cstheme="majorBidi"/>
      <w:b/>
      <w:color w:val="004125"/>
      <w:sz w:val="28"/>
      <w:szCs w:val="26"/>
    </w:rPr>
  </w:style>
  <w:style w:type="paragraph" w:styleId="Heading3">
    <w:name w:val="heading 3"/>
    <w:aliases w:val="Subheader style 2"/>
    <w:basedOn w:val="Normal"/>
    <w:next w:val="Normal"/>
    <w:link w:val="Heading3Char"/>
    <w:uiPriority w:val="9"/>
    <w:unhideWhenUsed/>
    <w:qFormat/>
    <w:rsid w:val="006D4DE2"/>
    <w:pPr>
      <w:keepNext/>
      <w:keepLines/>
      <w:spacing w:before="40"/>
      <w:outlineLvl w:val="2"/>
    </w:pPr>
    <w:rPr>
      <w:rFonts w:eastAsiaTheme="majorEastAsia" w:cstheme="majorBidi"/>
      <w:color w:val="004125"/>
      <w:sz w:val="24"/>
      <w:szCs w:val="24"/>
    </w:rPr>
  </w:style>
  <w:style w:type="paragraph" w:styleId="Heading4">
    <w:name w:val="heading 4"/>
    <w:basedOn w:val="Normal"/>
    <w:next w:val="Normal"/>
    <w:link w:val="Heading4Char"/>
    <w:uiPriority w:val="9"/>
    <w:unhideWhenUsed/>
    <w:qFormat/>
    <w:rsid w:val="00E359FA"/>
    <w:pPr>
      <w:keepNext/>
      <w:keepLines/>
      <w:spacing w:before="40"/>
      <w:outlineLvl w:val="3"/>
    </w:pPr>
    <w:rPr>
      <w:rFonts w:eastAsiaTheme="majorEastAsia" w:cstheme="majorBidi"/>
      <w:b/>
      <w:iCs/>
      <w:color w:val="000000" w:themeColor="text1"/>
      <w:sz w:val="22"/>
    </w:rPr>
  </w:style>
  <w:style w:type="paragraph" w:styleId="Heading5">
    <w:name w:val="heading 5"/>
    <w:basedOn w:val="Normal"/>
    <w:next w:val="Normal"/>
    <w:link w:val="Heading5Char"/>
    <w:uiPriority w:val="9"/>
    <w:semiHidden/>
    <w:unhideWhenUsed/>
    <w:rsid w:val="002E2D2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3A"/>
    <w:rPr>
      <w:rFonts w:ascii="Tahoma" w:hAnsi="Tahoma" w:cs="Tahoma"/>
      <w:sz w:val="16"/>
      <w:szCs w:val="16"/>
    </w:rPr>
  </w:style>
  <w:style w:type="paragraph" w:styleId="Header">
    <w:name w:val="header"/>
    <w:basedOn w:val="Normal"/>
    <w:link w:val="HeaderChar"/>
    <w:uiPriority w:val="99"/>
    <w:unhideWhenUsed/>
    <w:rsid w:val="003D7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1F1"/>
  </w:style>
  <w:style w:type="paragraph" w:styleId="Footer">
    <w:name w:val="footer"/>
    <w:basedOn w:val="Normal"/>
    <w:link w:val="FooterChar"/>
    <w:uiPriority w:val="99"/>
    <w:unhideWhenUsed/>
    <w:rsid w:val="003D7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1F1"/>
  </w:style>
  <w:style w:type="character" w:styleId="Hyperlink">
    <w:name w:val="Hyperlink"/>
    <w:basedOn w:val="DefaultParagraphFont"/>
    <w:uiPriority w:val="99"/>
    <w:unhideWhenUsed/>
    <w:rsid w:val="00466BE6"/>
    <w:rPr>
      <w:color w:val="0000FF"/>
      <w:u w:val="single"/>
    </w:rPr>
  </w:style>
  <w:style w:type="paragraph" w:styleId="NoSpacing">
    <w:name w:val="No Spacing"/>
    <w:link w:val="NoSpacingChar"/>
    <w:uiPriority w:val="1"/>
    <w:rsid w:val="003C28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2895"/>
    <w:rPr>
      <w:rFonts w:eastAsiaTheme="minorEastAsia"/>
      <w:lang w:val="en-US"/>
    </w:rPr>
  </w:style>
  <w:style w:type="paragraph" w:styleId="ListParagraph">
    <w:name w:val="List Paragraph"/>
    <w:basedOn w:val="Normal"/>
    <w:link w:val="ListParagraphChar"/>
    <w:uiPriority w:val="34"/>
    <w:qFormat/>
    <w:rsid w:val="002E2D26"/>
    <w:pPr>
      <w:ind w:left="720"/>
    </w:pPr>
  </w:style>
  <w:style w:type="character" w:styleId="CommentReference">
    <w:name w:val="annotation reference"/>
    <w:basedOn w:val="DefaultParagraphFont"/>
    <w:uiPriority w:val="99"/>
    <w:semiHidden/>
    <w:unhideWhenUsed/>
    <w:rsid w:val="00D71708"/>
    <w:rPr>
      <w:sz w:val="16"/>
      <w:szCs w:val="16"/>
    </w:rPr>
  </w:style>
  <w:style w:type="paragraph" w:styleId="CommentText">
    <w:name w:val="annotation text"/>
    <w:basedOn w:val="Normal"/>
    <w:link w:val="CommentTextChar"/>
    <w:uiPriority w:val="99"/>
    <w:unhideWhenUsed/>
    <w:rsid w:val="00D71708"/>
    <w:pPr>
      <w:spacing w:line="240" w:lineRule="auto"/>
    </w:pPr>
  </w:style>
  <w:style w:type="character" w:customStyle="1" w:styleId="CommentTextChar">
    <w:name w:val="Comment Text Char"/>
    <w:basedOn w:val="DefaultParagraphFont"/>
    <w:link w:val="CommentText"/>
    <w:uiPriority w:val="99"/>
    <w:rsid w:val="00D71708"/>
    <w:rPr>
      <w:sz w:val="20"/>
      <w:szCs w:val="20"/>
    </w:rPr>
  </w:style>
  <w:style w:type="paragraph" w:styleId="CommentSubject">
    <w:name w:val="annotation subject"/>
    <w:basedOn w:val="CommentText"/>
    <w:next w:val="CommentText"/>
    <w:link w:val="CommentSubjectChar"/>
    <w:uiPriority w:val="99"/>
    <w:semiHidden/>
    <w:unhideWhenUsed/>
    <w:rsid w:val="00D71708"/>
    <w:rPr>
      <w:b/>
      <w:bCs/>
    </w:rPr>
  </w:style>
  <w:style w:type="character" w:customStyle="1" w:styleId="CommentSubjectChar">
    <w:name w:val="Comment Subject Char"/>
    <w:basedOn w:val="CommentTextChar"/>
    <w:link w:val="CommentSubject"/>
    <w:uiPriority w:val="99"/>
    <w:semiHidden/>
    <w:rsid w:val="00D71708"/>
    <w:rPr>
      <w:b/>
      <w:bCs/>
      <w:sz w:val="20"/>
      <w:szCs w:val="20"/>
    </w:rPr>
  </w:style>
  <w:style w:type="character" w:customStyle="1" w:styleId="apple-converted-space">
    <w:name w:val="apple-converted-space"/>
    <w:basedOn w:val="DefaultParagraphFont"/>
    <w:rsid w:val="00774CCC"/>
  </w:style>
  <w:style w:type="character" w:styleId="FollowedHyperlink">
    <w:name w:val="FollowedHyperlink"/>
    <w:basedOn w:val="DefaultParagraphFont"/>
    <w:uiPriority w:val="99"/>
    <w:semiHidden/>
    <w:unhideWhenUsed/>
    <w:rsid w:val="00774CCC"/>
    <w:rPr>
      <w:color w:val="800080" w:themeColor="followedHyperlink"/>
      <w:u w:val="single"/>
    </w:rPr>
  </w:style>
  <w:style w:type="character" w:customStyle="1" w:styleId="Heading1Char">
    <w:name w:val="Heading 1 Char"/>
    <w:aliases w:val="Title header Char"/>
    <w:basedOn w:val="DefaultParagraphFont"/>
    <w:link w:val="Heading1"/>
    <w:uiPriority w:val="9"/>
    <w:rsid w:val="00327B84"/>
    <w:rPr>
      <w:rFonts w:ascii="Verdana" w:hAnsi="Verdana"/>
      <w:b/>
      <w:bCs/>
      <w:color w:val="004125"/>
      <w:sz w:val="36"/>
      <w:szCs w:val="36"/>
      <w:lang w:eastAsia="en-GB"/>
    </w:rPr>
  </w:style>
  <w:style w:type="character" w:customStyle="1" w:styleId="Heading2Char">
    <w:name w:val="Heading 2 Char"/>
    <w:aliases w:val="Subheader style 1 Char"/>
    <w:basedOn w:val="DefaultParagraphFont"/>
    <w:link w:val="Heading2"/>
    <w:uiPriority w:val="9"/>
    <w:rsid w:val="006D4DE2"/>
    <w:rPr>
      <w:rFonts w:ascii="Verdana" w:eastAsiaTheme="majorEastAsia" w:hAnsi="Verdana" w:cstheme="majorBidi"/>
      <w:b/>
      <w:color w:val="004125"/>
      <w:sz w:val="28"/>
      <w:szCs w:val="26"/>
      <w:lang w:eastAsia="en-GB"/>
    </w:rPr>
  </w:style>
  <w:style w:type="character" w:customStyle="1" w:styleId="Heading3Char">
    <w:name w:val="Heading 3 Char"/>
    <w:aliases w:val="Subheader style 2 Char"/>
    <w:basedOn w:val="DefaultParagraphFont"/>
    <w:link w:val="Heading3"/>
    <w:uiPriority w:val="9"/>
    <w:rsid w:val="006D4DE2"/>
    <w:rPr>
      <w:rFonts w:ascii="Verdana" w:eastAsiaTheme="majorEastAsia" w:hAnsi="Verdana" w:cstheme="majorBidi"/>
      <w:color w:val="004125"/>
      <w:sz w:val="24"/>
      <w:szCs w:val="24"/>
      <w:lang w:eastAsia="en-GB"/>
    </w:rPr>
  </w:style>
  <w:style w:type="paragraph" w:styleId="Title">
    <w:name w:val="Title"/>
    <w:aliases w:val="day month year"/>
    <w:basedOn w:val="Normal"/>
    <w:next w:val="Normal"/>
    <w:link w:val="TitleChar"/>
    <w:uiPriority w:val="10"/>
    <w:rsid w:val="0074272D"/>
    <w:pPr>
      <w:spacing w:after="0" w:line="240" w:lineRule="auto"/>
      <w:contextualSpacing/>
    </w:pPr>
    <w:rPr>
      <w:rFonts w:eastAsiaTheme="majorEastAsia" w:cstheme="majorBidi"/>
      <w:b/>
      <w:color w:val="004125"/>
      <w:spacing w:val="-10"/>
      <w:kern w:val="28"/>
      <w:sz w:val="18"/>
      <w:szCs w:val="56"/>
    </w:rPr>
  </w:style>
  <w:style w:type="character" w:customStyle="1" w:styleId="TitleChar">
    <w:name w:val="Title Char"/>
    <w:aliases w:val="day month year Char"/>
    <w:basedOn w:val="DefaultParagraphFont"/>
    <w:link w:val="Title"/>
    <w:uiPriority w:val="10"/>
    <w:rsid w:val="0074272D"/>
    <w:rPr>
      <w:rFonts w:ascii="Verdana" w:eastAsiaTheme="majorEastAsia" w:hAnsi="Verdana" w:cstheme="majorBidi"/>
      <w:b/>
      <w:color w:val="004125"/>
      <w:spacing w:val="-10"/>
      <w:kern w:val="28"/>
      <w:sz w:val="18"/>
      <w:szCs w:val="56"/>
    </w:rPr>
  </w:style>
  <w:style w:type="table" w:styleId="GridTable4">
    <w:name w:val="Grid Table 4"/>
    <w:basedOn w:val="TableNormal"/>
    <w:uiPriority w:val="49"/>
    <w:rsid w:val="00A61EF7"/>
    <w:pPr>
      <w:spacing w:after="0" w:line="240" w:lineRule="auto"/>
    </w:pPr>
    <w:rPr>
      <w:rFonts w:eastAsiaTheme="minorEastAsia"/>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C44A07"/>
    <w:pPr>
      <w:spacing w:after="0" w:line="240" w:lineRule="auto"/>
    </w:pPr>
  </w:style>
  <w:style w:type="character" w:customStyle="1" w:styleId="FootnoteTextChar">
    <w:name w:val="Footnote Text Char"/>
    <w:basedOn w:val="DefaultParagraphFont"/>
    <w:link w:val="FootnoteText"/>
    <w:uiPriority w:val="99"/>
    <w:rsid w:val="00C44A07"/>
    <w:rPr>
      <w:rFonts w:ascii="Verdana" w:hAnsi="Verdana"/>
      <w:sz w:val="20"/>
      <w:szCs w:val="20"/>
      <w:lang w:eastAsia="en-GB"/>
    </w:rPr>
  </w:style>
  <w:style w:type="character" w:styleId="FootnoteReference">
    <w:name w:val="footnote reference"/>
    <w:basedOn w:val="DefaultParagraphFont"/>
    <w:uiPriority w:val="99"/>
    <w:semiHidden/>
    <w:unhideWhenUsed/>
    <w:rsid w:val="00C44A07"/>
    <w:rPr>
      <w:vertAlign w:val="superscript"/>
    </w:rPr>
  </w:style>
  <w:style w:type="paragraph" w:customStyle="1" w:styleId="Default">
    <w:name w:val="Default"/>
    <w:rsid w:val="00C44A07"/>
    <w:pPr>
      <w:autoSpaceDE w:val="0"/>
      <w:autoSpaceDN w:val="0"/>
      <w:adjustRightInd w:val="0"/>
      <w:spacing w:after="0" w:line="240" w:lineRule="auto"/>
    </w:pPr>
    <w:rPr>
      <w:rFonts w:ascii="Verdana" w:hAnsi="Verdana" w:cs="Verdana"/>
      <w:color w:val="000000"/>
      <w:sz w:val="24"/>
      <w:szCs w:val="24"/>
    </w:rPr>
  </w:style>
  <w:style w:type="character" w:customStyle="1" w:styleId="footnotedescriptionChar">
    <w:name w:val="footnote description Char"/>
    <w:link w:val="footnotedescription"/>
    <w:locked/>
    <w:rsid w:val="00AC2C6B"/>
    <w:rPr>
      <w:rFonts w:ascii="Verdana" w:eastAsia="Verdana" w:hAnsi="Verdana" w:cs="Verdana"/>
      <w:color w:val="0000FF"/>
      <w:sz w:val="16"/>
      <w:u w:val="single" w:color="0000FF"/>
    </w:rPr>
  </w:style>
  <w:style w:type="paragraph" w:customStyle="1" w:styleId="footnotedescription">
    <w:name w:val="footnote description"/>
    <w:next w:val="Normal"/>
    <w:link w:val="footnotedescriptionChar"/>
    <w:rsid w:val="00AC2C6B"/>
    <w:pPr>
      <w:spacing w:after="18" w:line="256" w:lineRule="auto"/>
      <w:ind w:left="31"/>
    </w:pPr>
    <w:rPr>
      <w:rFonts w:ascii="Verdana" w:eastAsia="Verdana" w:hAnsi="Verdana" w:cs="Verdana"/>
      <w:color w:val="0000FF"/>
      <w:sz w:val="16"/>
      <w:u w:val="single" w:color="0000FF"/>
    </w:rPr>
  </w:style>
  <w:style w:type="character" w:customStyle="1" w:styleId="footnotemark">
    <w:name w:val="footnote mark"/>
    <w:rsid w:val="00AC2C6B"/>
    <w:rPr>
      <w:rFonts w:ascii="Verdana" w:eastAsia="Verdana" w:hAnsi="Verdana" w:cs="Verdana" w:hint="default"/>
      <w:color w:val="262626"/>
      <w:sz w:val="20"/>
      <w:vertAlign w:val="superscript"/>
    </w:rPr>
  </w:style>
  <w:style w:type="table" w:customStyle="1" w:styleId="TableGridLight1">
    <w:name w:val="Table Grid Light1"/>
    <w:basedOn w:val="TableNormal"/>
    <w:next w:val="TableGridLight"/>
    <w:uiPriority w:val="40"/>
    <w:rsid w:val="00AC2C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AC2C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rsid w:val="00AA6043"/>
    <w:pPr>
      <w:spacing w:line="259" w:lineRule="auto"/>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DA210E"/>
    <w:pPr>
      <w:tabs>
        <w:tab w:val="right" w:leader="dot" w:pos="9628"/>
      </w:tabs>
      <w:spacing w:after="100"/>
    </w:pPr>
    <w:rPr>
      <w:b/>
      <w:bCs/>
    </w:rPr>
  </w:style>
  <w:style w:type="paragraph" w:styleId="TOC2">
    <w:name w:val="toc 2"/>
    <w:basedOn w:val="Normal"/>
    <w:next w:val="Normal"/>
    <w:autoRedefine/>
    <w:uiPriority w:val="39"/>
    <w:unhideWhenUsed/>
    <w:rsid w:val="006524E9"/>
    <w:pPr>
      <w:tabs>
        <w:tab w:val="right" w:leader="dot" w:pos="9628"/>
      </w:tabs>
      <w:spacing w:after="100"/>
      <w:ind w:left="720"/>
    </w:pPr>
    <w:rPr>
      <w:noProof/>
    </w:rPr>
  </w:style>
  <w:style w:type="paragraph" w:styleId="TOC3">
    <w:name w:val="toc 3"/>
    <w:basedOn w:val="Normal"/>
    <w:next w:val="Normal"/>
    <w:autoRedefine/>
    <w:uiPriority w:val="39"/>
    <w:unhideWhenUsed/>
    <w:rsid w:val="00AA6043"/>
    <w:pPr>
      <w:spacing w:after="100"/>
      <w:ind w:left="400"/>
    </w:pPr>
  </w:style>
  <w:style w:type="paragraph" w:styleId="Revision">
    <w:name w:val="Revision"/>
    <w:hidden/>
    <w:uiPriority w:val="99"/>
    <w:semiHidden/>
    <w:rsid w:val="00EA45A2"/>
    <w:pPr>
      <w:spacing w:after="0" w:line="240" w:lineRule="auto"/>
    </w:pPr>
    <w:rPr>
      <w:rFonts w:ascii="Verdana" w:hAnsi="Verdana"/>
      <w:noProof/>
      <w:sz w:val="20"/>
      <w:szCs w:val="20"/>
      <w:lang w:eastAsia="en-GB"/>
    </w:rPr>
  </w:style>
  <w:style w:type="paragraph" w:styleId="NormalWeb">
    <w:name w:val="Normal (Web)"/>
    <w:basedOn w:val="Normal"/>
    <w:link w:val="NormalWebChar"/>
    <w:uiPriority w:val="99"/>
    <w:unhideWhenUsed/>
    <w:rsid w:val="00EA45A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E26E3"/>
    <w:rPr>
      <w:color w:val="605E5C"/>
      <w:shd w:val="clear" w:color="auto" w:fill="E1DFDD"/>
    </w:rPr>
  </w:style>
  <w:style w:type="table" w:styleId="TableGrid">
    <w:name w:val="Table Grid"/>
    <w:basedOn w:val="TableNormal"/>
    <w:uiPriority w:val="59"/>
    <w:rsid w:val="00A13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54E83"/>
    <w:pPr>
      <w:spacing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E54E83"/>
    <w:pPr>
      <w:spacing w:after="0" w:line="240" w:lineRule="auto"/>
    </w:pPr>
  </w:style>
  <w:style w:type="character" w:customStyle="1" w:styleId="EndnoteTextChar">
    <w:name w:val="Endnote Text Char"/>
    <w:basedOn w:val="DefaultParagraphFont"/>
    <w:link w:val="EndnoteText"/>
    <w:uiPriority w:val="99"/>
    <w:semiHidden/>
    <w:rsid w:val="00E54E83"/>
    <w:rPr>
      <w:rFonts w:ascii="Verdana" w:hAnsi="Verdana"/>
      <w:noProof/>
      <w:sz w:val="20"/>
      <w:szCs w:val="20"/>
      <w:lang w:eastAsia="en-GB"/>
    </w:rPr>
  </w:style>
  <w:style w:type="character" w:styleId="EndnoteReference">
    <w:name w:val="endnote reference"/>
    <w:basedOn w:val="DefaultParagraphFont"/>
    <w:uiPriority w:val="99"/>
    <w:semiHidden/>
    <w:unhideWhenUsed/>
    <w:rsid w:val="00E54E83"/>
    <w:rPr>
      <w:vertAlign w:val="superscript"/>
    </w:rPr>
  </w:style>
  <w:style w:type="table" w:styleId="GridTable1Light">
    <w:name w:val="Grid Table 1 Light"/>
    <w:basedOn w:val="TableNormal"/>
    <w:uiPriority w:val="46"/>
    <w:rsid w:val="00E54E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egclearfix">
    <w:name w:val="legclearfix"/>
    <w:basedOn w:val="Normal"/>
    <w:rsid w:val="00E54E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ds">
    <w:name w:val="legds"/>
    <w:basedOn w:val="DefaultParagraphFont"/>
    <w:rsid w:val="00E54E83"/>
  </w:style>
  <w:style w:type="paragraph" w:styleId="TOC4">
    <w:name w:val="toc 4"/>
    <w:basedOn w:val="Normal"/>
    <w:next w:val="Normal"/>
    <w:autoRedefine/>
    <w:uiPriority w:val="39"/>
    <w:unhideWhenUsed/>
    <w:rsid w:val="0019252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19252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19252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19252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19252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192521"/>
    <w:pPr>
      <w:spacing w:after="100" w:line="259" w:lineRule="auto"/>
      <w:ind w:left="1760"/>
    </w:pPr>
    <w:rPr>
      <w:rFonts w:asciiTheme="minorHAnsi" w:eastAsiaTheme="minorEastAsia" w:hAnsiTheme="minorHAnsi"/>
      <w:sz w:val="22"/>
      <w:szCs w:val="22"/>
    </w:rPr>
  </w:style>
  <w:style w:type="character" w:customStyle="1" w:styleId="Heading4Char">
    <w:name w:val="Heading 4 Char"/>
    <w:basedOn w:val="DefaultParagraphFont"/>
    <w:link w:val="Heading4"/>
    <w:uiPriority w:val="9"/>
    <w:rsid w:val="00E359FA"/>
    <w:rPr>
      <w:rFonts w:ascii="Verdana" w:eastAsiaTheme="majorEastAsia" w:hAnsi="Verdana" w:cstheme="majorBidi"/>
      <w:b/>
      <w:iCs/>
      <w:color w:val="000000" w:themeColor="text1"/>
      <w:szCs w:val="20"/>
      <w:lang w:eastAsia="en-GB"/>
    </w:rPr>
  </w:style>
  <w:style w:type="character" w:customStyle="1" w:styleId="Heading5Char">
    <w:name w:val="Heading 5 Char"/>
    <w:basedOn w:val="DefaultParagraphFont"/>
    <w:link w:val="Heading5"/>
    <w:uiPriority w:val="9"/>
    <w:semiHidden/>
    <w:rsid w:val="002E2D26"/>
    <w:rPr>
      <w:rFonts w:asciiTheme="majorHAnsi" w:eastAsiaTheme="majorEastAsia" w:hAnsiTheme="majorHAnsi" w:cstheme="majorBidi"/>
      <w:color w:val="365F91" w:themeColor="accent1" w:themeShade="BF"/>
      <w:sz w:val="20"/>
      <w:szCs w:val="20"/>
      <w:lang w:eastAsia="en-GB"/>
    </w:rPr>
  </w:style>
  <w:style w:type="paragraph" w:styleId="Subtitle">
    <w:name w:val="Subtitle"/>
    <w:basedOn w:val="Normal"/>
    <w:next w:val="Normal"/>
    <w:link w:val="SubtitleChar"/>
    <w:uiPriority w:val="11"/>
    <w:rsid w:val="002E2D26"/>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2E2D26"/>
    <w:rPr>
      <w:rFonts w:eastAsiaTheme="minorEastAsia"/>
      <w:color w:val="5A5A5A" w:themeColor="text1" w:themeTint="A5"/>
      <w:spacing w:val="15"/>
      <w:lang w:eastAsia="en-GB"/>
    </w:rPr>
  </w:style>
  <w:style w:type="character" w:styleId="SubtleEmphasis">
    <w:name w:val="Subtle Emphasis"/>
    <w:basedOn w:val="DefaultParagraphFont"/>
    <w:uiPriority w:val="19"/>
    <w:rsid w:val="002E2D26"/>
    <w:rPr>
      <w:i/>
      <w:iCs/>
      <w:color w:val="404040" w:themeColor="text1" w:themeTint="BF"/>
    </w:rPr>
  </w:style>
  <w:style w:type="character" w:styleId="Emphasis">
    <w:name w:val="Emphasis"/>
    <w:basedOn w:val="DefaultParagraphFont"/>
    <w:uiPriority w:val="20"/>
    <w:rsid w:val="002E2D26"/>
    <w:rPr>
      <w:i/>
      <w:iCs/>
    </w:rPr>
  </w:style>
  <w:style w:type="character" w:styleId="IntenseEmphasis">
    <w:name w:val="Intense Emphasis"/>
    <w:basedOn w:val="DefaultParagraphFont"/>
    <w:uiPriority w:val="21"/>
    <w:rsid w:val="002E2D26"/>
    <w:rPr>
      <w:i/>
      <w:iCs/>
      <w:color w:val="4F81BD" w:themeColor="accent1"/>
    </w:rPr>
  </w:style>
  <w:style w:type="character" w:styleId="Strong">
    <w:name w:val="Strong"/>
    <w:basedOn w:val="DefaultParagraphFont"/>
    <w:uiPriority w:val="22"/>
    <w:rsid w:val="002E2D26"/>
    <w:rPr>
      <w:b/>
      <w:bCs/>
    </w:rPr>
  </w:style>
  <w:style w:type="character" w:styleId="BookTitle">
    <w:name w:val="Book Title"/>
    <w:basedOn w:val="DefaultParagraphFont"/>
    <w:uiPriority w:val="33"/>
    <w:rsid w:val="002E2D26"/>
    <w:rPr>
      <w:b/>
      <w:bCs/>
      <w:i/>
      <w:iCs/>
      <w:spacing w:val="5"/>
    </w:rPr>
  </w:style>
  <w:style w:type="paragraph" w:styleId="Quote">
    <w:name w:val="Quote"/>
    <w:basedOn w:val="Normal"/>
    <w:next w:val="Normal"/>
    <w:link w:val="QuoteChar"/>
    <w:uiPriority w:val="29"/>
    <w:rsid w:val="002E2D2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2D26"/>
    <w:rPr>
      <w:rFonts w:ascii="Verdana" w:hAnsi="Verdana"/>
      <w:i/>
      <w:iCs/>
      <w:color w:val="404040" w:themeColor="text1" w:themeTint="BF"/>
      <w:sz w:val="20"/>
      <w:szCs w:val="20"/>
      <w:lang w:eastAsia="en-GB"/>
    </w:rPr>
  </w:style>
  <w:style w:type="paragraph" w:styleId="IntenseQuote">
    <w:name w:val="Intense Quote"/>
    <w:basedOn w:val="Normal"/>
    <w:next w:val="Normal"/>
    <w:link w:val="IntenseQuoteChar"/>
    <w:uiPriority w:val="30"/>
    <w:rsid w:val="002E2D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E2D26"/>
    <w:rPr>
      <w:rFonts w:ascii="Verdana" w:hAnsi="Verdana"/>
      <w:i/>
      <w:iCs/>
      <w:color w:val="4F81BD" w:themeColor="accent1"/>
      <w:sz w:val="20"/>
      <w:szCs w:val="20"/>
      <w:lang w:eastAsia="en-GB"/>
    </w:rPr>
  </w:style>
  <w:style w:type="character" w:styleId="SubtleReference">
    <w:name w:val="Subtle Reference"/>
    <w:basedOn w:val="DefaultParagraphFont"/>
    <w:uiPriority w:val="31"/>
    <w:rsid w:val="002E2D26"/>
    <w:rPr>
      <w:smallCaps/>
      <w:color w:val="5A5A5A" w:themeColor="text1" w:themeTint="A5"/>
    </w:rPr>
  </w:style>
  <w:style w:type="character" w:styleId="IntenseReference">
    <w:name w:val="Intense Reference"/>
    <w:basedOn w:val="DefaultParagraphFont"/>
    <w:uiPriority w:val="32"/>
    <w:rsid w:val="002E2D26"/>
    <w:rPr>
      <w:b/>
      <w:bCs/>
      <w:smallCaps/>
      <w:color w:val="4F81BD" w:themeColor="accent1"/>
      <w:spacing w:val="5"/>
    </w:rPr>
  </w:style>
  <w:style w:type="numbering" w:customStyle="1" w:styleId="Style1">
    <w:name w:val="Style1"/>
    <w:uiPriority w:val="99"/>
    <w:rsid w:val="007A0EA1"/>
    <w:pPr>
      <w:numPr>
        <w:numId w:val="55"/>
      </w:numPr>
    </w:pPr>
  </w:style>
  <w:style w:type="numbering" w:customStyle="1" w:styleId="Style2">
    <w:name w:val="Style2"/>
    <w:uiPriority w:val="99"/>
    <w:rsid w:val="007A0EA1"/>
    <w:pPr>
      <w:numPr>
        <w:numId w:val="58"/>
      </w:numPr>
    </w:pPr>
  </w:style>
  <w:style w:type="numbering" w:customStyle="1" w:styleId="Style3">
    <w:name w:val="Style3"/>
    <w:uiPriority w:val="99"/>
    <w:rsid w:val="007A0EA1"/>
    <w:pPr>
      <w:numPr>
        <w:numId w:val="60"/>
      </w:numPr>
    </w:pPr>
  </w:style>
  <w:style w:type="numbering" w:customStyle="1" w:styleId="Style4">
    <w:name w:val="Style4"/>
    <w:uiPriority w:val="99"/>
    <w:rsid w:val="007A0EA1"/>
    <w:pPr>
      <w:numPr>
        <w:numId w:val="62"/>
      </w:numPr>
    </w:pPr>
  </w:style>
  <w:style w:type="numbering" w:customStyle="1" w:styleId="Style5">
    <w:name w:val="Style5"/>
    <w:uiPriority w:val="99"/>
    <w:rsid w:val="007A0EA1"/>
    <w:pPr>
      <w:numPr>
        <w:numId w:val="64"/>
      </w:numPr>
    </w:pPr>
  </w:style>
  <w:style w:type="paragraph" w:customStyle="1" w:styleId="CH1normal">
    <w:name w:val="CH1 normal"/>
    <w:basedOn w:val="ListParagraph"/>
    <w:link w:val="CH1normalChar"/>
    <w:qFormat/>
    <w:rsid w:val="00105D43"/>
    <w:pPr>
      <w:numPr>
        <w:numId w:val="19"/>
      </w:numPr>
      <w:ind w:left="709" w:hanging="709"/>
    </w:pPr>
    <w:rPr>
      <w:rFonts w:eastAsia="Times New Roman" w:cs="Vrinda"/>
      <w:color w:val="000000" w:themeColor="text1"/>
    </w:rPr>
  </w:style>
  <w:style w:type="paragraph" w:customStyle="1" w:styleId="CH2normal">
    <w:name w:val="CH2 normal"/>
    <w:basedOn w:val="ListParagraph"/>
    <w:link w:val="CH2normalChar"/>
    <w:qFormat/>
    <w:rsid w:val="00105D43"/>
    <w:pPr>
      <w:numPr>
        <w:numId w:val="4"/>
      </w:numPr>
      <w:spacing w:after="240"/>
    </w:pPr>
    <w:rPr>
      <w:color w:val="000000" w:themeColor="text1"/>
    </w:rPr>
  </w:style>
  <w:style w:type="character" w:customStyle="1" w:styleId="ListParagraphChar">
    <w:name w:val="List Paragraph Char"/>
    <w:basedOn w:val="DefaultParagraphFont"/>
    <w:link w:val="ListParagraph"/>
    <w:uiPriority w:val="34"/>
    <w:rsid w:val="00105D43"/>
    <w:rPr>
      <w:rFonts w:ascii="Verdana" w:hAnsi="Verdana"/>
      <w:sz w:val="20"/>
      <w:szCs w:val="20"/>
      <w:lang w:eastAsia="en-GB"/>
    </w:rPr>
  </w:style>
  <w:style w:type="character" w:customStyle="1" w:styleId="CH1normalChar">
    <w:name w:val="CH1 normal Char"/>
    <w:basedOn w:val="ListParagraphChar"/>
    <w:link w:val="CH1normal"/>
    <w:rsid w:val="00105D43"/>
    <w:rPr>
      <w:rFonts w:ascii="Verdana" w:eastAsia="Times New Roman" w:hAnsi="Verdana" w:cs="Vrinda"/>
      <w:color w:val="000000" w:themeColor="text1"/>
      <w:sz w:val="20"/>
      <w:szCs w:val="20"/>
      <w:lang w:eastAsia="en-GB"/>
    </w:rPr>
  </w:style>
  <w:style w:type="paragraph" w:customStyle="1" w:styleId="CH3normal">
    <w:name w:val="CH3 normal"/>
    <w:basedOn w:val="ListParagraph"/>
    <w:link w:val="CH3normalChar"/>
    <w:qFormat/>
    <w:rsid w:val="00105D43"/>
    <w:pPr>
      <w:numPr>
        <w:numId w:val="16"/>
      </w:numPr>
      <w:ind w:left="709" w:hanging="709"/>
    </w:pPr>
  </w:style>
  <w:style w:type="character" w:customStyle="1" w:styleId="CH2normalChar">
    <w:name w:val="CH2 normal Char"/>
    <w:basedOn w:val="ListParagraphChar"/>
    <w:link w:val="CH2normal"/>
    <w:rsid w:val="00105D43"/>
    <w:rPr>
      <w:rFonts w:ascii="Verdana" w:hAnsi="Verdana"/>
      <w:color w:val="000000" w:themeColor="text1"/>
      <w:sz w:val="20"/>
      <w:szCs w:val="20"/>
      <w:lang w:eastAsia="en-GB"/>
    </w:rPr>
  </w:style>
  <w:style w:type="paragraph" w:customStyle="1" w:styleId="CH4normal">
    <w:name w:val="CH4 normal"/>
    <w:basedOn w:val="ListParagraph"/>
    <w:link w:val="CH4normalChar"/>
    <w:qFormat/>
    <w:rsid w:val="00105D43"/>
    <w:pPr>
      <w:numPr>
        <w:numId w:val="41"/>
      </w:numPr>
      <w:ind w:left="709" w:hanging="709"/>
    </w:pPr>
  </w:style>
  <w:style w:type="character" w:customStyle="1" w:styleId="CH3normalChar">
    <w:name w:val="CH3 normal Char"/>
    <w:basedOn w:val="ListParagraphChar"/>
    <w:link w:val="CH3normal"/>
    <w:rsid w:val="00105D43"/>
    <w:rPr>
      <w:rFonts w:ascii="Verdana" w:hAnsi="Verdana"/>
      <w:sz w:val="20"/>
      <w:szCs w:val="20"/>
      <w:lang w:eastAsia="en-GB"/>
    </w:rPr>
  </w:style>
  <w:style w:type="paragraph" w:customStyle="1" w:styleId="CH5normal">
    <w:name w:val="CH5 normal"/>
    <w:basedOn w:val="NormalWeb"/>
    <w:link w:val="CH5normalChar"/>
    <w:qFormat/>
    <w:rsid w:val="00FF101F"/>
    <w:pPr>
      <w:numPr>
        <w:numId w:val="45"/>
      </w:numPr>
      <w:spacing w:before="0" w:beforeAutospacing="0" w:after="200" w:afterAutospacing="0" w:line="360" w:lineRule="auto"/>
      <w:ind w:left="709" w:hanging="709"/>
    </w:pPr>
    <w:rPr>
      <w:rFonts w:ascii="Verdana" w:eastAsiaTheme="minorHAnsi" w:hAnsi="Verdana" w:cstheme="minorBidi"/>
      <w:noProof/>
      <w:sz w:val="20"/>
      <w:szCs w:val="20"/>
    </w:rPr>
  </w:style>
  <w:style w:type="character" w:customStyle="1" w:styleId="CH4normalChar">
    <w:name w:val="CH4 normal Char"/>
    <w:basedOn w:val="ListParagraphChar"/>
    <w:link w:val="CH4normal"/>
    <w:rsid w:val="00105D43"/>
    <w:rPr>
      <w:rFonts w:ascii="Verdana" w:hAnsi="Verdana"/>
      <w:sz w:val="20"/>
      <w:szCs w:val="20"/>
      <w:lang w:eastAsia="en-GB"/>
    </w:rPr>
  </w:style>
  <w:style w:type="paragraph" w:customStyle="1" w:styleId="CH6normal">
    <w:name w:val="CH6 normal"/>
    <w:basedOn w:val="ListParagraph"/>
    <w:link w:val="CH6normalChar"/>
    <w:qFormat/>
    <w:rsid w:val="00FF101F"/>
    <w:pPr>
      <w:numPr>
        <w:numId w:val="6"/>
      </w:numPr>
      <w:spacing w:after="240"/>
      <w:ind w:left="709" w:hanging="709"/>
    </w:pPr>
    <w:rPr>
      <w:color w:val="000000" w:themeColor="text1"/>
    </w:rPr>
  </w:style>
  <w:style w:type="character" w:customStyle="1" w:styleId="NormalWebChar">
    <w:name w:val="Normal (Web) Char"/>
    <w:basedOn w:val="DefaultParagraphFont"/>
    <w:link w:val="NormalWeb"/>
    <w:uiPriority w:val="99"/>
    <w:rsid w:val="00FF101F"/>
    <w:rPr>
      <w:rFonts w:ascii="Times New Roman" w:eastAsia="Times New Roman" w:hAnsi="Times New Roman" w:cs="Times New Roman"/>
      <w:sz w:val="24"/>
      <w:szCs w:val="24"/>
      <w:lang w:eastAsia="en-GB"/>
    </w:rPr>
  </w:style>
  <w:style w:type="character" w:customStyle="1" w:styleId="CH5normalChar">
    <w:name w:val="CH5 normal Char"/>
    <w:basedOn w:val="NormalWebChar"/>
    <w:link w:val="CH5normal"/>
    <w:rsid w:val="00FF101F"/>
    <w:rPr>
      <w:rFonts w:ascii="Verdana" w:eastAsia="Times New Roman" w:hAnsi="Verdana" w:cs="Times New Roman"/>
      <w:noProof/>
      <w:sz w:val="20"/>
      <w:szCs w:val="20"/>
      <w:lang w:eastAsia="en-GB"/>
    </w:rPr>
  </w:style>
  <w:style w:type="paragraph" w:customStyle="1" w:styleId="CH7normal">
    <w:name w:val="CH7 normal"/>
    <w:basedOn w:val="ListParagraph"/>
    <w:link w:val="CH7normalChar"/>
    <w:qFormat/>
    <w:rsid w:val="00FF101F"/>
    <w:pPr>
      <w:numPr>
        <w:numId w:val="67"/>
      </w:numPr>
    </w:pPr>
  </w:style>
  <w:style w:type="character" w:customStyle="1" w:styleId="CH6normalChar">
    <w:name w:val="CH6 normal Char"/>
    <w:basedOn w:val="ListParagraphChar"/>
    <w:link w:val="CH6normal"/>
    <w:rsid w:val="00FF101F"/>
    <w:rPr>
      <w:rFonts w:ascii="Verdana" w:hAnsi="Verdana"/>
      <w:color w:val="000000" w:themeColor="text1"/>
      <w:sz w:val="20"/>
      <w:szCs w:val="20"/>
      <w:lang w:eastAsia="en-GB"/>
    </w:rPr>
  </w:style>
  <w:style w:type="paragraph" w:customStyle="1" w:styleId="CH8normal">
    <w:name w:val="CH8 normal"/>
    <w:basedOn w:val="ListParagraph"/>
    <w:link w:val="CH8normalChar"/>
    <w:qFormat/>
    <w:rsid w:val="00FF101F"/>
    <w:pPr>
      <w:numPr>
        <w:numId w:val="70"/>
      </w:numPr>
      <w:autoSpaceDE w:val="0"/>
      <w:autoSpaceDN w:val="0"/>
      <w:adjustRightInd w:val="0"/>
      <w:spacing w:after="0"/>
      <w:ind w:left="567" w:hanging="567"/>
    </w:pPr>
    <w:rPr>
      <w:rFonts w:cs="Verdana"/>
      <w:color w:val="000000" w:themeColor="text1"/>
    </w:rPr>
  </w:style>
  <w:style w:type="character" w:customStyle="1" w:styleId="CH7normalChar">
    <w:name w:val="CH7 normal Char"/>
    <w:basedOn w:val="ListParagraphChar"/>
    <w:link w:val="CH7normal"/>
    <w:rsid w:val="00FF101F"/>
    <w:rPr>
      <w:rFonts w:ascii="Verdana" w:hAnsi="Verdana"/>
      <w:sz w:val="20"/>
      <w:szCs w:val="20"/>
      <w:lang w:eastAsia="en-GB"/>
    </w:rPr>
  </w:style>
  <w:style w:type="paragraph" w:customStyle="1" w:styleId="Chaptersummaryheading">
    <w:name w:val="Chapter summary heading"/>
    <w:basedOn w:val="Normal"/>
    <w:link w:val="ChaptersummaryheadingChar"/>
    <w:qFormat/>
    <w:rsid w:val="0011067A"/>
    <w:rPr>
      <w:b/>
      <w:bCs/>
      <w:color w:val="004125"/>
      <w:sz w:val="28"/>
      <w:szCs w:val="28"/>
    </w:rPr>
  </w:style>
  <w:style w:type="character" w:customStyle="1" w:styleId="CH8normalChar">
    <w:name w:val="CH8 normal Char"/>
    <w:basedOn w:val="ListParagraphChar"/>
    <w:link w:val="CH8normal"/>
    <w:rsid w:val="00FF101F"/>
    <w:rPr>
      <w:rFonts w:ascii="Verdana" w:hAnsi="Verdana" w:cs="Verdana"/>
      <w:color w:val="000000" w:themeColor="text1"/>
      <w:sz w:val="20"/>
      <w:szCs w:val="20"/>
      <w:lang w:eastAsia="en-GB"/>
    </w:rPr>
  </w:style>
  <w:style w:type="character" w:customStyle="1" w:styleId="ChaptersummaryheadingChar">
    <w:name w:val="Chapter summary heading Char"/>
    <w:basedOn w:val="DefaultParagraphFont"/>
    <w:link w:val="Chaptersummaryheading"/>
    <w:rsid w:val="0011067A"/>
    <w:rPr>
      <w:rFonts w:ascii="Verdana" w:hAnsi="Verdana"/>
      <w:b/>
      <w:bCs/>
      <w:color w:val="004125"/>
      <w:sz w:val="28"/>
      <w:szCs w:val="28"/>
      <w:lang w:eastAsia="en-GB"/>
    </w:rPr>
  </w:style>
  <w:style w:type="character" w:customStyle="1" w:styleId="normaltextrun">
    <w:name w:val="normaltextrun"/>
    <w:basedOn w:val="DefaultParagraphFont"/>
    <w:rsid w:val="00D17B07"/>
  </w:style>
  <w:style w:type="character" w:customStyle="1" w:styleId="findhit">
    <w:name w:val="findhit"/>
    <w:basedOn w:val="DefaultParagraphFont"/>
    <w:rsid w:val="00D17B07"/>
  </w:style>
  <w:style w:type="paragraph" w:customStyle="1" w:styleId="msonormal0">
    <w:name w:val="msonormal"/>
    <w:basedOn w:val="Normal"/>
    <w:rsid w:val="00805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805F00"/>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color w:val="FFFFFF"/>
      <w:sz w:val="16"/>
      <w:szCs w:val="16"/>
    </w:rPr>
  </w:style>
  <w:style w:type="paragraph" w:customStyle="1" w:styleId="xl64">
    <w:name w:val="xl64"/>
    <w:basedOn w:val="Normal"/>
    <w:rsid w:val="00805F00"/>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right"/>
    </w:pPr>
    <w:rPr>
      <w:rFonts w:ascii="Times New Roman" w:eastAsia="Times New Roman" w:hAnsi="Times New Roman" w:cs="Times New Roman"/>
      <w:color w:val="FFFFFF"/>
      <w:sz w:val="16"/>
      <w:szCs w:val="16"/>
    </w:rPr>
  </w:style>
  <w:style w:type="paragraph" w:customStyle="1" w:styleId="xl65">
    <w:name w:val="xl65"/>
    <w:basedOn w:val="Normal"/>
    <w:rsid w:val="00805F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805F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805F00"/>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color w:val="FFFFFF"/>
      <w:sz w:val="16"/>
      <w:szCs w:val="16"/>
    </w:rPr>
  </w:style>
  <w:style w:type="paragraph" w:customStyle="1" w:styleId="xl68">
    <w:name w:val="xl68"/>
    <w:basedOn w:val="Normal"/>
    <w:rsid w:val="00805F00"/>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color w:val="FFFFFF"/>
      <w:sz w:val="16"/>
      <w:szCs w:val="16"/>
    </w:rPr>
  </w:style>
  <w:style w:type="paragraph" w:customStyle="1" w:styleId="xl69">
    <w:name w:val="xl69"/>
    <w:basedOn w:val="Normal"/>
    <w:rsid w:val="00EE4D96"/>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color w:val="FFFFFF"/>
      <w:sz w:val="16"/>
      <w:szCs w:val="16"/>
    </w:rPr>
  </w:style>
  <w:style w:type="paragraph" w:customStyle="1" w:styleId="xl70">
    <w:name w:val="xl70"/>
    <w:basedOn w:val="Normal"/>
    <w:rsid w:val="00EE4D96"/>
    <w:pPr>
      <w:spacing w:before="100" w:beforeAutospacing="1" w:after="100" w:afterAutospacing="1" w:line="240" w:lineRule="auto"/>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062">
      <w:bodyDiv w:val="1"/>
      <w:marLeft w:val="0"/>
      <w:marRight w:val="0"/>
      <w:marTop w:val="0"/>
      <w:marBottom w:val="0"/>
      <w:divBdr>
        <w:top w:val="none" w:sz="0" w:space="0" w:color="auto"/>
        <w:left w:val="none" w:sz="0" w:space="0" w:color="auto"/>
        <w:bottom w:val="none" w:sz="0" w:space="0" w:color="auto"/>
        <w:right w:val="none" w:sz="0" w:space="0" w:color="auto"/>
      </w:divBdr>
    </w:div>
    <w:div w:id="72355816">
      <w:bodyDiv w:val="1"/>
      <w:marLeft w:val="0"/>
      <w:marRight w:val="0"/>
      <w:marTop w:val="0"/>
      <w:marBottom w:val="0"/>
      <w:divBdr>
        <w:top w:val="none" w:sz="0" w:space="0" w:color="auto"/>
        <w:left w:val="none" w:sz="0" w:space="0" w:color="auto"/>
        <w:bottom w:val="none" w:sz="0" w:space="0" w:color="auto"/>
        <w:right w:val="none" w:sz="0" w:space="0" w:color="auto"/>
      </w:divBdr>
    </w:div>
    <w:div w:id="136383054">
      <w:bodyDiv w:val="1"/>
      <w:marLeft w:val="0"/>
      <w:marRight w:val="0"/>
      <w:marTop w:val="0"/>
      <w:marBottom w:val="0"/>
      <w:divBdr>
        <w:top w:val="none" w:sz="0" w:space="0" w:color="auto"/>
        <w:left w:val="none" w:sz="0" w:space="0" w:color="auto"/>
        <w:bottom w:val="none" w:sz="0" w:space="0" w:color="auto"/>
        <w:right w:val="none" w:sz="0" w:space="0" w:color="auto"/>
      </w:divBdr>
    </w:div>
    <w:div w:id="172426714">
      <w:bodyDiv w:val="1"/>
      <w:marLeft w:val="0"/>
      <w:marRight w:val="0"/>
      <w:marTop w:val="0"/>
      <w:marBottom w:val="0"/>
      <w:divBdr>
        <w:top w:val="none" w:sz="0" w:space="0" w:color="auto"/>
        <w:left w:val="none" w:sz="0" w:space="0" w:color="auto"/>
        <w:bottom w:val="none" w:sz="0" w:space="0" w:color="auto"/>
        <w:right w:val="none" w:sz="0" w:space="0" w:color="auto"/>
      </w:divBdr>
    </w:div>
    <w:div w:id="173887831">
      <w:bodyDiv w:val="1"/>
      <w:marLeft w:val="0"/>
      <w:marRight w:val="0"/>
      <w:marTop w:val="0"/>
      <w:marBottom w:val="0"/>
      <w:divBdr>
        <w:top w:val="none" w:sz="0" w:space="0" w:color="auto"/>
        <w:left w:val="none" w:sz="0" w:space="0" w:color="auto"/>
        <w:bottom w:val="none" w:sz="0" w:space="0" w:color="auto"/>
        <w:right w:val="none" w:sz="0" w:space="0" w:color="auto"/>
      </w:divBdr>
    </w:div>
    <w:div w:id="187640491">
      <w:bodyDiv w:val="1"/>
      <w:marLeft w:val="0"/>
      <w:marRight w:val="0"/>
      <w:marTop w:val="0"/>
      <w:marBottom w:val="0"/>
      <w:divBdr>
        <w:top w:val="none" w:sz="0" w:space="0" w:color="auto"/>
        <w:left w:val="none" w:sz="0" w:space="0" w:color="auto"/>
        <w:bottom w:val="none" w:sz="0" w:space="0" w:color="auto"/>
        <w:right w:val="none" w:sz="0" w:space="0" w:color="auto"/>
      </w:divBdr>
    </w:div>
    <w:div w:id="205945095">
      <w:bodyDiv w:val="1"/>
      <w:marLeft w:val="0"/>
      <w:marRight w:val="0"/>
      <w:marTop w:val="0"/>
      <w:marBottom w:val="0"/>
      <w:divBdr>
        <w:top w:val="none" w:sz="0" w:space="0" w:color="auto"/>
        <w:left w:val="none" w:sz="0" w:space="0" w:color="auto"/>
        <w:bottom w:val="none" w:sz="0" w:space="0" w:color="auto"/>
        <w:right w:val="none" w:sz="0" w:space="0" w:color="auto"/>
      </w:divBdr>
    </w:div>
    <w:div w:id="246235323">
      <w:bodyDiv w:val="1"/>
      <w:marLeft w:val="0"/>
      <w:marRight w:val="0"/>
      <w:marTop w:val="0"/>
      <w:marBottom w:val="0"/>
      <w:divBdr>
        <w:top w:val="none" w:sz="0" w:space="0" w:color="auto"/>
        <w:left w:val="none" w:sz="0" w:space="0" w:color="auto"/>
        <w:bottom w:val="none" w:sz="0" w:space="0" w:color="auto"/>
        <w:right w:val="none" w:sz="0" w:space="0" w:color="auto"/>
      </w:divBdr>
    </w:div>
    <w:div w:id="276179449">
      <w:bodyDiv w:val="1"/>
      <w:marLeft w:val="0"/>
      <w:marRight w:val="0"/>
      <w:marTop w:val="0"/>
      <w:marBottom w:val="0"/>
      <w:divBdr>
        <w:top w:val="none" w:sz="0" w:space="0" w:color="auto"/>
        <w:left w:val="none" w:sz="0" w:space="0" w:color="auto"/>
        <w:bottom w:val="none" w:sz="0" w:space="0" w:color="auto"/>
        <w:right w:val="none" w:sz="0" w:space="0" w:color="auto"/>
      </w:divBdr>
    </w:div>
    <w:div w:id="299651996">
      <w:bodyDiv w:val="1"/>
      <w:marLeft w:val="0"/>
      <w:marRight w:val="0"/>
      <w:marTop w:val="0"/>
      <w:marBottom w:val="0"/>
      <w:divBdr>
        <w:top w:val="none" w:sz="0" w:space="0" w:color="auto"/>
        <w:left w:val="none" w:sz="0" w:space="0" w:color="auto"/>
        <w:bottom w:val="none" w:sz="0" w:space="0" w:color="auto"/>
        <w:right w:val="none" w:sz="0" w:space="0" w:color="auto"/>
      </w:divBdr>
    </w:div>
    <w:div w:id="357394117">
      <w:bodyDiv w:val="1"/>
      <w:marLeft w:val="0"/>
      <w:marRight w:val="0"/>
      <w:marTop w:val="0"/>
      <w:marBottom w:val="0"/>
      <w:divBdr>
        <w:top w:val="none" w:sz="0" w:space="0" w:color="auto"/>
        <w:left w:val="none" w:sz="0" w:space="0" w:color="auto"/>
        <w:bottom w:val="none" w:sz="0" w:space="0" w:color="auto"/>
        <w:right w:val="none" w:sz="0" w:space="0" w:color="auto"/>
      </w:divBdr>
    </w:div>
    <w:div w:id="363211493">
      <w:bodyDiv w:val="1"/>
      <w:marLeft w:val="0"/>
      <w:marRight w:val="0"/>
      <w:marTop w:val="0"/>
      <w:marBottom w:val="0"/>
      <w:divBdr>
        <w:top w:val="none" w:sz="0" w:space="0" w:color="auto"/>
        <w:left w:val="none" w:sz="0" w:space="0" w:color="auto"/>
        <w:bottom w:val="none" w:sz="0" w:space="0" w:color="auto"/>
        <w:right w:val="none" w:sz="0" w:space="0" w:color="auto"/>
      </w:divBdr>
    </w:div>
    <w:div w:id="382867609">
      <w:bodyDiv w:val="1"/>
      <w:marLeft w:val="0"/>
      <w:marRight w:val="0"/>
      <w:marTop w:val="0"/>
      <w:marBottom w:val="0"/>
      <w:divBdr>
        <w:top w:val="none" w:sz="0" w:space="0" w:color="auto"/>
        <w:left w:val="none" w:sz="0" w:space="0" w:color="auto"/>
        <w:bottom w:val="none" w:sz="0" w:space="0" w:color="auto"/>
        <w:right w:val="none" w:sz="0" w:space="0" w:color="auto"/>
      </w:divBdr>
    </w:div>
    <w:div w:id="425074172">
      <w:bodyDiv w:val="1"/>
      <w:marLeft w:val="0"/>
      <w:marRight w:val="0"/>
      <w:marTop w:val="0"/>
      <w:marBottom w:val="0"/>
      <w:divBdr>
        <w:top w:val="none" w:sz="0" w:space="0" w:color="auto"/>
        <w:left w:val="none" w:sz="0" w:space="0" w:color="auto"/>
        <w:bottom w:val="none" w:sz="0" w:space="0" w:color="auto"/>
        <w:right w:val="none" w:sz="0" w:space="0" w:color="auto"/>
      </w:divBdr>
    </w:div>
    <w:div w:id="463743191">
      <w:bodyDiv w:val="1"/>
      <w:marLeft w:val="0"/>
      <w:marRight w:val="0"/>
      <w:marTop w:val="0"/>
      <w:marBottom w:val="0"/>
      <w:divBdr>
        <w:top w:val="none" w:sz="0" w:space="0" w:color="auto"/>
        <w:left w:val="none" w:sz="0" w:space="0" w:color="auto"/>
        <w:bottom w:val="none" w:sz="0" w:space="0" w:color="auto"/>
        <w:right w:val="none" w:sz="0" w:space="0" w:color="auto"/>
      </w:divBdr>
    </w:div>
    <w:div w:id="469248307">
      <w:bodyDiv w:val="1"/>
      <w:marLeft w:val="0"/>
      <w:marRight w:val="0"/>
      <w:marTop w:val="0"/>
      <w:marBottom w:val="0"/>
      <w:divBdr>
        <w:top w:val="none" w:sz="0" w:space="0" w:color="auto"/>
        <w:left w:val="none" w:sz="0" w:space="0" w:color="auto"/>
        <w:bottom w:val="none" w:sz="0" w:space="0" w:color="auto"/>
        <w:right w:val="none" w:sz="0" w:space="0" w:color="auto"/>
      </w:divBdr>
    </w:div>
    <w:div w:id="477571834">
      <w:bodyDiv w:val="1"/>
      <w:marLeft w:val="0"/>
      <w:marRight w:val="0"/>
      <w:marTop w:val="0"/>
      <w:marBottom w:val="0"/>
      <w:divBdr>
        <w:top w:val="none" w:sz="0" w:space="0" w:color="auto"/>
        <w:left w:val="none" w:sz="0" w:space="0" w:color="auto"/>
        <w:bottom w:val="none" w:sz="0" w:space="0" w:color="auto"/>
        <w:right w:val="none" w:sz="0" w:space="0" w:color="auto"/>
      </w:divBdr>
    </w:div>
    <w:div w:id="482084207">
      <w:bodyDiv w:val="1"/>
      <w:marLeft w:val="0"/>
      <w:marRight w:val="0"/>
      <w:marTop w:val="0"/>
      <w:marBottom w:val="0"/>
      <w:divBdr>
        <w:top w:val="none" w:sz="0" w:space="0" w:color="auto"/>
        <w:left w:val="none" w:sz="0" w:space="0" w:color="auto"/>
        <w:bottom w:val="none" w:sz="0" w:space="0" w:color="auto"/>
        <w:right w:val="none" w:sz="0" w:space="0" w:color="auto"/>
      </w:divBdr>
    </w:div>
    <w:div w:id="509835315">
      <w:bodyDiv w:val="1"/>
      <w:marLeft w:val="0"/>
      <w:marRight w:val="0"/>
      <w:marTop w:val="0"/>
      <w:marBottom w:val="0"/>
      <w:divBdr>
        <w:top w:val="none" w:sz="0" w:space="0" w:color="auto"/>
        <w:left w:val="none" w:sz="0" w:space="0" w:color="auto"/>
        <w:bottom w:val="none" w:sz="0" w:space="0" w:color="auto"/>
        <w:right w:val="none" w:sz="0" w:space="0" w:color="auto"/>
      </w:divBdr>
    </w:div>
    <w:div w:id="681593401">
      <w:bodyDiv w:val="1"/>
      <w:marLeft w:val="0"/>
      <w:marRight w:val="0"/>
      <w:marTop w:val="0"/>
      <w:marBottom w:val="0"/>
      <w:divBdr>
        <w:top w:val="none" w:sz="0" w:space="0" w:color="auto"/>
        <w:left w:val="none" w:sz="0" w:space="0" w:color="auto"/>
        <w:bottom w:val="none" w:sz="0" w:space="0" w:color="auto"/>
        <w:right w:val="none" w:sz="0" w:space="0" w:color="auto"/>
      </w:divBdr>
    </w:div>
    <w:div w:id="689722257">
      <w:bodyDiv w:val="1"/>
      <w:marLeft w:val="0"/>
      <w:marRight w:val="0"/>
      <w:marTop w:val="0"/>
      <w:marBottom w:val="0"/>
      <w:divBdr>
        <w:top w:val="none" w:sz="0" w:space="0" w:color="auto"/>
        <w:left w:val="none" w:sz="0" w:space="0" w:color="auto"/>
        <w:bottom w:val="none" w:sz="0" w:space="0" w:color="auto"/>
        <w:right w:val="none" w:sz="0" w:space="0" w:color="auto"/>
      </w:divBdr>
    </w:div>
    <w:div w:id="727922831">
      <w:bodyDiv w:val="1"/>
      <w:marLeft w:val="0"/>
      <w:marRight w:val="0"/>
      <w:marTop w:val="0"/>
      <w:marBottom w:val="0"/>
      <w:divBdr>
        <w:top w:val="none" w:sz="0" w:space="0" w:color="auto"/>
        <w:left w:val="none" w:sz="0" w:space="0" w:color="auto"/>
        <w:bottom w:val="none" w:sz="0" w:space="0" w:color="auto"/>
        <w:right w:val="none" w:sz="0" w:space="0" w:color="auto"/>
      </w:divBdr>
    </w:div>
    <w:div w:id="735787404">
      <w:bodyDiv w:val="1"/>
      <w:marLeft w:val="0"/>
      <w:marRight w:val="0"/>
      <w:marTop w:val="0"/>
      <w:marBottom w:val="0"/>
      <w:divBdr>
        <w:top w:val="none" w:sz="0" w:space="0" w:color="auto"/>
        <w:left w:val="none" w:sz="0" w:space="0" w:color="auto"/>
        <w:bottom w:val="none" w:sz="0" w:space="0" w:color="auto"/>
        <w:right w:val="none" w:sz="0" w:space="0" w:color="auto"/>
      </w:divBdr>
    </w:div>
    <w:div w:id="780806329">
      <w:bodyDiv w:val="1"/>
      <w:marLeft w:val="0"/>
      <w:marRight w:val="0"/>
      <w:marTop w:val="0"/>
      <w:marBottom w:val="0"/>
      <w:divBdr>
        <w:top w:val="none" w:sz="0" w:space="0" w:color="auto"/>
        <w:left w:val="none" w:sz="0" w:space="0" w:color="auto"/>
        <w:bottom w:val="none" w:sz="0" w:space="0" w:color="auto"/>
        <w:right w:val="none" w:sz="0" w:space="0" w:color="auto"/>
      </w:divBdr>
    </w:div>
    <w:div w:id="786969563">
      <w:bodyDiv w:val="1"/>
      <w:marLeft w:val="0"/>
      <w:marRight w:val="0"/>
      <w:marTop w:val="0"/>
      <w:marBottom w:val="0"/>
      <w:divBdr>
        <w:top w:val="none" w:sz="0" w:space="0" w:color="auto"/>
        <w:left w:val="none" w:sz="0" w:space="0" w:color="auto"/>
        <w:bottom w:val="none" w:sz="0" w:space="0" w:color="auto"/>
        <w:right w:val="none" w:sz="0" w:space="0" w:color="auto"/>
      </w:divBdr>
    </w:div>
    <w:div w:id="788818813">
      <w:bodyDiv w:val="1"/>
      <w:marLeft w:val="0"/>
      <w:marRight w:val="0"/>
      <w:marTop w:val="0"/>
      <w:marBottom w:val="0"/>
      <w:divBdr>
        <w:top w:val="none" w:sz="0" w:space="0" w:color="auto"/>
        <w:left w:val="none" w:sz="0" w:space="0" w:color="auto"/>
        <w:bottom w:val="none" w:sz="0" w:space="0" w:color="auto"/>
        <w:right w:val="none" w:sz="0" w:space="0" w:color="auto"/>
      </w:divBdr>
    </w:div>
    <w:div w:id="793056481">
      <w:bodyDiv w:val="1"/>
      <w:marLeft w:val="0"/>
      <w:marRight w:val="0"/>
      <w:marTop w:val="0"/>
      <w:marBottom w:val="0"/>
      <w:divBdr>
        <w:top w:val="none" w:sz="0" w:space="0" w:color="auto"/>
        <w:left w:val="none" w:sz="0" w:space="0" w:color="auto"/>
        <w:bottom w:val="none" w:sz="0" w:space="0" w:color="auto"/>
        <w:right w:val="none" w:sz="0" w:space="0" w:color="auto"/>
      </w:divBdr>
    </w:div>
    <w:div w:id="801122178">
      <w:bodyDiv w:val="1"/>
      <w:marLeft w:val="0"/>
      <w:marRight w:val="0"/>
      <w:marTop w:val="0"/>
      <w:marBottom w:val="0"/>
      <w:divBdr>
        <w:top w:val="none" w:sz="0" w:space="0" w:color="auto"/>
        <w:left w:val="none" w:sz="0" w:space="0" w:color="auto"/>
        <w:bottom w:val="none" w:sz="0" w:space="0" w:color="auto"/>
        <w:right w:val="none" w:sz="0" w:space="0" w:color="auto"/>
      </w:divBdr>
    </w:div>
    <w:div w:id="885487012">
      <w:bodyDiv w:val="1"/>
      <w:marLeft w:val="0"/>
      <w:marRight w:val="0"/>
      <w:marTop w:val="0"/>
      <w:marBottom w:val="0"/>
      <w:divBdr>
        <w:top w:val="none" w:sz="0" w:space="0" w:color="auto"/>
        <w:left w:val="none" w:sz="0" w:space="0" w:color="auto"/>
        <w:bottom w:val="none" w:sz="0" w:space="0" w:color="auto"/>
        <w:right w:val="none" w:sz="0" w:space="0" w:color="auto"/>
      </w:divBdr>
    </w:div>
    <w:div w:id="900100596">
      <w:bodyDiv w:val="1"/>
      <w:marLeft w:val="0"/>
      <w:marRight w:val="0"/>
      <w:marTop w:val="0"/>
      <w:marBottom w:val="0"/>
      <w:divBdr>
        <w:top w:val="none" w:sz="0" w:space="0" w:color="auto"/>
        <w:left w:val="none" w:sz="0" w:space="0" w:color="auto"/>
        <w:bottom w:val="none" w:sz="0" w:space="0" w:color="auto"/>
        <w:right w:val="none" w:sz="0" w:space="0" w:color="auto"/>
      </w:divBdr>
    </w:div>
    <w:div w:id="922643844">
      <w:bodyDiv w:val="1"/>
      <w:marLeft w:val="0"/>
      <w:marRight w:val="0"/>
      <w:marTop w:val="0"/>
      <w:marBottom w:val="0"/>
      <w:divBdr>
        <w:top w:val="none" w:sz="0" w:space="0" w:color="auto"/>
        <w:left w:val="none" w:sz="0" w:space="0" w:color="auto"/>
        <w:bottom w:val="none" w:sz="0" w:space="0" w:color="auto"/>
        <w:right w:val="none" w:sz="0" w:space="0" w:color="auto"/>
      </w:divBdr>
    </w:div>
    <w:div w:id="1018895248">
      <w:bodyDiv w:val="1"/>
      <w:marLeft w:val="0"/>
      <w:marRight w:val="0"/>
      <w:marTop w:val="0"/>
      <w:marBottom w:val="0"/>
      <w:divBdr>
        <w:top w:val="none" w:sz="0" w:space="0" w:color="auto"/>
        <w:left w:val="none" w:sz="0" w:space="0" w:color="auto"/>
        <w:bottom w:val="none" w:sz="0" w:space="0" w:color="auto"/>
        <w:right w:val="none" w:sz="0" w:space="0" w:color="auto"/>
      </w:divBdr>
    </w:div>
    <w:div w:id="1023366501">
      <w:bodyDiv w:val="1"/>
      <w:marLeft w:val="0"/>
      <w:marRight w:val="0"/>
      <w:marTop w:val="0"/>
      <w:marBottom w:val="0"/>
      <w:divBdr>
        <w:top w:val="none" w:sz="0" w:space="0" w:color="auto"/>
        <w:left w:val="none" w:sz="0" w:space="0" w:color="auto"/>
        <w:bottom w:val="none" w:sz="0" w:space="0" w:color="auto"/>
        <w:right w:val="none" w:sz="0" w:space="0" w:color="auto"/>
      </w:divBdr>
    </w:div>
    <w:div w:id="1032613703">
      <w:bodyDiv w:val="1"/>
      <w:marLeft w:val="0"/>
      <w:marRight w:val="0"/>
      <w:marTop w:val="0"/>
      <w:marBottom w:val="0"/>
      <w:divBdr>
        <w:top w:val="none" w:sz="0" w:space="0" w:color="auto"/>
        <w:left w:val="none" w:sz="0" w:space="0" w:color="auto"/>
        <w:bottom w:val="none" w:sz="0" w:space="0" w:color="auto"/>
        <w:right w:val="none" w:sz="0" w:space="0" w:color="auto"/>
      </w:divBdr>
    </w:div>
    <w:div w:id="1096249467">
      <w:bodyDiv w:val="1"/>
      <w:marLeft w:val="0"/>
      <w:marRight w:val="0"/>
      <w:marTop w:val="0"/>
      <w:marBottom w:val="0"/>
      <w:divBdr>
        <w:top w:val="none" w:sz="0" w:space="0" w:color="auto"/>
        <w:left w:val="none" w:sz="0" w:space="0" w:color="auto"/>
        <w:bottom w:val="none" w:sz="0" w:space="0" w:color="auto"/>
        <w:right w:val="none" w:sz="0" w:space="0" w:color="auto"/>
      </w:divBdr>
    </w:div>
    <w:div w:id="1101334908">
      <w:bodyDiv w:val="1"/>
      <w:marLeft w:val="0"/>
      <w:marRight w:val="0"/>
      <w:marTop w:val="0"/>
      <w:marBottom w:val="0"/>
      <w:divBdr>
        <w:top w:val="none" w:sz="0" w:space="0" w:color="auto"/>
        <w:left w:val="none" w:sz="0" w:space="0" w:color="auto"/>
        <w:bottom w:val="none" w:sz="0" w:space="0" w:color="auto"/>
        <w:right w:val="none" w:sz="0" w:space="0" w:color="auto"/>
      </w:divBdr>
    </w:div>
    <w:div w:id="1119909355">
      <w:bodyDiv w:val="1"/>
      <w:marLeft w:val="0"/>
      <w:marRight w:val="0"/>
      <w:marTop w:val="0"/>
      <w:marBottom w:val="0"/>
      <w:divBdr>
        <w:top w:val="none" w:sz="0" w:space="0" w:color="auto"/>
        <w:left w:val="none" w:sz="0" w:space="0" w:color="auto"/>
        <w:bottom w:val="none" w:sz="0" w:space="0" w:color="auto"/>
        <w:right w:val="none" w:sz="0" w:space="0" w:color="auto"/>
      </w:divBdr>
    </w:div>
    <w:div w:id="1191844989">
      <w:bodyDiv w:val="1"/>
      <w:marLeft w:val="0"/>
      <w:marRight w:val="0"/>
      <w:marTop w:val="0"/>
      <w:marBottom w:val="0"/>
      <w:divBdr>
        <w:top w:val="none" w:sz="0" w:space="0" w:color="auto"/>
        <w:left w:val="none" w:sz="0" w:space="0" w:color="auto"/>
        <w:bottom w:val="none" w:sz="0" w:space="0" w:color="auto"/>
        <w:right w:val="none" w:sz="0" w:space="0" w:color="auto"/>
      </w:divBdr>
    </w:div>
    <w:div w:id="1295524291">
      <w:bodyDiv w:val="1"/>
      <w:marLeft w:val="0"/>
      <w:marRight w:val="0"/>
      <w:marTop w:val="0"/>
      <w:marBottom w:val="0"/>
      <w:divBdr>
        <w:top w:val="none" w:sz="0" w:space="0" w:color="auto"/>
        <w:left w:val="none" w:sz="0" w:space="0" w:color="auto"/>
        <w:bottom w:val="none" w:sz="0" w:space="0" w:color="auto"/>
        <w:right w:val="none" w:sz="0" w:space="0" w:color="auto"/>
      </w:divBdr>
    </w:div>
    <w:div w:id="1306667392">
      <w:bodyDiv w:val="1"/>
      <w:marLeft w:val="0"/>
      <w:marRight w:val="0"/>
      <w:marTop w:val="0"/>
      <w:marBottom w:val="0"/>
      <w:divBdr>
        <w:top w:val="none" w:sz="0" w:space="0" w:color="auto"/>
        <w:left w:val="none" w:sz="0" w:space="0" w:color="auto"/>
        <w:bottom w:val="none" w:sz="0" w:space="0" w:color="auto"/>
        <w:right w:val="none" w:sz="0" w:space="0" w:color="auto"/>
      </w:divBdr>
    </w:div>
    <w:div w:id="1478573504">
      <w:bodyDiv w:val="1"/>
      <w:marLeft w:val="0"/>
      <w:marRight w:val="0"/>
      <w:marTop w:val="0"/>
      <w:marBottom w:val="0"/>
      <w:divBdr>
        <w:top w:val="none" w:sz="0" w:space="0" w:color="auto"/>
        <w:left w:val="none" w:sz="0" w:space="0" w:color="auto"/>
        <w:bottom w:val="none" w:sz="0" w:space="0" w:color="auto"/>
        <w:right w:val="none" w:sz="0" w:space="0" w:color="auto"/>
      </w:divBdr>
    </w:div>
    <w:div w:id="1579899992">
      <w:bodyDiv w:val="1"/>
      <w:marLeft w:val="0"/>
      <w:marRight w:val="0"/>
      <w:marTop w:val="0"/>
      <w:marBottom w:val="0"/>
      <w:divBdr>
        <w:top w:val="none" w:sz="0" w:space="0" w:color="auto"/>
        <w:left w:val="none" w:sz="0" w:space="0" w:color="auto"/>
        <w:bottom w:val="none" w:sz="0" w:space="0" w:color="auto"/>
        <w:right w:val="none" w:sz="0" w:space="0" w:color="auto"/>
      </w:divBdr>
    </w:div>
    <w:div w:id="1590120046">
      <w:bodyDiv w:val="1"/>
      <w:marLeft w:val="0"/>
      <w:marRight w:val="0"/>
      <w:marTop w:val="0"/>
      <w:marBottom w:val="0"/>
      <w:divBdr>
        <w:top w:val="none" w:sz="0" w:space="0" w:color="auto"/>
        <w:left w:val="none" w:sz="0" w:space="0" w:color="auto"/>
        <w:bottom w:val="none" w:sz="0" w:space="0" w:color="auto"/>
        <w:right w:val="none" w:sz="0" w:space="0" w:color="auto"/>
      </w:divBdr>
    </w:div>
    <w:div w:id="1602760513">
      <w:bodyDiv w:val="1"/>
      <w:marLeft w:val="0"/>
      <w:marRight w:val="0"/>
      <w:marTop w:val="0"/>
      <w:marBottom w:val="0"/>
      <w:divBdr>
        <w:top w:val="none" w:sz="0" w:space="0" w:color="auto"/>
        <w:left w:val="none" w:sz="0" w:space="0" w:color="auto"/>
        <w:bottom w:val="none" w:sz="0" w:space="0" w:color="auto"/>
        <w:right w:val="none" w:sz="0" w:space="0" w:color="auto"/>
      </w:divBdr>
    </w:div>
    <w:div w:id="1605113652">
      <w:bodyDiv w:val="1"/>
      <w:marLeft w:val="0"/>
      <w:marRight w:val="0"/>
      <w:marTop w:val="0"/>
      <w:marBottom w:val="0"/>
      <w:divBdr>
        <w:top w:val="none" w:sz="0" w:space="0" w:color="auto"/>
        <w:left w:val="none" w:sz="0" w:space="0" w:color="auto"/>
        <w:bottom w:val="none" w:sz="0" w:space="0" w:color="auto"/>
        <w:right w:val="none" w:sz="0" w:space="0" w:color="auto"/>
      </w:divBdr>
    </w:div>
    <w:div w:id="1628967853">
      <w:bodyDiv w:val="1"/>
      <w:marLeft w:val="0"/>
      <w:marRight w:val="0"/>
      <w:marTop w:val="0"/>
      <w:marBottom w:val="0"/>
      <w:divBdr>
        <w:top w:val="none" w:sz="0" w:space="0" w:color="auto"/>
        <w:left w:val="none" w:sz="0" w:space="0" w:color="auto"/>
        <w:bottom w:val="none" w:sz="0" w:space="0" w:color="auto"/>
        <w:right w:val="none" w:sz="0" w:space="0" w:color="auto"/>
      </w:divBdr>
    </w:div>
    <w:div w:id="1678848828">
      <w:bodyDiv w:val="1"/>
      <w:marLeft w:val="0"/>
      <w:marRight w:val="0"/>
      <w:marTop w:val="0"/>
      <w:marBottom w:val="0"/>
      <w:divBdr>
        <w:top w:val="none" w:sz="0" w:space="0" w:color="auto"/>
        <w:left w:val="none" w:sz="0" w:space="0" w:color="auto"/>
        <w:bottom w:val="none" w:sz="0" w:space="0" w:color="auto"/>
        <w:right w:val="none" w:sz="0" w:space="0" w:color="auto"/>
      </w:divBdr>
    </w:div>
    <w:div w:id="1679889451">
      <w:bodyDiv w:val="1"/>
      <w:marLeft w:val="0"/>
      <w:marRight w:val="0"/>
      <w:marTop w:val="0"/>
      <w:marBottom w:val="0"/>
      <w:divBdr>
        <w:top w:val="none" w:sz="0" w:space="0" w:color="auto"/>
        <w:left w:val="none" w:sz="0" w:space="0" w:color="auto"/>
        <w:bottom w:val="none" w:sz="0" w:space="0" w:color="auto"/>
        <w:right w:val="none" w:sz="0" w:space="0" w:color="auto"/>
      </w:divBdr>
    </w:div>
    <w:div w:id="1701124059">
      <w:bodyDiv w:val="1"/>
      <w:marLeft w:val="0"/>
      <w:marRight w:val="0"/>
      <w:marTop w:val="0"/>
      <w:marBottom w:val="0"/>
      <w:divBdr>
        <w:top w:val="none" w:sz="0" w:space="0" w:color="auto"/>
        <w:left w:val="none" w:sz="0" w:space="0" w:color="auto"/>
        <w:bottom w:val="none" w:sz="0" w:space="0" w:color="auto"/>
        <w:right w:val="none" w:sz="0" w:space="0" w:color="auto"/>
      </w:divBdr>
    </w:div>
    <w:div w:id="1707876341">
      <w:bodyDiv w:val="1"/>
      <w:marLeft w:val="0"/>
      <w:marRight w:val="0"/>
      <w:marTop w:val="0"/>
      <w:marBottom w:val="0"/>
      <w:divBdr>
        <w:top w:val="none" w:sz="0" w:space="0" w:color="auto"/>
        <w:left w:val="none" w:sz="0" w:space="0" w:color="auto"/>
        <w:bottom w:val="none" w:sz="0" w:space="0" w:color="auto"/>
        <w:right w:val="none" w:sz="0" w:space="0" w:color="auto"/>
      </w:divBdr>
    </w:div>
    <w:div w:id="1721247981">
      <w:bodyDiv w:val="1"/>
      <w:marLeft w:val="0"/>
      <w:marRight w:val="0"/>
      <w:marTop w:val="0"/>
      <w:marBottom w:val="0"/>
      <w:divBdr>
        <w:top w:val="none" w:sz="0" w:space="0" w:color="auto"/>
        <w:left w:val="none" w:sz="0" w:space="0" w:color="auto"/>
        <w:bottom w:val="none" w:sz="0" w:space="0" w:color="auto"/>
        <w:right w:val="none" w:sz="0" w:space="0" w:color="auto"/>
      </w:divBdr>
    </w:div>
    <w:div w:id="1731224235">
      <w:bodyDiv w:val="1"/>
      <w:marLeft w:val="0"/>
      <w:marRight w:val="0"/>
      <w:marTop w:val="0"/>
      <w:marBottom w:val="0"/>
      <w:divBdr>
        <w:top w:val="none" w:sz="0" w:space="0" w:color="auto"/>
        <w:left w:val="none" w:sz="0" w:space="0" w:color="auto"/>
        <w:bottom w:val="none" w:sz="0" w:space="0" w:color="auto"/>
        <w:right w:val="none" w:sz="0" w:space="0" w:color="auto"/>
      </w:divBdr>
    </w:div>
    <w:div w:id="1755395543">
      <w:bodyDiv w:val="1"/>
      <w:marLeft w:val="0"/>
      <w:marRight w:val="0"/>
      <w:marTop w:val="0"/>
      <w:marBottom w:val="0"/>
      <w:divBdr>
        <w:top w:val="none" w:sz="0" w:space="0" w:color="auto"/>
        <w:left w:val="none" w:sz="0" w:space="0" w:color="auto"/>
        <w:bottom w:val="none" w:sz="0" w:space="0" w:color="auto"/>
        <w:right w:val="none" w:sz="0" w:space="0" w:color="auto"/>
      </w:divBdr>
    </w:div>
    <w:div w:id="1759985799">
      <w:bodyDiv w:val="1"/>
      <w:marLeft w:val="0"/>
      <w:marRight w:val="0"/>
      <w:marTop w:val="0"/>
      <w:marBottom w:val="0"/>
      <w:divBdr>
        <w:top w:val="none" w:sz="0" w:space="0" w:color="auto"/>
        <w:left w:val="none" w:sz="0" w:space="0" w:color="auto"/>
        <w:bottom w:val="none" w:sz="0" w:space="0" w:color="auto"/>
        <w:right w:val="none" w:sz="0" w:space="0" w:color="auto"/>
      </w:divBdr>
    </w:div>
    <w:div w:id="1819609566">
      <w:bodyDiv w:val="1"/>
      <w:marLeft w:val="0"/>
      <w:marRight w:val="0"/>
      <w:marTop w:val="0"/>
      <w:marBottom w:val="0"/>
      <w:divBdr>
        <w:top w:val="none" w:sz="0" w:space="0" w:color="auto"/>
        <w:left w:val="none" w:sz="0" w:space="0" w:color="auto"/>
        <w:bottom w:val="none" w:sz="0" w:space="0" w:color="auto"/>
        <w:right w:val="none" w:sz="0" w:space="0" w:color="auto"/>
      </w:divBdr>
    </w:div>
    <w:div w:id="1887646812">
      <w:bodyDiv w:val="1"/>
      <w:marLeft w:val="0"/>
      <w:marRight w:val="0"/>
      <w:marTop w:val="0"/>
      <w:marBottom w:val="0"/>
      <w:divBdr>
        <w:top w:val="none" w:sz="0" w:space="0" w:color="auto"/>
        <w:left w:val="none" w:sz="0" w:space="0" w:color="auto"/>
        <w:bottom w:val="none" w:sz="0" w:space="0" w:color="auto"/>
        <w:right w:val="none" w:sz="0" w:space="0" w:color="auto"/>
      </w:divBdr>
    </w:div>
    <w:div w:id="1935743078">
      <w:bodyDiv w:val="1"/>
      <w:marLeft w:val="0"/>
      <w:marRight w:val="0"/>
      <w:marTop w:val="0"/>
      <w:marBottom w:val="0"/>
      <w:divBdr>
        <w:top w:val="none" w:sz="0" w:space="0" w:color="auto"/>
        <w:left w:val="none" w:sz="0" w:space="0" w:color="auto"/>
        <w:bottom w:val="none" w:sz="0" w:space="0" w:color="auto"/>
        <w:right w:val="none" w:sz="0" w:space="0" w:color="auto"/>
      </w:divBdr>
    </w:div>
    <w:div w:id="1956868166">
      <w:bodyDiv w:val="1"/>
      <w:marLeft w:val="0"/>
      <w:marRight w:val="0"/>
      <w:marTop w:val="0"/>
      <w:marBottom w:val="0"/>
      <w:divBdr>
        <w:top w:val="none" w:sz="0" w:space="0" w:color="auto"/>
        <w:left w:val="none" w:sz="0" w:space="0" w:color="auto"/>
        <w:bottom w:val="none" w:sz="0" w:space="0" w:color="auto"/>
        <w:right w:val="none" w:sz="0" w:space="0" w:color="auto"/>
      </w:divBdr>
    </w:div>
    <w:div w:id="2005624539">
      <w:bodyDiv w:val="1"/>
      <w:marLeft w:val="0"/>
      <w:marRight w:val="0"/>
      <w:marTop w:val="0"/>
      <w:marBottom w:val="0"/>
      <w:divBdr>
        <w:top w:val="none" w:sz="0" w:space="0" w:color="auto"/>
        <w:left w:val="none" w:sz="0" w:space="0" w:color="auto"/>
        <w:bottom w:val="none" w:sz="0" w:space="0" w:color="auto"/>
        <w:right w:val="none" w:sz="0" w:space="0" w:color="auto"/>
      </w:divBdr>
    </w:div>
    <w:div w:id="2007443031">
      <w:bodyDiv w:val="1"/>
      <w:marLeft w:val="0"/>
      <w:marRight w:val="0"/>
      <w:marTop w:val="0"/>
      <w:marBottom w:val="0"/>
      <w:divBdr>
        <w:top w:val="none" w:sz="0" w:space="0" w:color="auto"/>
        <w:left w:val="none" w:sz="0" w:space="0" w:color="auto"/>
        <w:bottom w:val="none" w:sz="0" w:space="0" w:color="auto"/>
        <w:right w:val="none" w:sz="0" w:space="0" w:color="auto"/>
      </w:divBdr>
    </w:div>
    <w:div w:id="2031292155">
      <w:bodyDiv w:val="1"/>
      <w:marLeft w:val="0"/>
      <w:marRight w:val="0"/>
      <w:marTop w:val="0"/>
      <w:marBottom w:val="0"/>
      <w:divBdr>
        <w:top w:val="none" w:sz="0" w:space="0" w:color="auto"/>
        <w:left w:val="none" w:sz="0" w:space="0" w:color="auto"/>
        <w:bottom w:val="none" w:sz="0" w:space="0" w:color="auto"/>
        <w:right w:val="none" w:sz="0" w:space="0" w:color="auto"/>
      </w:divBdr>
    </w:div>
    <w:div w:id="2032102769">
      <w:bodyDiv w:val="1"/>
      <w:marLeft w:val="0"/>
      <w:marRight w:val="0"/>
      <w:marTop w:val="0"/>
      <w:marBottom w:val="0"/>
      <w:divBdr>
        <w:top w:val="none" w:sz="0" w:space="0" w:color="auto"/>
        <w:left w:val="none" w:sz="0" w:space="0" w:color="auto"/>
        <w:bottom w:val="none" w:sz="0" w:space="0" w:color="auto"/>
        <w:right w:val="none" w:sz="0" w:space="0" w:color="auto"/>
      </w:divBdr>
    </w:div>
    <w:div w:id="211008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www.ofgem.gov.uk/environmental-programmes/renewables-obligation-ro/information-suppliers" TargetMode="Externa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0.xml"/><Relationship Id="rId89" Type="http://schemas.openxmlformats.org/officeDocument/2006/relationships/hyperlink" Target="https://www.ofgem.gov.uk/publications-and-updates/guidance-generators-co-location-electricity-storage-facilities-renewable-generation-supported-under-renewables-obligation-or-feed-tariff-schemes-0" TargetMode="External"/><Relationship Id="rId16" Type="http://schemas.openxmlformats.org/officeDocument/2006/relationships/hyperlink" Target="mailto:SchemesReportingFeedback@ofgem.gov.uk" TargetMode="External"/><Relationship Id="rId11" Type="http://schemas.openxmlformats.org/officeDocument/2006/relationships/header" Target="header2.xml"/><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image" Target="media/image6.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ofgem.gov.uk/system/files/docs/2020/09/ro_generator_guidance_subsidiary_doc_0.pdf" TargetMode="External"/><Relationship Id="rId95" Type="http://schemas.openxmlformats.org/officeDocument/2006/relationships/hyperlink" Target="https://www.ofgem.gov.uk/publications/ofgem-costs-administering-renewables-obligation" TargetMode="External"/><Relationship Id="rId22" Type="http://schemas.openxmlformats.org/officeDocument/2006/relationships/hyperlink" Target="http://www.legislation.gov.uk/all?title=renewables%20obligation" TargetMode="External"/><Relationship Id="rId27" Type="http://schemas.openxmlformats.org/officeDocument/2006/relationships/chart" Target="charts/chart4.xml"/><Relationship Id="rId43" Type="http://schemas.openxmlformats.org/officeDocument/2006/relationships/chart" Target="charts/chart20.xml"/><Relationship Id="rId48" Type="http://schemas.openxmlformats.org/officeDocument/2006/relationships/chart" Target="charts/chart25.xml"/><Relationship Id="rId64" Type="http://schemas.openxmlformats.org/officeDocument/2006/relationships/chart" Target="charts/chart41.xml"/><Relationship Id="rId69" Type="http://schemas.openxmlformats.org/officeDocument/2006/relationships/chart" Target="charts/chart46.xml"/><Relationship Id="rId80" Type="http://schemas.openxmlformats.org/officeDocument/2006/relationships/chart" Target="charts/chart56.xml"/><Relationship Id="rId85" Type="http://schemas.openxmlformats.org/officeDocument/2006/relationships/hyperlink" Target="https://www.ofgem.gov.uk/publications-and-updates/renewables-and-chp-register-user-guide" TargetMode="External"/><Relationship Id="rId12" Type="http://schemas.openxmlformats.org/officeDocument/2006/relationships/footer" Target="footer1.xml"/><Relationship Id="rId17" Type="http://schemas.openxmlformats.org/officeDocument/2006/relationships/hyperlink" Target="https://www.ofgem.gov.uk/environmental-programmes/ro/contacts-publications-and-data/publications-library-renewables-obligation-ro"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hyperlink" Target="https://www.ofgem.gov.uk/environmental-programmes/ro/applicants" TargetMode="Externa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59.xml"/><Relationship Id="rId88" Type="http://schemas.openxmlformats.org/officeDocument/2006/relationships/hyperlink" Target="https://www.ofgem.gov.uk/publications-and-updates/renewables-obligation-guidance-suppliers" TargetMode="External"/><Relationship Id="rId91" Type="http://schemas.openxmlformats.org/officeDocument/2006/relationships/hyperlink" Target="https://www.ofgem.gov.uk/publications-and-updates/banked-rocs-faq" TargetMode="External"/><Relationship Id="rId96" Type="http://schemas.openxmlformats.org/officeDocument/2006/relationships/hyperlink" Target="https://www.ofgem.gov.uk/publications/202021-banked-rocs-fa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SchemesReportingFeedback@ofgem.gov.uk"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7.xml"/><Relationship Id="rId86" Type="http://schemas.openxmlformats.org/officeDocument/2006/relationships/hyperlink" Target="https://www.ofgem.gov.uk/publications-and-updates/renewables-obligation-fuel-measurement-and-sampling-guidance-0" TargetMode="External"/><Relationship Id="rId94" Type="http://schemas.openxmlformats.org/officeDocument/2006/relationships/hyperlink" Target="https://www.ofgem.gov.uk/publications/northern-ireland-renewables-obligation-faq-microgenerators" TargetMode="External"/><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ofgem.gov.uk/environmental-programmes/ro/contacts-publications-and-data/public-reports-and-data-ro" TargetMode="Externa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chart" Target="charts/chart48.xml"/><Relationship Id="rId92" Type="http://schemas.openxmlformats.org/officeDocument/2006/relationships/hyperlink" Target="https://www.ofgem.gov.uk/publications/renewable-obligation-certificate-roc-issue-schedule-20212022" TargetMode="Externa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hyperlink" Target="https://www.ofgem.gov.uk/publications-and-updates/audits-renewables-obligation-ro-generating-stations" TargetMode="External"/><Relationship Id="rId61" Type="http://schemas.openxmlformats.org/officeDocument/2006/relationships/chart" Target="charts/chart38.xml"/><Relationship Id="rId82" Type="http://schemas.openxmlformats.org/officeDocument/2006/relationships/chart" Target="charts/chart58.xml"/><Relationship Id="rId19" Type="http://schemas.openxmlformats.org/officeDocument/2006/relationships/hyperlink" Target="https://renewablesandchp.ofgem.gov.uk/" TargetMode="External"/><Relationship Id="rId14" Type="http://schemas.openxmlformats.org/officeDocument/2006/relationships/header" Target="header3.xml"/><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33.xml"/><Relationship Id="rId77" Type="http://schemas.openxmlformats.org/officeDocument/2006/relationships/chart" Target="charts/chart54.xml"/><Relationship Id="rId100"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chart" Target="charts/chart49.xml"/><Relationship Id="rId93" Type="http://schemas.openxmlformats.org/officeDocument/2006/relationships/hyperlink" Target="https://www.ofgem.gov.uk/publications/guidance-organisations-presenting-guarantees-origin-goos-use-gb-fuel-mix-disclosure-fmd-and-feed-tariffs-fit-annual-levelisation" TargetMode="External"/><Relationship Id="rId98" Type="http://schemas.openxmlformats.org/officeDocument/2006/relationships/image" Target="media/image8.png"/><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3" Type="http://schemas.openxmlformats.org/officeDocument/2006/relationships/hyperlink" Target="https://www.ofgem.gov.uk/publications/renewables-obligation-rocs-presented-and-redistribution-buy-out-fund-2020-21" TargetMode="External"/><Relationship Id="rId18" Type="http://schemas.openxmlformats.org/officeDocument/2006/relationships/hyperlink" Target="https://www.ofgem.gov.uk/information-consumers/energy-advice-households/what-happens-if-your-energy-supplier-goes-bust" TargetMode="External"/><Relationship Id="rId26" Type="http://schemas.openxmlformats.org/officeDocument/2006/relationships/hyperlink" Target="https://www.ofgem.gov.uk/publications/renewables-obligation-guidance-suppliers" TargetMode="External"/><Relationship Id="rId39" Type="http://schemas.openxmlformats.org/officeDocument/2006/relationships/hyperlink" Target="https://www.ofgem.gov.uk/publications/renewables-obligation-guidance-suppliers" TargetMode="External"/><Relationship Id="rId21" Type="http://schemas.openxmlformats.org/officeDocument/2006/relationships/hyperlink" Target="https://www.ofgem.gov.uk/publications/ampoweruk-ltd-final-order-0" TargetMode="External"/><Relationship Id="rId34" Type="http://schemas.openxmlformats.org/officeDocument/2006/relationships/hyperlink" Target="https://www.ofgem.gov.uk/publications-and-updates/open-letter-payments-received-after-renewables-obligation-ro-late-payment-deadline" TargetMode="External"/><Relationship Id="rId42" Type="http://schemas.openxmlformats.org/officeDocument/2006/relationships/hyperlink" Target="https://www.ofgem.gov.uk/publications/renewables-obligation-quarter-1-mutualisation-payment-distribution-2018-19" TargetMode="External"/><Relationship Id="rId47" Type="http://schemas.openxmlformats.org/officeDocument/2006/relationships/hyperlink" Target="https://www.ofgem.gov.uk/environmental-and-social-schemes/renewables-obligation-ro/ro-closure" TargetMode="External"/><Relationship Id="rId50" Type="http://schemas.openxmlformats.org/officeDocument/2006/relationships/hyperlink" Target="https://www.legislation.gov.uk/uksi/2021/415/contents/made" TargetMode="External"/><Relationship Id="rId55" Type="http://schemas.openxmlformats.org/officeDocument/2006/relationships/hyperlink" Target="mailto:REcompliance@ofgem.gov.uk" TargetMode="External"/><Relationship Id="rId7" Type="http://schemas.openxmlformats.org/officeDocument/2006/relationships/hyperlink" Target="https://www.ofgem.gov.uk/publications-and-updates/renewables-obligation-ro-annual-report-2018-19" TargetMode="External"/><Relationship Id="rId2" Type="http://schemas.openxmlformats.org/officeDocument/2006/relationships/hyperlink" Target="https://www.ofgem.gov.uk/environmental-programmes/ro/applicants/biomass-sustainability" TargetMode="External"/><Relationship Id="rId16" Type="http://schemas.openxmlformats.org/officeDocument/2006/relationships/hyperlink" Target="https://epr.ofgem.gov.uk/Document" TargetMode="External"/><Relationship Id="rId29" Type="http://schemas.openxmlformats.org/officeDocument/2006/relationships/hyperlink" Target="https://www.ofgem.gov.uk/environmental-programmes/environmental-programmes-ofgem-s-role-and-delivery-performance/environmental-programmes-supplier-performance-report" TargetMode="External"/><Relationship Id="rId11" Type="http://schemas.openxmlformats.org/officeDocument/2006/relationships/hyperlink" Target="https://www.ofgem.gov.uk/publications-and-updates/renewables-obligation-sustainability-criteria" TargetMode="External"/><Relationship Id="rId24" Type="http://schemas.openxmlformats.org/officeDocument/2006/relationships/hyperlink" Target="https://www.ofgem.gov.uk/publications/renewables-obligation-guidance-suppliers" TargetMode="External"/><Relationship Id="rId32" Type="http://schemas.openxmlformats.org/officeDocument/2006/relationships/hyperlink" Target="https://www.ofgem.gov.uk/sites/default/files/2021-09/RO%20Cost%20Letter%202021-22%20Final.pdf" TargetMode="External"/><Relationship Id="rId37" Type="http://schemas.openxmlformats.org/officeDocument/2006/relationships/hyperlink" Target="https://www.ofgem.gov.uk/publications/renewables-obligation-202021-mutualisation" TargetMode="External"/><Relationship Id="rId40" Type="http://schemas.openxmlformats.org/officeDocument/2006/relationships/hyperlink" Target="https://www.ofgem.gov.uk/publications/renewables-obligation-quarter-3-mutualisation-payment-distribution-2017-18" TargetMode="External"/><Relationship Id="rId45" Type="http://schemas.openxmlformats.org/officeDocument/2006/relationships/hyperlink" Target="https://www.ofgem.gov.uk/environmental-programmes/ro/about-ro/ro-closure" TargetMode="External"/><Relationship Id="rId53" Type="http://schemas.openxmlformats.org/officeDocument/2006/relationships/hyperlink" Target="mailto:REcompliance@ofgem.gov.uk" TargetMode="External"/><Relationship Id="rId5" Type="http://schemas.openxmlformats.org/officeDocument/2006/relationships/hyperlink" Target="https://www.ofgem.gov.uk/fits" TargetMode="External"/><Relationship Id="rId19" Type="http://schemas.openxmlformats.org/officeDocument/2006/relationships/hyperlink" Target="https://www.ofgem.gov.uk/supplier-performance-report-spr" TargetMode="External"/><Relationship Id="rId4" Type="http://schemas.openxmlformats.org/officeDocument/2006/relationships/hyperlink" Target="https://www.ofgem.gov.uk/environmental-programmes/ro/about-ro/ro-closure" TargetMode="External"/><Relationship Id="rId9" Type="http://schemas.openxmlformats.org/officeDocument/2006/relationships/hyperlink" Target="https://www.ofgem.gov.uk/publications/biomass-sustainability-dataset-2018-19" TargetMode="External"/><Relationship Id="rId14" Type="http://schemas.openxmlformats.org/officeDocument/2006/relationships/hyperlink" Target="https://assets.publishing.service.gov.uk/government/uploads/system/uploads/attachment_data/file/834055/renewable-obligation-calculating-level-2020-2021.pdf" TargetMode="External"/><Relationship Id="rId22" Type="http://schemas.openxmlformats.org/officeDocument/2006/relationships/hyperlink" Target="https://www.ofgem.gov.uk/publications/whoop-energy-ltd-final-order" TargetMode="External"/><Relationship Id="rId27" Type="http://schemas.openxmlformats.org/officeDocument/2006/relationships/hyperlink" Target="https://www.elexon.co.uk/" TargetMode="External"/><Relationship Id="rId30" Type="http://schemas.openxmlformats.org/officeDocument/2006/relationships/hyperlink" Target="https://www.ofgem.gov.uk/publications/renewables-obligation-guidance-suppliers" TargetMode="External"/><Relationship Id="rId35" Type="http://schemas.openxmlformats.org/officeDocument/2006/relationships/hyperlink" Target="https://www.ofgem.gov.uk/publications-and-updates/renewables-obligation-january-2021-additional-payment-distribution-november-2020" TargetMode="External"/><Relationship Id="rId43" Type="http://schemas.openxmlformats.org/officeDocument/2006/relationships/hyperlink" Target="https://www.ofgem.gov.uk/publications/renewables-obligation-quarter-2-mutualisation-payment-distribution-2018-19" TargetMode="External"/><Relationship Id="rId48" Type="http://schemas.openxmlformats.org/officeDocument/2006/relationships/hyperlink" Target="https://www.legislation.gov.uk/uksi/2020/849/contents/made" TargetMode="External"/><Relationship Id="rId56" Type="http://schemas.openxmlformats.org/officeDocument/2006/relationships/hyperlink" Target="https://www.renewablesandchp.ofgem.gov.uk/" TargetMode="External"/><Relationship Id="rId8" Type="http://schemas.openxmlformats.org/officeDocument/2006/relationships/hyperlink" Target="https://www.ofgem.gov.uk/publications/renewables-obligation-ro-annual-report-2019-20" TargetMode="External"/><Relationship Id="rId51" Type="http://schemas.openxmlformats.org/officeDocument/2006/relationships/hyperlink" Target="https://www.gov.uk/government/consultations/renewables-obligation-ro-addressing-electricity-supplier-payment-default-under-the-ro-scheme" TargetMode="External"/><Relationship Id="rId3" Type="http://schemas.openxmlformats.org/officeDocument/2006/relationships/hyperlink" Target="https://www.ofgem.gov.uk/publications/renewables-obligation-ro-buy-out-price-and-mutualisation-ceilings-2020-21" TargetMode="External"/><Relationship Id="rId12" Type="http://schemas.openxmlformats.org/officeDocument/2006/relationships/hyperlink" Target="https://www.ofgem.gov.uk/publications-and-updates/renewables-obligation-sustainability-reporting" TargetMode="External"/><Relationship Id="rId17" Type="http://schemas.openxmlformats.org/officeDocument/2006/relationships/hyperlink" Target="https://www.uregni.gov.uk/electricity-licences" TargetMode="External"/><Relationship Id="rId25" Type="http://schemas.openxmlformats.org/officeDocument/2006/relationships/hyperlink" Target="https://www.ofgem.gov.uk/publications/enforcement-guidelines" TargetMode="External"/><Relationship Id="rId33" Type="http://schemas.openxmlformats.org/officeDocument/2006/relationships/hyperlink" Target="https://www.ofgem.gov.uk/publications/renewables-obligation-rocs-presented-and-redistribution-buy-out-fund-2020-21" TargetMode="External"/><Relationship Id="rId38" Type="http://schemas.openxmlformats.org/officeDocument/2006/relationships/hyperlink" Target="https://www.ofgem.gov.uk/environmental-programmes/ro/contacts-publications-and-data" TargetMode="External"/><Relationship Id="rId46" Type="http://schemas.openxmlformats.org/officeDocument/2006/relationships/hyperlink" Target="https://www.ofgem.gov.uk/environmental-and-social-schemes" TargetMode="External"/><Relationship Id="rId20" Type="http://schemas.openxmlformats.org/officeDocument/2006/relationships/hyperlink" Target="https://www.ofgem.gov.uk/publications/ofgem-consults-issuing-final-orders-five-suppliers-over-ps7-million-late-renewables-obligations-payments" TargetMode="External"/><Relationship Id="rId41" Type="http://schemas.openxmlformats.org/officeDocument/2006/relationships/hyperlink" Target="https://www.ofgem.gov.uk/publications/renewables-obligation-quarter-4-mutualisation-payment-distribution-2017-18" TargetMode="External"/><Relationship Id="rId54" Type="http://schemas.openxmlformats.org/officeDocument/2006/relationships/hyperlink" Target="mailto:REcompliance@ofgem.gov.uk" TargetMode="External"/><Relationship Id="rId1" Type="http://schemas.openxmlformats.org/officeDocument/2006/relationships/hyperlink" Target="http://sharepoint2013/es/Eserve/Policy_Hub_Lib/External%20Reporting/RO%20Annual%20Report/2020-21/03%20Draft%20Report/Link%20to%20buy-out%20price%20information%20for%202020-21" TargetMode="External"/><Relationship Id="rId6" Type="http://schemas.openxmlformats.org/officeDocument/2006/relationships/hyperlink" Target="https://www.lowcarboncontracts.uk/contracts-for-difference-cfd" TargetMode="External"/><Relationship Id="rId15" Type="http://schemas.openxmlformats.org/officeDocument/2006/relationships/hyperlink" Target="https://www.ons.gov.uk/economy/inflationandpriceindices" TargetMode="External"/><Relationship Id="rId23" Type="http://schemas.openxmlformats.org/officeDocument/2006/relationships/hyperlink" Target="https://www.ofgem.gov.uk/investigations/provisional-orders-and-final-orders" TargetMode="External"/><Relationship Id="rId28" Type="http://schemas.openxmlformats.org/officeDocument/2006/relationships/hyperlink" Target="https://www.nienetworks.co.uk/home" TargetMode="External"/><Relationship Id="rId36" Type="http://schemas.openxmlformats.org/officeDocument/2006/relationships/hyperlink" Target="https://www.ofgem.gov.uk/publications/renewables-obligation-late-payment-distribution-2020-2021" TargetMode="External"/><Relationship Id="rId49" Type="http://schemas.openxmlformats.org/officeDocument/2006/relationships/hyperlink" Target="https://www.gov.uk/government/consultations/renewables-obligation-changes-to-mutualisation-arrangements" TargetMode="External"/><Relationship Id="rId57" Type="http://schemas.openxmlformats.org/officeDocument/2006/relationships/hyperlink" Target="https://www.ofgem.gov.uk/publications/redevelopment-renewables-and-chp-register-timeline-and-project-progress-update" TargetMode="External"/><Relationship Id="rId10" Type="http://schemas.openxmlformats.org/officeDocument/2006/relationships/hyperlink" Target="https://www.ofgem.gov.uk/publications/biomass-sustainability-dataset-2019-20" TargetMode="External"/><Relationship Id="rId31" Type="http://schemas.openxmlformats.org/officeDocument/2006/relationships/hyperlink" Target="https://www.ofgem.gov.uk/publications/renewables-obligation-guidance-suppliers" TargetMode="External"/><Relationship Id="rId44" Type="http://schemas.openxmlformats.org/officeDocument/2006/relationships/hyperlink" Target="https://www.ofgem.gov.uk/supplier-performance-report-spr" TargetMode="External"/><Relationship Id="rId52" Type="http://schemas.openxmlformats.org/officeDocument/2006/relationships/hyperlink" Target="https://www.gov.scot/publications/changes-renewables-obligation-scotland-scheme-consultation-changes-mutualisation-arrangements-address-electricity-supplier-payment-default-under-ro-s-sche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1.xml"/><Relationship Id="rId1" Type="http://schemas.microsoft.com/office/2011/relationships/chartStyle" Target="style21.xml"/></Relationships>
</file>

<file path=word/charts/_rels/chart31.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4.xml"/><Relationship Id="rId1" Type="http://schemas.microsoft.com/office/2011/relationships/chartStyle" Target="style24.xml"/></Relationships>
</file>

<file path=word/charts/_rels/chart34.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5.xml"/><Relationship Id="rId1" Type="http://schemas.microsoft.com/office/2011/relationships/chartStyle" Target="style25.xml"/></Relationships>
</file>

<file path=word/charts/_rels/chart35.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6.xml"/><Relationship Id="rId1" Type="http://schemas.microsoft.com/office/2011/relationships/chartStyle" Target="style26.xml"/></Relationships>
</file>

<file path=word/charts/_rels/chart36.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27.xml"/><Relationship Id="rId1" Type="http://schemas.microsoft.com/office/2011/relationships/chartStyle" Target="style27.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34.xml"/><Relationship Id="rId1" Type="http://schemas.microsoft.com/office/2011/relationships/chartStyle" Target="style34.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harepoint2013/es/Eserve/Policy_Hub_Lib/External%20Reporting/RO%20Annual%20Report/2020-21/03%20Draft%20Report/RO%20Annual%20Report%202020-21%20accompanying%20data%20v2.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47.xml"/><Relationship Id="rId1" Type="http://schemas.microsoft.com/office/2011/relationships/chartStyle" Target="style47.xml"/></Relationships>
</file>

<file path=word/charts/_rels/chart57.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48.xml"/><Relationship Id="rId1" Type="http://schemas.microsoft.com/office/2011/relationships/chartStyle" Target="style48.xml"/></Relationships>
</file>

<file path=word/charts/_rels/chart58.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49.xml"/><Relationship Id="rId1" Type="http://schemas.microsoft.com/office/2011/relationships/chartStyle" Target="style49.xml"/></Relationships>
</file>

<file path=word/charts/_rels/chart59.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51.xml"/><Relationship Id="rId1" Type="http://schemas.microsoft.com/office/2011/relationships/chartStyle" Target="style51.xml"/></Relationships>
</file>

<file path=word/charts/_rels/chart7.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arepoint2013/es/Eserve/Policy_Hub_Lib/External%20Reporting/RO%20Annual%20Report/2020-21/03%20Draft%20Report/RO%20Annual%20Report%202020-21%20accompanying%20data%20v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0178849452323"/>
          <c:y val="5.4856802991857412E-2"/>
          <c:w val="0.84005791245791228"/>
          <c:h val="0.64168975821787555"/>
        </c:manualLayout>
      </c:layout>
      <c:barChart>
        <c:barDir val="col"/>
        <c:grouping val="clustered"/>
        <c:varyColors val="0"/>
        <c:ser>
          <c:idx val="6"/>
          <c:order val="6"/>
          <c:tx>
            <c:strRef>
              <c:f>'Fig 2.1 &amp; 2.2'!$I$50</c:f>
              <c:strCache>
                <c:ptCount val="1"/>
                <c:pt idx="0">
                  <c:v>Annual ROCs issued</c:v>
                </c:pt>
              </c:strCache>
            </c:strRef>
          </c:tx>
          <c:spPr>
            <a:solidFill>
              <a:srgbClr val="91AE3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2.1 &amp; 2.2'!$I$51:$I$64</c:f>
              <c:numCache>
                <c:formatCode>_-* #,##0_-;\-* #,##0_-;_-* "-"??_-;_-@_-</c:formatCode>
                <c:ptCount val="14"/>
                <c:pt idx="0">
                  <c:v>16164420</c:v>
                </c:pt>
                <c:pt idx="1">
                  <c:v>19049754</c:v>
                </c:pt>
                <c:pt idx="2">
                  <c:v>21361759</c:v>
                </c:pt>
                <c:pt idx="3">
                  <c:v>24962401</c:v>
                </c:pt>
                <c:pt idx="4">
                  <c:v>34972637</c:v>
                </c:pt>
                <c:pt idx="5">
                  <c:v>44402579</c:v>
                </c:pt>
                <c:pt idx="6">
                  <c:v>63013713</c:v>
                </c:pt>
                <c:pt idx="7">
                  <c:v>71462555</c:v>
                </c:pt>
                <c:pt idx="8">
                  <c:v>90563678</c:v>
                </c:pt>
                <c:pt idx="9">
                  <c:v>86170351</c:v>
                </c:pt>
                <c:pt idx="10">
                  <c:v>100581303</c:v>
                </c:pt>
                <c:pt idx="11">
                  <c:v>105948003</c:v>
                </c:pt>
                <c:pt idx="12">
                  <c:v>114706958</c:v>
                </c:pt>
                <c:pt idx="13">
                  <c:v>109252882</c:v>
                </c:pt>
              </c:numCache>
            </c:numRef>
          </c:val>
          <c:extLst>
            <c:ext xmlns:c16="http://schemas.microsoft.com/office/drawing/2014/chart" uri="{C3380CC4-5D6E-409C-BE32-E72D297353CC}">
              <c16:uniqueId val="{00000003-5B6B-46D9-B7AB-A4F52568EA83}"/>
            </c:ext>
          </c:extLst>
        </c:ser>
        <c:dLbls>
          <c:showLegendKey val="0"/>
          <c:showVal val="0"/>
          <c:showCatName val="0"/>
          <c:showSerName val="0"/>
          <c:showPercent val="0"/>
          <c:showBubbleSize val="0"/>
        </c:dLbls>
        <c:gapWidth val="50"/>
        <c:axId val="991727256"/>
        <c:axId val="991722664"/>
        <c:extLst>
          <c:ext xmlns:c15="http://schemas.microsoft.com/office/drawing/2012/chart" uri="{02D57815-91ED-43cb-92C2-25804820EDAC}">
            <c15:filteredBarSeries>
              <c15:ser>
                <c:idx val="0"/>
                <c:order val="0"/>
                <c:tx>
                  <c:strRef>
                    <c:extLst>
                      <c:ext uri="{02D57815-91ED-43cb-92C2-25804820EDAC}">
                        <c15:formulaRef>
                          <c15:sqref>'Fig 2.1 &amp; 2.2'!$C$50</c15:sqref>
                        </c15:formulaRef>
                      </c:ext>
                    </c:extLst>
                    <c:strCache>
                      <c:ptCount val="1"/>
                      <c:pt idx="0">
                        <c:v>England</c:v>
                      </c:pt>
                    </c:strCache>
                  </c:strRef>
                </c:tx>
                <c:spPr>
                  <a:solidFill>
                    <a:srgbClr val="079448"/>
                  </a:solidFill>
                  <a:ln>
                    <a:noFill/>
                  </a:ln>
                  <a:effectLst/>
                </c:spPr>
                <c:invertIfNegative val="0"/>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2.2'!$C$51:$C$64</c15:sqref>
                        </c15:formulaRef>
                      </c:ext>
                    </c:extLst>
                    <c:numCache>
                      <c:formatCode>_-* #,##0_-;\-* #,##0_-;_-* "-"??_-;_-@_-</c:formatCode>
                      <c:ptCount val="14"/>
                      <c:pt idx="0">
                        <c:v>8573690</c:v>
                      </c:pt>
                      <c:pt idx="1">
                        <c:v>10174435</c:v>
                      </c:pt>
                      <c:pt idx="2">
                        <c:v>11091849</c:v>
                      </c:pt>
                      <c:pt idx="3">
                        <c:v>13487804</c:v>
                      </c:pt>
                      <c:pt idx="4">
                        <c:v>18602423</c:v>
                      </c:pt>
                      <c:pt idx="5">
                        <c:v>28567045</c:v>
                      </c:pt>
                      <c:pt idx="6">
                        <c:v>41509011</c:v>
                      </c:pt>
                      <c:pt idx="7">
                        <c:v>48996897</c:v>
                      </c:pt>
                      <c:pt idx="8">
                        <c:v>63595494</c:v>
                      </c:pt>
                      <c:pt idx="9">
                        <c:v>59162570</c:v>
                      </c:pt>
                      <c:pt idx="10">
                        <c:v>65336694</c:v>
                      </c:pt>
                      <c:pt idx="11">
                        <c:v>69094995</c:v>
                      </c:pt>
                      <c:pt idx="12">
                        <c:v>74550247</c:v>
                      </c:pt>
                      <c:pt idx="13">
                        <c:v>72558007</c:v>
                      </c:pt>
                    </c:numCache>
                  </c:numRef>
                </c:val>
                <c:extLst>
                  <c:ext xmlns:c16="http://schemas.microsoft.com/office/drawing/2014/chart" uri="{C3380CC4-5D6E-409C-BE32-E72D297353CC}">
                    <c16:uniqueId val="{00000006-5B6B-46D9-B7AB-A4F52568EA8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'Fig 2.1 &amp; 2.2'!$D$50</c15:sqref>
                        </c15:formulaRef>
                      </c:ext>
                    </c:extLst>
                    <c:strCache>
                      <c:ptCount val="1"/>
                      <c:pt idx="0">
                        <c:v>Scotland</c:v>
                      </c:pt>
                    </c:strCache>
                  </c:strRef>
                </c:tx>
                <c:spPr>
                  <a:pattFill prst="pct90">
                    <a:fgClr>
                      <a:srgbClr val="2363AF"/>
                    </a:fgClr>
                    <a:bgClr>
                      <a:schemeClr val="bg1"/>
                    </a:bgClr>
                  </a:pattFill>
                  <a:ln>
                    <a:noFill/>
                  </a:ln>
                  <a:effectLst/>
                </c:spPr>
                <c:invertIfNegative val="0"/>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2.2'!$D$51:$D$64</c15:sqref>
                        </c15:formulaRef>
                      </c:ext>
                    </c:extLst>
                    <c:numCache>
                      <c:formatCode>_-* #,##0_-;\-* #,##0_-;_-* "-"??_-;_-@_-</c:formatCode>
                      <c:ptCount val="14"/>
                      <c:pt idx="0">
                        <c:v>5806454</c:v>
                      </c:pt>
                      <c:pt idx="1">
                        <c:v>6824674</c:v>
                      </c:pt>
                      <c:pt idx="2">
                        <c:v>7739201</c:v>
                      </c:pt>
                      <c:pt idx="3">
                        <c:v>8868936</c:v>
                      </c:pt>
                      <c:pt idx="4">
                        <c:v>12772905</c:v>
                      </c:pt>
                      <c:pt idx="5">
                        <c:v>12384987</c:v>
                      </c:pt>
                      <c:pt idx="6">
                        <c:v>17046916</c:v>
                      </c:pt>
                      <c:pt idx="7">
                        <c:v>16466006</c:v>
                      </c:pt>
                      <c:pt idx="8">
                        <c:v>17437039</c:v>
                      </c:pt>
                      <c:pt idx="9">
                        <c:v>17029872</c:v>
                      </c:pt>
                      <c:pt idx="10">
                        <c:v>21838223</c:v>
                      </c:pt>
                      <c:pt idx="11">
                        <c:v>23530224</c:v>
                      </c:pt>
                      <c:pt idx="12">
                        <c:v>25208643</c:v>
                      </c:pt>
                      <c:pt idx="13">
                        <c:v>22573854</c:v>
                      </c:pt>
                    </c:numCache>
                  </c:numRef>
                </c:val>
                <c:extLst xmlns:c15="http://schemas.microsoft.com/office/drawing/2012/chart">
                  <c:ext xmlns:c16="http://schemas.microsoft.com/office/drawing/2014/chart" uri="{C3380CC4-5D6E-409C-BE32-E72D297353CC}">
                    <c16:uniqueId val="{00000007-5B6B-46D9-B7AB-A4F52568EA8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 2.1 &amp; 2.2'!$E$50</c15:sqref>
                        </c15:formulaRef>
                      </c:ext>
                    </c:extLst>
                    <c:strCache>
                      <c:ptCount val="1"/>
                      <c:pt idx="0">
                        <c:v>Wales</c:v>
                      </c:pt>
                    </c:strCache>
                  </c:strRef>
                </c:tx>
                <c:spPr>
                  <a:pattFill prst="pct80">
                    <a:fgClr>
                      <a:srgbClr val="CD1F45"/>
                    </a:fgClr>
                    <a:bgClr>
                      <a:schemeClr val="bg1"/>
                    </a:bgClr>
                  </a:pattFill>
                  <a:ln>
                    <a:noFill/>
                  </a:ln>
                  <a:effectLst/>
                </c:spPr>
                <c:invertIfNegative val="0"/>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2.2'!$E$51:$E$64</c15:sqref>
                        </c15:formulaRef>
                      </c:ext>
                    </c:extLst>
                    <c:numCache>
                      <c:formatCode>_-* #,##0_-;\-* #,##0_-;_-* "-"??_-;_-@_-</c:formatCode>
                      <c:ptCount val="14"/>
                      <c:pt idx="0">
                        <c:v>1353224</c:v>
                      </c:pt>
                      <c:pt idx="1">
                        <c:v>1429788</c:v>
                      </c:pt>
                      <c:pt idx="2">
                        <c:v>1730347</c:v>
                      </c:pt>
                      <c:pt idx="3">
                        <c:v>1817838</c:v>
                      </c:pt>
                      <c:pt idx="4">
                        <c:v>2352685</c:v>
                      </c:pt>
                      <c:pt idx="5">
                        <c:v>2203328</c:v>
                      </c:pt>
                      <c:pt idx="6">
                        <c:v>2596267</c:v>
                      </c:pt>
                      <c:pt idx="7">
                        <c:v>3847685</c:v>
                      </c:pt>
                      <c:pt idx="8">
                        <c:v>6506156</c:v>
                      </c:pt>
                      <c:pt idx="9">
                        <c:v>6432021</c:v>
                      </c:pt>
                      <c:pt idx="10">
                        <c:v>8373083</c:v>
                      </c:pt>
                      <c:pt idx="11">
                        <c:v>7606217</c:v>
                      </c:pt>
                      <c:pt idx="12">
                        <c:v>8799234</c:v>
                      </c:pt>
                      <c:pt idx="13">
                        <c:v>8140214</c:v>
                      </c:pt>
                    </c:numCache>
                  </c:numRef>
                </c:val>
                <c:extLst xmlns:c15="http://schemas.microsoft.com/office/drawing/2012/chart">
                  <c:ext xmlns:c16="http://schemas.microsoft.com/office/drawing/2014/chart" uri="{C3380CC4-5D6E-409C-BE32-E72D297353CC}">
                    <c16:uniqueId val="{00000008-5B6B-46D9-B7AB-A4F52568EA8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'Fig 2.1 &amp; 2.2'!$F$50</c15:sqref>
                        </c15:formulaRef>
                      </c:ext>
                    </c:extLst>
                    <c:strCache>
                      <c:ptCount val="1"/>
                      <c:pt idx="0">
                        <c:v>Northern Ireland</c:v>
                      </c:pt>
                    </c:strCache>
                  </c:strRef>
                </c:tx>
                <c:spPr>
                  <a:pattFill prst="pct20">
                    <a:fgClr>
                      <a:srgbClr val="FFFFFF"/>
                    </a:fgClr>
                    <a:bgClr>
                      <a:srgbClr val="9E712A"/>
                    </a:bgClr>
                  </a:pattFill>
                  <a:ln>
                    <a:noFill/>
                  </a:ln>
                  <a:effectLst/>
                </c:spPr>
                <c:invertIfNegative val="0"/>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2.2'!$F$51:$F$64</c15:sqref>
                        </c15:formulaRef>
                      </c:ext>
                    </c:extLst>
                    <c:numCache>
                      <c:formatCode>_-* #,##0_-;\-* #,##0_-;_-* "-"??_-;_-@_-</c:formatCode>
                      <c:ptCount val="14"/>
                      <c:pt idx="0">
                        <c:v>431052</c:v>
                      </c:pt>
                      <c:pt idx="1">
                        <c:v>620857</c:v>
                      </c:pt>
                      <c:pt idx="2">
                        <c:v>800362</c:v>
                      </c:pt>
                      <c:pt idx="3">
                        <c:v>787823</c:v>
                      </c:pt>
                      <c:pt idx="4">
                        <c:v>1244624</c:v>
                      </c:pt>
                      <c:pt idx="5">
                        <c:v>1247219</c:v>
                      </c:pt>
                      <c:pt idx="6">
                        <c:v>1861519</c:v>
                      </c:pt>
                      <c:pt idx="7">
                        <c:v>2151967</c:v>
                      </c:pt>
                      <c:pt idx="8">
                        <c:v>3024989</c:v>
                      </c:pt>
                      <c:pt idx="9">
                        <c:v>3545888</c:v>
                      </c:pt>
                      <c:pt idx="10">
                        <c:v>5033303</c:v>
                      </c:pt>
                      <c:pt idx="11">
                        <c:v>5716567</c:v>
                      </c:pt>
                      <c:pt idx="12">
                        <c:v>6148834</c:v>
                      </c:pt>
                      <c:pt idx="13">
                        <c:v>5980807</c:v>
                      </c:pt>
                    </c:numCache>
                  </c:numRef>
                </c:val>
                <c:extLst xmlns:c15="http://schemas.microsoft.com/office/drawing/2012/chart">
                  <c:ext xmlns:c16="http://schemas.microsoft.com/office/drawing/2014/chart" uri="{C3380CC4-5D6E-409C-BE32-E72D297353CC}">
                    <c16:uniqueId val="{00000009-5B6B-46D9-B7AB-A4F52568EA83}"/>
                  </c:ext>
                </c:extLst>
              </c15:ser>
            </c15:filteredBarSeries>
          </c:ext>
        </c:extLst>
      </c:barChart>
      <c:lineChart>
        <c:grouping val="standard"/>
        <c:varyColors val="0"/>
        <c:ser>
          <c:idx val="4"/>
          <c:order val="4"/>
          <c:tx>
            <c:strRef>
              <c:f>'Fig 2.1 &amp; 2.2'!$G$50</c:f>
              <c:strCache>
                <c:ptCount val="1"/>
                <c:pt idx="0">
                  <c:v>RO generation (TWh)</c:v>
                </c:pt>
              </c:strCache>
            </c:strRef>
          </c:tx>
          <c:spPr>
            <a:ln w="28575" cap="rnd">
              <a:solidFill>
                <a:srgbClr val="CD1F45"/>
              </a:solidFill>
              <a:round/>
            </a:ln>
            <a:effectLst/>
          </c:spPr>
          <c:marker>
            <c:symbol val="none"/>
          </c:marker>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2.1 &amp; 2.2'!$G$51:$G$64</c:f>
              <c:numCache>
                <c:formatCode>_-* #,##0_-;\-* #,##0_-;_-* "-"??_-;_-@_-</c:formatCode>
                <c:ptCount val="14"/>
                <c:pt idx="0">
                  <c:v>16164420</c:v>
                </c:pt>
                <c:pt idx="1">
                  <c:v>19049754</c:v>
                </c:pt>
                <c:pt idx="2">
                  <c:v>20466190.999997403</c:v>
                </c:pt>
                <c:pt idx="3">
                  <c:v>23289739.416663691</c:v>
                </c:pt>
                <c:pt idx="4">
                  <c:v>31266240.899996206</c:v>
                </c:pt>
                <c:pt idx="5">
                  <c:v>35098127.783327565</c:v>
                </c:pt>
                <c:pt idx="6">
                  <c:v>49733554.545935087</c:v>
                </c:pt>
                <c:pt idx="7">
                  <c:v>55877518.95800291</c:v>
                </c:pt>
                <c:pt idx="8">
                  <c:v>69180692.447682679</c:v>
                </c:pt>
                <c:pt idx="9">
                  <c:v>65232940.377441831</c:v>
                </c:pt>
                <c:pt idx="10">
                  <c:v>75161322.997715786</c:v>
                </c:pt>
                <c:pt idx="11">
                  <c:v>79102225.020451128</c:v>
                </c:pt>
                <c:pt idx="12">
                  <c:v>84920897.264358833</c:v>
                </c:pt>
                <c:pt idx="13">
                  <c:v>80348926.404663816</c:v>
                </c:pt>
              </c:numCache>
            </c:numRef>
          </c:val>
          <c:smooth val="0"/>
          <c:extLst>
            <c:ext xmlns:c16="http://schemas.microsoft.com/office/drawing/2014/chart" uri="{C3380CC4-5D6E-409C-BE32-E72D297353CC}">
              <c16:uniqueId val="{00000004-5B6B-46D9-B7AB-A4F52568EA83}"/>
            </c:ext>
          </c:extLst>
        </c:ser>
        <c:dLbls>
          <c:showLegendKey val="0"/>
          <c:showVal val="0"/>
          <c:showCatName val="0"/>
          <c:showSerName val="0"/>
          <c:showPercent val="0"/>
          <c:showBubbleSize val="0"/>
        </c:dLbls>
        <c:marker val="1"/>
        <c:smooth val="0"/>
        <c:axId val="991727256"/>
        <c:axId val="991722664"/>
      </c:lineChart>
      <c:scatterChart>
        <c:scatterStyle val="lineMarker"/>
        <c:varyColors val="0"/>
        <c:ser>
          <c:idx val="5"/>
          <c:order val="5"/>
          <c:tx>
            <c:strRef>
              <c:f>'Fig 2.1 &amp; 2.2'!$H$50</c:f>
              <c:strCache>
                <c:ptCount val="1"/>
                <c:pt idx="0">
                  <c:v>UK obligation (ROCs)</c:v>
                </c:pt>
              </c:strCache>
            </c:strRef>
          </c:tx>
          <c:spPr>
            <a:ln w="25400" cap="rnd">
              <a:noFill/>
              <a:round/>
            </a:ln>
            <a:effectLst/>
          </c:spPr>
          <c:marker>
            <c:symbol val="dash"/>
            <c:size val="13"/>
            <c:spPr>
              <a:solidFill>
                <a:schemeClr val="tx1"/>
              </a:solidFill>
              <a:ln w="9525">
                <a:noFill/>
              </a:ln>
              <a:effectLst/>
            </c:spPr>
          </c:marker>
          <c:dLbls>
            <c:dLbl>
              <c:idx val="9"/>
              <c:layout>
                <c:manualLayout>
                  <c:x val="-4.3909524797675792E-2"/>
                  <c:y val="-3.4557575837982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D-4528-A562-4883BA79E0B3}"/>
                </c:ext>
              </c:extLst>
            </c:dLbl>
            <c:dLbl>
              <c:idx val="10"/>
              <c:layout>
                <c:manualLayout>
                  <c:x val="-4.3909524797675868E-2"/>
                  <c:y val="-3.1187735905379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D-4528-A562-4883BA79E0B3}"/>
                </c:ext>
              </c:extLst>
            </c:dLbl>
            <c:dLbl>
              <c:idx val="11"/>
              <c:layout>
                <c:manualLayout>
                  <c:x val="-4.3909524797676021E-2"/>
                  <c:y val="-3.4557575837982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D-4528-A562-4883BA79E0B3}"/>
                </c:ext>
              </c:extLst>
            </c:dLbl>
            <c:dLbl>
              <c:idx val="12"/>
              <c:layout>
                <c:manualLayout>
                  <c:x val="-4.3909524797675868E-2"/>
                  <c:y val="-3.455757583798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D-4528-A562-4883BA79E0B3}"/>
                </c:ext>
              </c:extLst>
            </c:dLbl>
            <c:dLbl>
              <c:idx val="13"/>
              <c:layout>
                <c:manualLayout>
                  <c:x val="-4.3909524797676021E-2"/>
                  <c:y val="-3.7927415770585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D-4528-A562-4883BA79E0B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xVal>
          <c:yVal>
            <c:numRef>
              <c:f>'Fig 2.1 &amp; 2.2'!$H$51:$H$64</c:f>
              <c:numCache>
                <c:formatCode>_-* #,##0_-;\-* #,##0_-;_-* "-"??_-;_-@_-</c:formatCode>
                <c:ptCount val="14"/>
                <c:pt idx="0">
                  <c:v>25551357</c:v>
                </c:pt>
                <c:pt idx="1">
                  <c:v>28975678</c:v>
                </c:pt>
                <c:pt idx="2">
                  <c:v>30101092</c:v>
                </c:pt>
                <c:pt idx="3">
                  <c:v>34749941</c:v>
                </c:pt>
                <c:pt idx="4">
                  <c:v>37676829</c:v>
                </c:pt>
                <c:pt idx="5">
                  <c:v>48915432</c:v>
                </c:pt>
                <c:pt idx="6">
                  <c:v>61858174</c:v>
                </c:pt>
                <c:pt idx="7">
                  <c:v>71922000</c:v>
                </c:pt>
                <c:pt idx="8">
                  <c:v>84439465</c:v>
                </c:pt>
                <c:pt idx="9">
                  <c:v>100748885</c:v>
                </c:pt>
                <c:pt idx="10">
                  <c:v>117842123</c:v>
                </c:pt>
                <c:pt idx="11">
                  <c:v>127623995</c:v>
                </c:pt>
                <c:pt idx="12">
                  <c:v>130183968</c:v>
                </c:pt>
                <c:pt idx="13">
                  <c:v>119090744</c:v>
                </c:pt>
              </c:numCache>
            </c:numRef>
          </c:yVal>
          <c:smooth val="0"/>
          <c:extLst>
            <c:ext xmlns:c16="http://schemas.microsoft.com/office/drawing/2014/chart" uri="{C3380CC4-5D6E-409C-BE32-E72D297353CC}">
              <c16:uniqueId val="{00000005-5B6B-46D9-B7AB-A4F52568EA83}"/>
            </c:ext>
          </c:extLst>
        </c:ser>
        <c:dLbls>
          <c:showLegendKey val="0"/>
          <c:showVal val="0"/>
          <c:showCatName val="0"/>
          <c:showSerName val="0"/>
          <c:showPercent val="0"/>
          <c:showBubbleSize val="0"/>
        </c:dLbls>
        <c:axId val="991727256"/>
        <c:axId val="991722664"/>
      </c:scatterChart>
      <c:catAx>
        <c:axId val="991727256"/>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2664"/>
        <c:crosses val="autoZero"/>
        <c:auto val="1"/>
        <c:lblAlgn val="ctr"/>
        <c:lblOffset val="100"/>
        <c:noMultiLvlLbl val="0"/>
      </c:catAx>
      <c:valAx>
        <c:axId val="99172266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a:t>ROCs Issued (Millions) </a:t>
                </a:r>
              </a:p>
              <a:p>
                <a:pPr>
                  <a:defRPr/>
                </a:pPr>
                <a:r>
                  <a:rPr lang="en-US"/>
                  <a:t>or RO Generation (TWh)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7256"/>
        <c:crosses val="autoZero"/>
        <c:crossBetween val="between"/>
        <c:dispUnits>
          <c:builtInUnit val="millions"/>
        </c:dispUnits>
      </c:valAx>
      <c:spPr>
        <a:noFill/>
        <a:ln>
          <a:noFill/>
        </a:ln>
        <a:effectLst/>
      </c:spPr>
    </c:plotArea>
    <c:legend>
      <c:legendPos val="b"/>
      <c:layout>
        <c:manualLayout>
          <c:xMode val="edge"/>
          <c:yMode val="edge"/>
          <c:x val="0.13093960626010301"/>
          <c:y val="0.88973780068966957"/>
          <c:w val="0.86906037882268516"/>
          <c:h val="6.0213643079867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862279629096004"/>
          <c:y val="7.1632665235027454E-2"/>
          <c:w val="0.86851765217187826"/>
          <c:h val="0.58830887616320682"/>
        </c:manualLayout>
      </c:layout>
      <c:barChart>
        <c:barDir val="col"/>
        <c:grouping val="stacked"/>
        <c:varyColors val="0"/>
        <c:ser>
          <c:idx val="0"/>
          <c:order val="0"/>
          <c:tx>
            <c:strRef>
              <c:f>'Fig 2.4'!$I$40</c:f>
              <c:strCache>
                <c:ptCount val="1"/>
                <c:pt idx="0">
                  <c:v>Solar PV</c:v>
                </c:pt>
              </c:strCache>
            </c:strRef>
          </c:tx>
          <c:spPr>
            <a:solidFill>
              <a:srgbClr val="91AE3C"/>
            </a:solidFill>
            <a:ln w="3175">
              <a:solidFill>
                <a:schemeClr val="tx1"/>
              </a:solidFill>
            </a:ln>
            <a:effectLst/>
          </c:spPr>
          <c:invertIfNegative val="0"/>
          <c:dLbls>
            <c:dLbl>
              <c:idx val="0"/>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74C3-421B-BB11-E2637EC9258E}"/>
                </c:ext>
              </c:extLst>
            </c:dLbl>
            <c:dLbl>
              <c:idx val="1"/>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74C3-421B-BB11-E2637EC9258E}"/>
                </c:ext>
              </c:extLst>
            </c:dLbl>
            <c:dLbl>
              <c:idx val="2"/>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2-74C3-421B-BB11-E2637EC9258E}"/>
                </c:ext>
              </c:extLst>
            </c:dLbl>
            <c:dLbl>
              <c:idx val="3"/>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74C3-421B-BB11-E2637EC9258E}"/>
                </c:ext>
              </c:extLst>
            </c:dLbl>
            <c:dLbl>
              <c:idx val="4"/>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4-74C3-421B-BB11-E2637EC9258E}"/>
                </c:ext>
              </c:extLst>
            </c:dLbl>
            <c:dLbl>
              <c:idx val="5"/>
              <c:numFmt formatCode="#,##0.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5-74C3-421B-BB11-E2637EC9258E}"/>
                </c:ext>
              </c:extLst>
            </c:dLbl>
            <c:dLbl>
              <c:idx val="6"/>
              <c:layout>
                <c:manualLayout>
                  <c:x val="0"/>
                  <c:y val="-8.04856904906118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C3-421B-BB11-E2637EC9258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2.4'!$I$41:$I$54</c:f>
              <c:numCache>
                <c:formatCode>_-* #,##0_-;\-* #,##0_-;_-* "-"??_-;_-@_-</c:formatCode>
                <c:ptCount val="14"/>
                <c:pt idx="0">
                  <c:v>1476</c:v>
                </c:pt>
                <c:pt idx="1">
                  <c:v>3247</c:v>
                </c:pt>
                <c:pt idx="2">
                  <c:v>11281</c:v>
                </c:pt>
                <c:pt idx="3">
                  <c:v>2480</c:v>
                </c:pt>
                <c:pt idx="4">
                  <c:v>4975</c:v>
                </c:pt>
                <c:pt idx="5">
                  <c:v>24771</c:v>
                </c:pt>
                <c:pt idx="6">
                  <c:v>884279</c:v>
                </c:pt>
                <c:pt idx="7">
                  <c:v>3225714</c:v>
                </c:pt>
                <c:pt idx="8">
                  <c:v>7118558</c:v>
                </c:pt>
                <c:pt idx="9">
                  <c:v>8652272</c:v>
                </c:pt>
                <c:pt idx="10">
                  <c:v>9599896</c:v>
                </c:pt>
                <c:pt idx="11">
                  <c:v>10505273</c:v>
                </c:pt>
                <c:pt idx="12">
                  <c:v>10151083</c:v>
                </c:pt>
                <c:pt idx="13">
                  <c:v>10125690</c:v>
                </c:pt>
              </c:numCache>
            </c:numRef>
          </c:val>
          <c:extLst>
            <c:ext xmlns:c16="http://schemas.microsoft.com/office/drawing/2014/chart" uri="{C3380CC4-5D6E-409C-BE32-E72D297353CC}">
              <c16:uniqueId val="{00000007-74C3-421B-BB11-E2637EC9258E}"/>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 issued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862279629096004"/>
          <c:y val="6.5381017316969464E-2"/>
          <c:w val="0.86851765217187826"/>
          <c:h val="0.59295590844440538"/>
        </c:manualLayout>
      </c:layout>
      <c:barChart>
        <c:barDir val="col"/>
        <c:grouping val="stacked"/>
        <c:varyColors val="0"/>
        <c:ser>
          <c:idx val="0"/>
          <c:order val="0"/>
          <c:tx>
            <c:strRef>
              <c:f>'Fig 2.4'!$E$40</c:f>
              <c:strCache>
                <c:ptCount val="1"/>
                <c:pt idx="0">
                  <c:v>Landfill gas</c:v>
                </c:pt>
              </c:strCache>
            </c:strRef>
          </c:tx>
          <c:spPr>
            <a:solidFill>
              <a:srgbClr val="91AE3C"/>
            </a:solidFill>
            <a:ln w="3175">
              <a:solidFill>
                <a:schemeClr val="tx1"/>
              </a:solid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2.4'!$E$41:$E$54</c:f>
              <c:numCache>
                <c:formatCode>_-* #,##0_-;\-* #,##0_-;_-* "-"??_-;_-@_-</c:formatCode>
                <c:ptCount val="14"/>
                <c:pt idx="0">
                  <c:v>4553288</c:v>
                </c:pt>
                <c:pt idx="1">
                  <c:v>4703307</c:v>
                </c:pt>
                <c:pt idx="2">
                  <c:v>4934223</c:v>
                </c:pt>
                <c:pt idx="3">
                  <c:v>4996378</c:v>
                </c:pt>
                <c:pt idx="4">
                  <c:v>5017120</c:v>
                </c:pt>
                <c:pt idx="5">
                  <c:v>4944666</c:v>
                </c:pt>
                <c:pt idx="6">
                  <c:v>4818880</c:v>
                </c:pt>
                <c:pt idx="7">
                  <c:v>4661678</c:v>
                </c:pt>
                <c:pt idx="8">
                  <c:v>4379478</c:v>
                </c:pt>
                <c:pt idx="9">
                  <c:v>4021131</c:v>
                </c:pt>
                <c:pt idx="10">
                  <c:v>3633155</c:v>
                </c:pt>
                <c:pt idx="11">
                  <c:v>3325824</c:v>
                </c:pt>
                <c:pt idx="12">
                  <c:v>3082557</c:v>
                </c:pt>
                <c:pt idx="13">
                  <c:v>2932496</c:v>
                </c:pt>
              </c:numCache>
            </c:numRef>
          </c:val>
          <c:extLst>
            <c:ext xmlns:c16="http://schemas.microsoft.com/office/drawing/2014/chart" uri="{C3380CC4-5D6E-409C-BE32-E72D297353CC}">
              <c16:uniqueId val="{00000000-C8A8-4D29-AFFD-E362D27C5DF4}"/>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a:t>
                </a:r>
                <a:r>
                  <a:rPr lang="en-GB" sz="1000" b="0" baseline="0"/>
                  <a:t> issued (millions)</a:t>
                </a:r>
                <a:endParaRPr lang="en-GB" sz="1000" b="0"/>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majorUnit val="1000000"/>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862279629096004"/>
          <c:y val="3.9914045831990298E-2"/>
          <c:w val="0.86851765217187826"/>
          <c:h val="0.61043053828797711"/>
        </c:manualLayout>
      </c:layout>
      <c:barChart>
        <c:barDir val="col"/>
        <c:grouping val="stacked"/>
        <c:varyColors val="0"/>
        <c:ser>
          <c:idx val="0"/>
          <c:order val="0"/>
          <c:tx>
            <c:strRef>
              <c:f>'Fig 2.4'!$D$40</c:f>
              <c:strCache>
                <c:ptCount val="1"/>
                <c:pt idx="0">
                  <c:v>Hydro</c:v>
                </c:pt>
              </c:strCache>
            </c:strRef>
          </c:tx>
          <c:spPr>
            <a:solidFill>
              <a:srgbClr val="91AE3C"/>
            </a:solidFill>
            <a:ln w="3175">
              <a:solidFill>
                <a:schemeClr val="tx1"/>
              </a:solid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2.4'!$D$41:$D$54</c:f>
              <c:numCache>
                <c:formatCode>_-* #,##0_-;\-* #,##0_-;_-* "-"??_-;_-@_-</c:formatCode>
                <c:ptCount val="14"/>
                <c:pt idx="0">
                  <c:v>2443053</c:v>
                </c:pt>
                <c:pt idx="1">
                  <c:v>2305335</c:v>
                </c:pt>
                <c:pt idx="2">
                  <c:v>2125714</c:v>
                </c:pt>
                <c:pt idx="3">
                  <c:v>1857531</c:v>
                </c:pt>
                <c:pt idx="4">
                  <c:v>2721629</c:v>
                </c:pt>
                <c:pt idx="5">
                  <c:v>2207458</c:v>
                </c:pt>
                <c:pt idx="6">
                  <c:v>2568740</c:v>
                </c:pt>
                <c:pt idx="7">
                  <c:v>2560632</c:v>
                </c:pt>
                <c:pt idx="8">
                  <c:v>2796844</c:v>
                </c:pt>
                <c:pt idx="9">
                  <c:v>2248243</c:v>
                </c:pt>
                <c:pt idx="10">
                  <c:v>2363996</c:v>
                </c:pt>
                <c:pt idx="11">
                  <c:v>2381815</c:v>
                </c:pt>
                <c:pt idx="12">
                  <c:v>2657993</c:v>
                </c:pt>
                <c:pt idx="13">
                  <c:v>2610584</c:v>
                </c:pt>
              </c:numCache>
            </c:numRef>
          </c:val>
          <c:extLst>
            <c:ext xmlns:c16="http://schemas.microsoft.com/office/drawing/2014/chart" uri="{C3380CC4-5D6E-409C-BE32-E72D297353CC}">
              <c16:uniqueId val="{00000000-D99F-47BC-BEFD-ABF1FA0E83F3}"/>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 issued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majorUnit val="1000000"/>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105476325948766"/>
          <c:y val="6.9673003581734602E-2"/>
          <c:w val="0.85608575151882238"/>
          <c:h val="0.57653398297588487"/>
        </c:manualLayout>
      </c:layout>
      <c:barChart>
        <c:barDir val="col"/>
        <c:grouping val="stacked"/>
        <c:varyColors val="0"/>
        <c:ser>
          <c:idx val="0"/>
          <c:order val="0"/>
          <c:tx>
            <c:strRef>
              <c:f>'Fig 2.4'!$H$40</c:f>
              <c:strCache>
                <c:ptCount val="1"/>
                <c:pt idx="0">
                  <c:v>Sewage gas</c:v>
                </c:pt>
              </c:strCache>
            </c:strRef>
          </c:tx>
          <c:spPr>
            <a:solidFill>
              <a:srgbClr val="91AE3C"/>
            </a:solidFill>
            <a:ln w="3175">
              <a:solidFill>
                <a:schemeClr val="tx1"/>
              </a:solid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2.4'!$H$41:$H$54</c:f>
              <c:numCache>
                <c:formatCode>_-* #,##0_-;\-* #,##0_-;_-* "-"??_-;_-@_-</c:formatCode>
                <c:ptCount val="14"/>
                <c:pt idx="0">
                  <c:v>349820</c:v>
                </c:pt>
                <c:pt idx="1">
                  <c:v>412370</c:v>
                </c:pt>
                <c:pt idx="2">
                  <c:v>458015</c:v>
                </c:pt>
                <c:pt idx="3">
                  <c:v>518453</c:v>
                </c:pt>
                <c:pt idx="4">
                  <c:v>567965</c:v>
                </c:pt>
                <c:pt idx="5">
                  <c:v>540408</c:v>
                </c:pt>
                <c:pt idx="6">
                  <c:v>590949</c:v>
                </c:pt>
                <c:pt idx="7">
                  <c:v>656703</c:v>
                </c:pt>
                <c:pt idx="8">
                  <c:v>663653</c:v>
                </c:pt>
                <c:pt idx="9">
                  <c:v>670492</c:v>
                </c:pt>
                <c:pt idx="10">
                  <c:v>693994</c:v>
                </c:pt>
                <c:pt idx="11">
                  <c:v>661318</c:v>
                </c:pt>
                <c:pt idx="12">
                  <c:v>715493</c:v>
                </c:pt>
                <c:pt idx="13">
                  <c:v>704937</c:v>
                </c:pt>
              </c:numCache>
            </c:numRef>
          </c:val>
          <c:extLst>
            <c:ext xmlns:c16="http://schemas.microsoft.com/office/drawing/2014/chart" uri="{C3380CC4-5D6E-409C-BE32-E72D297353CC}">
              <c16:uniqueId val="{00000000-1CC8-418E-BB65-704070FD1002}"/>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 issued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majorUnit val="100000"/>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62230418816904E-2"/>
          <c:y val="1.5462962962962961E-2"/>
          <c:w val="0.73089316529405512"/>
          <c:h val="0.93883597883597891"/>
        </c:manualLayout>
      </c:layout>
      <c:ofPieChart>
        <c:ofPieType val="pie"/>
        <c:varyColors val="1"/>
        <c:ser>
          <c:idx val="0"/>
          <c:order val="0"/>
          <c:spPr>
            <a:solidFill>
              <a:srgbClr val="2363AF"/>
            </a:solidFill>
          </c:spPr>
          <c:dPt>
            <c:idx val="0"/>
            <c:bubble3D val="0"/>
            <c:spPr>
              <a:solidFill>
                <a:srgbClr val="E86E1E"/>
              </a:solidFill>
              <a:ln w="19050">
                <a:solidFill>
                  <a:schemeClr val="lt1"/>
                </a:solidFill>
              </a:ln>
              <a:effectLst/>
            </c:spPr>
            <c:extLst>
              <c:ext xmlns:c16="http://schemas.microsoft.com/office/drawing/2014/chart" uri="{C3380CC4-5D6E-409C-BE32-E72D297353CC}">
                <c16:uniqueId val="{00000001-A428-4906-881D-FBF0B40ACC2C}"/>
              </c:ext>
            </c:extLst>
          </c:dPt>
          <c:dPt>
            <c:idx val="1"/>
            <c:bubble3D val="0"/>
            <c:spPr>
              <a:solidFill>
                <a:srgbClr val="2363AF"/>
              </a:solidFill>
              <a:ln w="19050">
                <a:solidFill>
                  <a:schemeClr val="lt1"/>
                </a:solidFill>
              </a:ln>
              <a:effectLst/>
            </c:spPr>
            <c:extLst>
              <c:ext xmlns:c16="http://schemas.microsoft.com/office/drawing/2014/chart" uri="{C3380CC4-5D6E-409C-BE32-E72D297353CC}">
                <c16:uniqueId val="{00000003-A428-4906-881D-FBF0B40ACC2C}"/>
              </c:ext>
            </c:extLst>
          </c:dPt>
          <c:dPt>
            <c:idx val="2"/>
            <c:bubble3D val="0"/>
            <c:spPr>
              <a:solidFill>
                <a:srgbClr val="079448"/>
              </a:solidFill>
              <a:ln w="19050">
                <a:solidFill>
                  <a:schemeClr val="lt1"/>
                </a:solidFill>
              </a:ln>
              <a:effectLst/>
            </c:spPr>
            <c:extLst>
              <c:ext xmlns:c16="http://schemas.microsoft.com/office/drawing/2014/chart" uri="{C3380CC4-5D6E-409C-BE32-E72D297353CC}">
                <c16:uniqueId val="{00000005-A428-4906-881D-FBF0B40ACC2C}"/>
              </c:ext>
            </c:extLst>
          </c:dPt>
          <c:dPt>
            <c:idx val="3"/>
            <c:bubble3D val="0"/>
            <c:spPr>
              <a:solidFill>
                <a:srgbClr val="E2C700"/>
              </a:solidFill>
              <a:ln w="19050">
                <a:solidFill>
                  <a:schemeClr val="lt1"/>
                </a:solidFill>
              </a:ln>
              <a:effectLst/>
            </c:spPr>
            <c:extLst>
              <c:ext xmlns:c16="http://schemas.microsoft.com/office/drawing/2014/chart" uri="{C3380CC4-5D6E-409C-BE32-E72D297353CC}">
                <c16:uniqueId val="{00000007-A428-4906-881D-FBF0B40ACC2C}"/>
              </c:ext>
            </c:extLst>
          </c:dPt>
          <c:dPt>
            <c:idx val="4"/>
            <c:bubble3D val="0"/>
            <c:spPr>
              <a:solidFill>
                <a:srgbClr val="A1ABB2"/>
              </a:solidFill>
              <a:ln w="19050">
                <a:solidFill>
                  <a:schemeClr val="lt1"/>
                </a:solidFill>
              </a:ln>
              <a:effectLst/>
            </c:spPr>
            <c:extLst>
              <c:ext xmlns:c16="http://schemas.microsoft.com/office/drawing/2014/chart" uri="{C3380CC4-5D6E-409C-BE32-E72D297353CC}">
                <c16:uniqueId val="{00000009-A428-4906-881D-FBF0B40ACC2C}"/>
              </c:ext>
            </c:extLst>
          </c:dPt>
          <c:dLbls>
            <c:dLbl>
              <c:idx val="0"/>
              <c:layout>
                <c:manualLayout>
                  <c:x val="4.2677447449041672E-2"/>
                  <c:y val="7.630463366638226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257351149845322"/>
                      <c:h val="0.15855462032763143"/>
                    </c:manualLayout>
                  </c15:layout>
                </c:ext>
                <c:ext xmlns:c16="http://schemas.microsoft.com/office/drawing/2014/chart" uri="{C3380CC4-5D6E-409C-BE32-E72D297353CC}">
                  <c16:uniqueId val="{00000001-A428-4906-881D-FBF0B40ACC2C}"/>
                </c:ext>
              </c:extLst>
            </c:dLbl>
            <c:dLbl>
              <c:idx val="1"/>
              <c:layout>
                <c:manualLayout>
                  <c:x val="7.9234520004008491E-2"/>
                  <c:y val="0.16280723030322308"/>
                </c:manualLayout>
              </c:layout>
              <c:spPr>
                <a:solidFill>
                  <a:srgbClr val="2363AF"/>
                </a:solid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9.0359318044964165E-2"/>
                      <c:h val="0.18992397502036382"/>
                    </c:manualLayout>
                  </c15:layout>
                </c:ext>
                <c:ext xmlns:c16="http://schemas.microsoft.com/office/drawing/2014/chart" uri="{C3380CC4-5D6E-409C-BE32-E72D297353CC}">
                  <c16:uniqueId val="{00000003-A428-4906-881D-FBF0B40ACC2C}"/>
                </c:ext>
              </c:extLst>
            </c:dLbl>
            <c:dLbl>
              <c:idx val="2"/>
              <c:layout>
                <c:manualLayout>
                  <c:x val="0.18905442861673816"/>
                  <c:y val="-0.15730098217360841"/>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325960349527236"/>
                      <c:h val="0.20835143451896096"/>
                    </c:manualLayout>
                  </c15:layout>
                </c:ext>
                <c:ext xmlns:c16="http://schemas.microsoft.com/office/drawing/2014/chart" uri="{C3380CC4-5D6E-409C-BE32-E72D297353CC}">
                  <c16:uniqueId val="{00000005-A428-4906-881D-FBF0B40ACC2C}"/>
                </c:ext>
              </c:extLst>
            </c:dLbl>
            <c:dLbl>
              <c:idx val="3"/>
              <c:layout>
                <c:manualLayout>
                  <c:x val="3.206153959301497E-2"/>
                  <c:y val="0.1158923884514435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892471190663337"/>
                      <c:h val="0.21230428093040093"/>
                    </c:manualLayout>
                  </c15:layout>
                </c:ext>
                <c:ext xmlns:c16="http://schemas.microsoft.com/office/drawing/2014/chart" uri="{C3380CC4-5D6E-409C-BE32-E72D297353CC}">
                  <c16:uniqueId val="{00000007-A428-4906-881D-FBF0B40ACC2C}"/>
                </c:ext>
              </c:extLst>
            </c:dLbl>
            <c:dLbl>
              <c:idx val="4"/>
              <c:delete val="1"/>
              <c:extLst>
                <c:ext xmlns:c15="http://schemas.microsoft.com/office/drawing/2012/chart" uri="{CE6537A1-D6FC-4f65-9D91-7224C49458BB}"/>
                <c:ext xmlns:c16="http://schemas.microsoft.com/office/drawing/2014/chart" uri="{C3380CC4-5D6E-409C-BE32-E72D297353CC}">
                  <c16:uniqueId val="{00000009-A428-4906-881D-FBF0B40ACC2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3.1'!$B$31:$B$34</c:f>
              <c:strCache>
                <c:ptCount val="4"/>
                <c:pt idx="0">
                  <c:v>Wood Residue</c:v>
                </c:pt>
                <c:pt idx="1">
                  <c:v>Waste Wood</c:v>
                </c:pt>
                <c:pt idx="2">
                  <c:v>Wood Product</c:v>
                </c:pt>
                <c:pt idx="3">
                  <c:v>Forestry Residues</c:v>
                </c:pt>
              </c:strCache>
            </c:strRef>
          </c:cat>
          <c:val>
            <c:numRef>
              <c:f>'Fig 3.1'!$D$31:$D$34</c:f>
              <c:numCache>
                <c:formatCode>0.00%</c:formatCode>
                <c:ptCount val="4"/>
                <c:pt idx="0">
                  <c:v>0.17213820313876979</c:v>
                </c:pt>
                <c:pt idx="1">
                  <c:v>0.79591573718249942</c:v>
                </c:pt>
                <c:pt idx="2">
                  <c:v>3.0576828757628523E-2</c:v>
                </c:pt>
                <c:pt idx="3">
                  <c:v>1.3692309186965122E-3</c:v>
                </c:pt>
              </c:numCache>
            </c:numRef>
          </c:val>
          <c:extLst>
            <c:ext xmlns:c16="http://schemas.microsoft.com/office/drawing/2014/chart" uri="{C3380CC4-5D6E-409C-BE32-E72D297353CC}">
              <c16:uniqueId val="{0000000A-A428-4906-881D-FBF0B40ACC2C}"/>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27920017460504"/>
          <c:y val="0.10440464941882265"/>
          <c:w val="0.35426449305777075"/>
          <c:h val="0.79119070116235468"/>
        </c:manualLayout>
      </c:layout>
      <c:pieChart>
        <c:varyColors val="1"/>
        <c:ser>
          <c:idx val="0"/>
          <c:order val="0"/>
          <c:dPt>
            <c:idx val="0"/>
            <c:bubble3D val="0"/>
            <c:spPr>
              <a:solidFill>
                <a:srgbClr val="2363AF"/>
              </a:solidFill>
              <a:ln w="19050">
                <a:solidFill>
                  <a:schemeClr val="lt1"/>
                </a:solidFill>
              </a:ln>
              <a:effectLst/>
            </c:spPr>
            <c:extLst>
              <c:ext xmlns:c16="http://schemas.microsoft.com/office/drawing/2014/chart" uri="{C3380CC4-5D6E-409C-BE32-E72D297353CC}">
                <c16:uniqueId val="{00000001-EBF8-4472-8F2E-22517C61C7BE}"/>
              </c:ext>
            </c:extLst>
          </c:dPt>
          <c:dPt>
            <c:idx val="1"/>
            <c:bubble3D val="0"/>
            <c:spPr>
              <a:solidFill>
                <a:srgbClr val="E86E1E"/>
              </a:solidFill>
              <a:ln w="19050">
                <a:solidFill>
                  <a:schemeClr val="lt1"/>
                </a:solidFill>
              </a:ln>
              <a:effectLst/>
            </c:spPr>
            <c:extLst>
              <c:ext xmlns:c16="http://schemas.microsoft.com/office/drawing/2014/chart" uri="{C3380CC4-5D6E-409C-BE32-E72D297353CC}">
                <c16:uniqueId val="{00000003-EBF8-4472-8F2E-22517C61C7BE}"/>
              </c:ext>
            </c:extLst>
          </c:dPt>
          <c:dPt>
            <c:idx val="2"/>
            <c:bubble3D val="0"/>
            <c:spPr>
              <a:solidFill>
                <a:srgbClr val="079448"/>
              </a:solidFill>
              <a:ln w="19050">
                <a:solidFill>
                  <a:schemeClr val="lt1"/>
                </a:solidFill>
              </a:ln>
              <a:effectLst/>
            </c:spPr>
            <c:extLst>
              <c:ext xmlns:c16="http://schemas.microsoft.com/office/drawing/2014/chart" uri="{C3380CC4-5D6E-409C-BE32-E72D297353CC}">
                <c16:uniqueId val="{00000005-EBF8-4472-8F2E-22517C61C7BE}"/>
              </c:ext>
            </c:extLst>
          </c:dPt>
          <c:dPt>
            <c:idx val="3"/>
            <c:bubble3D val="0"/>
            <c:spPr>
              <a:solidFill>
                <a:srgbClr val="CD1F45"/>
              </a:solidFill>
              <a:ln w="19050">
                <a:solidFill>
                  <a:schemeClr val="lt1"/>
                </a:solidFill>
              </a:ln>
              <a:effectLst/>
            </c:spPr>
            <c:extLst>
              <c:ext xmlns:c16="http://schemas.microsoft.com/office/drawing/2014/chart" uri="{C3380CC4-5D6E-409C-BE32-E72D297353CC}">
                <c16:uniqueId val="{00000007-EBF8-4472-8F2E-22517C61C7BE}"/>
              </c:ext>
            </c:extLst>
          </c:dPt>
          <c:dPt>
            <c:idx val="4"/>
            <c:bubble3D val="0"/>
            <c:spPr>
              <a:solidFill>
                <a:srgbClr val="9E712A"/>
              </a:solidFill>
              <a:ln w="19050">
                <a:solidFill>
                  <a:schemeClr val="lt1"/>
                </a:solidFill>
              </a:ln>
              <a:effectLst/>
            </c:spPr>
            <c:extLst>
              <c:ext xmlns:c16="http://schemas.microsoft.com/office/drawing/2014/chart" uri="{C3380CC4-5D6E-409C-BE32-E72D297353CC}">
                <c16:uniqueId val="{00000009-EBF8-4472-8F2E-22517C61C7BE}"/>
              </c:ext>
            </c:extLst>
          </c:dPt>
          <c:dPt>
            <c:idx val="5"/>
            <c:bubble3D val="0"/>
            <c:spPr>
              <a:solidFill>
                <a:srgbClr val="A1ABB2"/>
              </a:solidFill>
              <a:ln w="19050">
                <a:solidFill>
                  <a:schemeClr val="lt1"/>
                </a:solidFill>
              </a:ln>
              <a:effectLst/>
            </c:spPr>
            <c:extLst>
              <c:ext xmlns:c16="http://schemas.microsoft.com/office/drawing/2014/chart" uri="{C3380CC4-5D6E-409C-BE32-E72D297353CC}">
                <c16:uniqueId val="{0000000B-EBF8-4472-8F2E-22517C61C7BE}"/>
              </c:ext>
            </c:extLst>
          </c:dPt>
          <c:dPt>
            <c:idx val="6"/>
            <c:bubble3D val="0"/>
            <c:spPr>
              <a:solidFill>
                <a:srgbClr val="45286F"/>
              </a:solidFill>
              <a:ln w="19050">
                <a:solidFill>
                  <a:schemeClr val="lt1"/>
                </a:solidFill>
              </a:ln>
              <a:effectLst/>
            </c:spPr>
            <c:extLst>
              <c:ext xmlns:c16="http://schemas.microsoft.com/office/drawing/2014/chart" uri="{C3380CC4-5D6E-409C-BE32-E72D297353CC}">
                <c16:uniqueId val="{0000000D-EBF8-4472-8F2E-22517C61C7BE}"/>
              </c:ext>
            </c:extLst>
          </c:dPt>
          <c:dPt>
            <c:idx val="7"/>
            <c:bubble3D val="0"/>
            <c:spPr>
              <a:solidFill>
                <a:srgbClr val="E2C700"/>
              </a:solidFill>
              <a:ln w="19050">
                <a:solidFill>
                  <a:schemeClr val="lt1"/>
                </a:solidFill>
              </a:ln>
              <a:effectLst/>
            </c:spPr>
            <c:extLst>
              <c:ext xmlns:c16="http://schemas.microsoft.com/office/drawing/2014/chart" uri="{C3380CC4-5D6E-409C-BE32-E72D297353CC}">
                <c16:uniqueId val="{0000000F-EBF8-4472-8F2E-22517C61C7BE}"/>
              </c:ext>
            </c:extLst>
          </c:dPt>
          <c:dLbls>
            <c:dLbl>
              <c:idx val="0"/>
              <c:layout>
                <c:manualLayout>
                  <c:x val="-0.10111451880924098"/>
                  <c:y val="0.10490807669542442"/>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BF8-4472-8F2E-22517C61C7BE}"/>
                </c:ext>
              </c:extLst>
            </c:dLbl>
            <c:dLbl>
              <c:idx val="1"/>
              <c:layout>
                <c:manualLayout>
                  <c:x val="-5.336438931852755E-2"/>
                  <c:y val="-0.20810324108119735"/>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BF8-4472-8F2E-22517C61C7BE}"/>
                </c:ext>
              </c:extLst>
            </c:dLbl>
            <c:dLbl>
              <c:idx val="2"/>
              <c:layout>
                <c:manualLayout>
                  <c:x val="0.16273935357582278"/>
                  <c:y val="-6.9520563915843173E-2"/>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BF8-4472-8F2E-22517C61C7BE}"/>
                </c:ext>
              </c:extLst>
            </c:dLbl>
            <c:dLbl>
              <c:idx val="3"/>
              <c:layout>
                <c:manualLayout>
                  <c:x val="-0.15489474896775068"/>
                  <c:y val="0.392960020088605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BF8-4472-8F2E-22517C61C7BE}"/>
                </c:ext>
              </c:extLst>
            </c:dLbl>
            <c:dLbl>
              <c:idx val="4"/>
              <c:layout>
                <c:manualLayout>
                  <c:x val="-0.20284846890507227"/>
                  <c:y val="0.202892400408946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BF8-4472-8F2E-22517C61C7BE}"/>
                </c:ext>
              </c:extLst>
            </c:dLbl>
            <c:dLbl>
              <c:idx val="5"/>
              <c:layout>
                <c:manualLayout>
                  <c:x val="-0.20859769318625584"/>
                  <c:y val="0.1072534213405556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BF8-4472-8F2E-22517C61C7BE}"/>
                </c:ext>
              </c:extLst>
            </c:dLbl>
            <c:dLbl>
              <c:idx val="6"/>
              <c:layout>
                <c:manualLayout>
                  <c:x val="-6.7068673377853119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BF8-4472-8F2E-22517C61C7BE}"/>
                </c:ext>
              </c:extLst>
            </c:dLbl>
            <c:dLbl>
              <c:idx val="7"/>
              <c:layout>
                <c:manualLayout>
                  <c:x val="5.0390677975794634E-2"/>
                  <c:y val="-2.767564077269384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EBF8-4472-8F2E-22517C61C7BE}"/>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3.2'!$B$30:$B$37</c:f>
              <c:strCache>
                <c:ptCount val="8"/>
                <c:pt idx="0">
                  <c:v>Silage</c:v>
                </c:pt>
                <c:pt idx="1">
                  <c:v>Municpal Waste</c:v>
                </c:pt>
                <c:pt idx="2">
                  <c:v>Food, Garden and Plant Waste</c:v>
                </c:pt>
                <c:pt idx="3">
                  <c:v>Manures and Slurries</c:v>
                </c:pt>
                <c:pt idx="4">
                  <c:v>Crops</c:v>
                </c:pt>
                <c:pt idx="5">
                  <c:v>Brewery and Distillery Waste</c:v>
                </c:pt>
                <c:pt idx="6">
                  <c:v>DAF Slude/Waste Water</c:v>
                </c:pt>
                <c:pt idx="7">
                  <c:v>Other</c:v>
                </c:pt>
              </c:strCache>
            </c:strRef>
          </c:cat>
          <c:val>
            <c:numRef>
              <c:f>'Fig 3.2'!$D$30:$D$37</c:f>
              <c:numCache>
                <c:formatCode>0.00%</c:formatCode>
                <c:ptCount val="8"/>
                <c:pt idx="0">
                  <c:v>0.34324385898905591</c:v>
                </c:pt>
                <c:pt idx="1">
                  <c:v>0.24643412703295195</c:v>
                </c:pt>
                <c:pt idx="2">
                  <c:v>0.2425982063603484</c:v>
                </c:pt>
                <c:pt idx="3">
                  <c:v>7.0553254310700864E-2</c:v>
                </c:pt>
                <c:pt idx="4">
                  <c:v>2.4007250804088873E-2</c:v>
                </c:pt>
                <c:pt idx="5">
                  <c:v>2.2111946524828958E-2</c:v>
                </c:pt>
                <c:pt idx="6">
                  <c:v>2.0751351746526779E-2</c:v>
                </c:pt>
                <c:pt idx="7">
                  <c:v>3.0300004231498312E-2</c:v>
                </c:pt>
              </c:numCache>
            </c:numRef>
          </c:val>
          <c:extLst>
            <c:ext xmlns:c16="http://schemas.microsoft.com/office/drawing/2014/chart" uri="{C3380CC4-5D6E-409C-BE32-E72D297353CC}">
              <c16:uniqueId val="{00000010-EBF8-4472-8F2E-22517C61C7B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2363AF"/>
              </a:solidFill>
              <a:ln w="19050">
                <a:solidFill>
                  <a:schemeClr val="lt1"/>
                </a:solidFill>
              </a:ln>
              <a:effectLst/>
            </c:spPr>
            <c:extLst>
              <c:ext xmlns:c16="http://schemas.microsoft.com/office/drawing/2014/chart" uri="{C3380CC4-5D6E-409C-BE32-E72D297353CC}">
                <c16:uniqueId val="{00000001-6DCD-41B5-B231-99A5A8F98FE6}"/>
              </c:ext>
            </c:extLst>
          </c:dPt>
          <c:dPt>
            <c:idx val="1"/>
            <c:bubble3D val="0"/>
            <c:spPr>
              <a:solidFill>
                <a:srgbClr val="E86E1E"/>
              </a:solidFill>
              <a:ln w="19050">
                <a:solidFill>
                  <a:schemeClr val="lt1"/>
                </a:solidFill>
              </a:ln>
              <a:effectLst/>
            </c:spPr>
            <c:extLst>
              <c:ext xmlns:c16="http://schemas.microsoft.com/office/drawing/2014/chart" uri="{C3380CC4-5D6E-409C-BE32-E72D297353CC}">
                <c16:uniqueId val="{00000003-6DCD-41B5-B231-99A5A8F98FE6}"/>
              </c:ext>
            </c:extLst>
          </c:dPt>
          <c:dPt>
            <c:idx val="2"/>
            <c:bubble3D val="0"/>
            <c:spPr>
              <a:solidFill>
                <a:srgbClr val="079448"/>
              </a:solidFill>
              <a:ln w="19050">
                <a:solidFill>
                  <a:schemeClr val="lt1"/>
                </a:solidFill>
              </a:ln>
              <a:effectLst/>
            </c:spPr>
            <c:extLst>
              <c:ext xmlns:c16="http://schemas.microsoft.com/office/drawing/2014/chart" uri="{C3380CC4-5D6E-409C-BE32-E72D297353CC}">
                <c16:uniqueId val="{00000005-6DCD-41B5-B231-99A5A8F98FE6}"/>
              </c:ext>
            </c:extLst>
          </c:dPt>
          <c:dPt>
            <c:idx val="3"/>
            <c:bubble3D val="0"/>
            <c:spPr>
              <a:solidFill>
                <a:srgbClr val="CD1F45"/>
              </a:solidFill>
              <a:ln w="19050">
                <a:solidFill>
                  <a:schemeClr val="lt1"/>
                </a:solidFill>
              </a:ln>
              <a:effectLst/>
            </c:spPr>
            <c:extLst>
              <c:ext xmlns:c16="http://schemas.microsoft.com/office/drawing/2014/chart" uri="{C3380CC4-5D6E-409C-BE32-E72D297353CC}">
                <c16:uniqueId val="{00000007-6DCD-41B5-B231-99A5A8F98FE6}"/>
              </c:ext>
            </c:extLst>
          </c:dPt>
          <c:dPt>
            <c:idx val="4"/>
            <c:bubble3D val="0"/>
            <c:spPr>
              <a:solidFill>
                <a:srgbClr val="9E712A"/>
              </a:solidFill>
              <a:ln w="19050">
                <a:solidFill>
                  <a:schemeClr val="lt1"/>
                </a:solidFill>
              </a:ln>
              <a:effectLst/>
            </c:spPr>
            <c:extLst>
              <c:ext xmlns:c16="http://schemas.microsoft.com/office/drawing/2014/chart" uri="{C3380CC4-5D6E-409C-BE32-E72D297353CC}">
                <c16:uniqueId val="{00000009-6DCD-41B5-B231-99A5A8F98FE6}"/>
              </c:ext>
            </c:extLst>
          </c:dPt>
          <c:dPt>
            <c:idx val="5"/>
            <c:bubble3D val="0"/>
            <c:spPr>
              <a:solidFill>
                <a:srgbClr val="A1ABB2"/>
              </a:solidFill>
              <a:ln w="19050">
                <a:solidFill>
                  <a:schemeClr val="lt1"/>
                </a:solidFill>
              </a:ln>
              <a:effectLst/>
            </c:spPr>
            <c:extLst>
              <c:ext xmlns:c16="http://schemas.microsoft.com/office/drawing/2014/chart" uri="{C3380CC4-5D6E-409C-BE32-E72D297353CC}">
                <c16:uniqueId val="{0000000B-6DCD-41B5-B231-99A5A8F98FE6}"/>
              </c:ext>
            </c:extLst>
          </c:dPt>
          <c:dLbls>
            <c:dLbl>
              <c:idx val="0"/>
              <c:layout>
                <c:manualLayout>
                  <c:x val="-0.18082785823176958"/>
                  <c:y val="-1.2936811158976432E-2"/>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239001459119332"/>
                      <c:h val="0.13695661982201798"/>
                    </c:manualLayout>
                  </c15:layout>
                </c:ext>
                <c:ext xmlns:c16="http://schemas.microsoft.com/office/drawing/2014/chart" uri="{C3380CC4-5D6E-409C-BE32-E72D297353CC}">
                  <c16:uniqueId val="{00000001-6DCD-41B5-B231-99A5A8F98FE6}"/>
                </c:ext>
              </c:extLst>
            </c:dLbl>
            <c:dLbl>
              <c:idx val="1"/>
              <c:layout>
                <c:manualLayout>
                  <c:x val="0.11782347760586785"/>
                  <c:y val="-0.23518889155587167"/>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DCD-41B5-B231-99A5A8F98FE6}"/>
                </c:ext>
              </c:extLst>
            </c:dLbl>
            <c:dLbl>
              <c:idx val="2"/>
              <c:layout>
                <c:manualLayout>
                  <c:x val="0.10748872981456276"/>
                  <c:y val="6.4148232903387656E-2"/>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DCD-41B5-B231-99A5A8F98FE6}"/>
                </c:ext>
              </c:extLst>
            </c:dLbl>
            <c:dLbl>
              <c:idx val="3"/>
              <c:layout>
                <c:manualLayout>
                  <c:x val="-0.1023806683844951"/>
                  <c:y val="7.73790337862591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DCD-41B5-B231-99A5A8F98FE6}"/>
                </c:ext>
              </c:extLst>
            </c:dLbl>
            <c:dLbl>
              <c:idx val="4"/>
              <c:layout>
                <c:manualLayout>
                  <c:x val="-8.9570646375158741E-2"/>
                  <c:y val="-7.185332637912583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DCD-41B5-B231-99A5A8F98FE6}"/>
                </c:ext>
              </c:extLst>
            </c:dLbl>
            <c:dLbl>
              <c:idx val="5"/>
              <c:layout>
                <c:manualLayout>
                  <c:x val="0.10900209636069814"/>
                  <c:y val="-2.041866013596799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DCD-41B5-B231-99A5A8F98FE6}"/>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3.3'!$B$29:$B$34</c:f>
              <c:strCache>
                <c:ptCount val="6"/>
                <c:pt idx="0">
                  <c:v>Digestate</c:v>
                </c:pt>
                <c:pt idx="1">
                  <c:v>Food, Garden and Plant waste</c:v>
                </c:pt>
                <c:pt idx="2">
                  <c:v>Tallow</c:v>
                </c:pt>
                <c:pt idx="3">
                  <c:v>Fats and Oils</c:v>
                </c:pt>
                <c:pt idx="4">
                  <c:v>Blood and Viscera</c:v>
                </c:pt>
                <c:pt idx="5">
                  <c:v>Other</c:v>
                </c:pt>
              </c:strCache>
            </c:strRef>
          </c:cat>
          <c:val>
            <c:numRef>
              <c:f>'Fig 3.3'!$D$29:$D$34</c:f>
              <c:numCache>
                <c:formatCode>0.00%</c:formatCode>
                <c:ptCount val="6"/>
                <c:pt idx="0">
                  <c:v>0.49807528956873126</c:v>
                </c:pt>
                <c:pt idx="1">
                  <c:v>0.22856754580160427</c:v>
                </c:pt>
                <c:pt idx="2">
                  <c:v>0.13862744250814948</c:v>
                </c:pt>
                <c:pt idx="3">
                  <c:v>0.1128052862464925</c:v>
                </c:pt>
                <c:pt idx="4">
                  <c:v>1.6212901580584409E-2</c:v>
                </c:pt>
                <c:pt idx="5">
                  <c:v>5.7115342944379695E-3</c:v>
                </c:pt>
              </c:numCache>
            </c:numRef>
          </c:val>
          <c:extLst>
            <c:ext xmlns:c16="http://schemas.microsoft.com/office/drawing/2014/chart" uri="{C3380CC4-5D6E-409C-BE32-E72D297353CC}">
              <c16:uniqueId val="{0000000C-6DCD-41B5-B231-99A5A8F98FE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2363AF"/>
              </a:solidFill>
              <a:ln w="19050">
                <a:solidFill>
                  <a:schemeClr val="lt1"/>
                </a:solidFill>
              </a:ln>
              <a:effectLst/>
            </c:spPr>
            <c:extLst>
              <c:ext xmlns:c16="http://schemas.microsoft.com/office/drawing/2014/chart" uri="{C3380CC4-5D6E-409C-BE32-E72D297353CC}">
                <c16:uniqueId val="{00000001-6DD7-4710-A4E2-06F10FA47AB2}"/>
              </c:ext>
            </c:extLst>
          </c:dPt>
          <c:dPt>
            <c:idx val="1"/>
            <c:bubble3D val="0"/>
            <c:spPr>
              <a:solidFill>
                <a:srgbClr val="E86E1E"/>
              </a:solidFill>
              <a:ln w="19050">
                <a:solidFill>
                  <a:schemeClr val="lt1"/>
                </a:solidFill>
              </a:ln>
              <a:effectLst/>
            </c:spPr>
            <c:extLst>
              <c:ext xmlns:c16="http://schemas.microsoft.com/office/drawing/2014/chart" uri="{C3380CC4-5D6E-409C-BE32-E72D297353CC}">
                <c16:uniqueId val="{00000003-6DD7-4710-A4E2-06F10FA47AB2}"/>
              </c:ext>
            </c:extLst>
          </c:dPt>
          <c:dPt>
            <c:idx val="2"/>
            <c:bubble3D val="0"/>
            <c:spPr>
              <a:solidFill>
                <a:srgbClr val="079448"/>
              </a:solidFill>
              <a:ln w="19050">
                <a:solidFill>
                  <a:schemeClr val="lt1"/>
                </a:solidFill>
              </a:ln>
              <a:effectLst/>
            </c:spPr>
            <c:extLst>
              <c:ext xmlns:c16="http://schemas.microsoft.com/office/drawing/2014/chart" uri="{C3380CC4-5D6E-409C-BE32-E72D297353CC}">
                <c16:uniqueId val="{00000005-6DD7-4710-A4E2-06F10FA47AB2}"/>
              </c:ext>
            </c:extLst>
          </c:dPt>
          <c:dPt>
            <c:idx val="3"/>
            <c:bubble3D val="0"/>
            <c:spPr>
              <a:solidFill>
                <a:srgbClr val="9E712A"/>
              </a:solidFill>
              <a:ln w="19050">
                <a:solidFill>
                  <a:schemeClr val="lt1"/>
                </a:solidFill>
              </a:ln>
              <a:effectLst/>
            </c:spPr>
            <c:extLst>
              <c:ext xmlns:c16="http://schemas.microsoft.com/office/drawing/2014/chart" uri="{C3380CC4-5D6E-409C-BE32-E72D297353CC}">
                <c16:uniqueId val="{00000007-6DD7-4710-A4E2-06F10FA47AB2}"/>
              </c:ext>
            </c:extLst>
          </c:dPt>
          <c:dPt>
            <c:idx val="4"/>
            <c:bubble3D val="0"/>
            <c:spPr>
              <a:solidFill>
                <a:srgbClr val="CD1F45"/>
              </a:solidFill>
              <a:ln w="19050">
                <a:solidFill>
                  <a:schemeClr val="lt1"/>
                </a:solidFill>
              </a:ln>
              <a:effectLst/>
            </c:spPr>
            <c:extLst>
              <c:ext xmlns:c16="http://schemas.microsoft.com/office/drawing/2014/chart" uri="{C3380CC4-5D6E-409C-BE32-E72D297353CC}">
                <c16:uniqueId val="{00000009-6DD7-4710-A4E2-06F10FA47AB2}"/>
              </c:ext>
            </c:extLst>
          </c:dPt>
          <c:dPt>
            <c:idx val="5"/>
            <c:bubble3D val="0"/>
            <c:spPr>
              <a:solidFill>
                <a:srgbClr val="109DC1"/>
              </a:solidFill>
              <a:ln w="19050">
                <a:solidFill>
                  <a:schemeClr val="lt1"/>
                </a:solidFill>
              </a:ln>
              <a:effectLst/>
            </c:spPr>
            <c:extLst>
              <c:ext xmlns:c16="http://schemas.microsoft.com/office/drawing/2014/chart" uri="{C3380CC4-5D6E-409C-BE32-E72D297353CC}">
                <c16:uniqueId val="{0000000B-6DD7-4710-A4E2-06F10FA47AB2}"/>
              </c:ext>
            </c:extLst>
          </c:dPt>
          <c:dPt>
            <c:idx val="6"/>
            <c:bubble3D val="0"/>
            <c:spPr>
              <a:solidFill>
                <a:srgbClr val="45286F"/>
              </a:solidFill>
              <a:ln w="19050">
                <a:solidFill>
                  <a:schemeClr val="lt1"/>
                </a:solidFill>
              </a:ln>
              <a:effectLst/>
            </c:spPr>
            <c:extLst>
              <c:ext xmlns:c16="http://schemas.microsoft.com/office/drawing/2014/chart" uri="{C3380CC4-5D6E-409C-BE32-E72D297353CC}">
                <c16:uniqueId val="{0000000D-6DD7-4710-A4E2-06F10FA47AB2}"/>
              </c:ext>
            </c:extLst>
          </c:dPt>
          <c:dPt>
            <c:idx val="7"/>
            <c:bubble3D val="0"/>
            <c:spPr>
              <a:solidFill>
                <a:srgbClr val="E2C700"/>
              </a:solidFill>
              <a:ln w="19050">
                <a:solidFill>
                  <a:schemeClr val="lt1"/>
                </a:solidFill>
              </a:ln>
              <a:effectLst/>
            </c:spPr>
            <c:extLst>
              <c:ext xmlns:c16="http://schemas.microsoft.com/office/drawing/2014/chart" uri="{C3380CC4-5D6E-409C-BE32-E72D297353CC}">
                <c16:uniqueId val="{0000000F-6DD7-4710-A4E2-06F10FA47AB2}"/>
              </c:ext>
            </c:extLst>
          </c:dPt>
          <c:dLbls>
            <c:dLbl>
              <c:idx val="0"/>
              <c:layout>
                <c:manualLayout>
                  <c:x val="-0.16189400736874093"/>
                  <c:y val="0.13387720522276489"/>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DD7-4710-A4E2-06F10FA47AB2}"/>
                </c:ext>
              </c:extLst>
            </c:dLbl>
            <c:dLbl>
              <c:idx val="1"/>
              <c:layout>
                <c:manualLayout>
                  <c:x val="-6.6773955151016029E-2"/>
                  <c:y val="-0.2155961992092761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DD7-4710-A4E2-06F10FA47AB2}"/>
                </c:ext>
              </c:extLst>
            </c:dLbl>
            <c:dLbl>
              <c:idx val="2"/>
              <c:layout>
                <c:manualLayout>
                  <c:x val="0.15585768152582211"/>
                  <c:y val="-6.128010897372013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DD7-4710-A4E2-06F10FA47AB2}"/>
                </c:ext>
              </c:extLst>
            </c:dLbl>
            <c:dLbl>
              <c:idx val="3"/>
              <c:layout>
                <c:manualLayout>
                  <c:x val="8.3095051003986412E-2"/>
                  <c:y val="8.756403867238110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DD7-4710-A4E2-06F10FA47AB2}"/>
                </c:ext>
              </c:extLst>
            </c:dLbl>
            <c:dLbl>
              <c:idx val="4"/>
              <c:layout>
                <c:manualLayout>
                  <c:x val="-0.18214653688955698"/>
                  <c:y val="0.2489119239841855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DD7-4710-A4E2-06F10FA47AB2}"/>
                </c:ext>
              </c:extLst>
            </c:dLbl>
            <c:dLbl>
              <c:idx val="5"/>
              <c:layout>
                <c:manualLayout>
                  <c:x val="-0.27917000070127113"/>
                  <c:y val="0.139240506329113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DD7-4710-A4E2-06F10FA47AB2}"/>
                </c:ext>
              </c:extLst>
            </c:dLbl>
            <c:dLbl>
              <c:idx val="6"/>
              <c:layout>
                <c:manualLayout>
                  <c:x val="-0.15666729001875454"/>
                  <c:y val="2.2263198112894116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214668074003877"/>
                      <c:h val="0.10476892920030566"/>
                    </c:manualLayout>
                  </c15:layout>
                </c:ext>
                <c:ext xmlns:c16="http://schemas.microsoft.com/office/drawing/2014/chart" uri="{C3380CC4-5D6E-409C-BE32-E72D297353CC}">
                  <c16:uniqueId val="{0000000D-6DD7-4710-A4E2-06F10FA47AB2}"/>
                </c:ext>
              </c:extLst>
            </c:dLbl>
            <c:dLbl>
              <c:idx val="7"/>
              <c:layout>
                <c:manualLayout>
                  <c:x val="0.10519362399622176"/>
                  <c:y val="-1.724785859210272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DD7-4710-A4E2-06F10FA47AB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3.4'!$B$31:$B$38</c:f>
              <c:strCache>
                <c:ptCount val="8"/>
                <c:pt idx="0">
                  <c:v>Wood Residues</c:v>
                </c:pt>
                <c:pt idx="1">
                  <c:v>Forestry Residues</c:v>
                </c:pt>
                <c:pt idx="2">
                  <c:v>Waste Wood</c:v>
                </c:pt>
                <c:pt idx="3">
                  <c:v>Crops</c:v>
                </c:pt>
                <c:pt idx="4">
                  <c:v>Manures and Slurries</c:v>
                </c:pt>
                <c:pt idx="5">
                  <c:v>Arboricultural Residues</c:v>
                </c:pt>
                <c:pt idx="6">
                  <c:v>Blood and Viscera</c:v>
                </c:pt>
                <c:pt idx="7">
                  <c:v>Other</c:v>
                </c:pt>
              </c:strCache>
            </c:strRef>
          </c:cat>
          <c:val>
            <c:numRef>
              <c:f>'Fig 3.4'!$D$31:$D$38</c:f>
              <c:numCache>
                <c:formatCode>0.00%</c:formatCode>
                <c:ptCount val="8"/>
                <c:pt idx="0">
                  <c:v>0.33862716626100886</c:v>
                </c:pt>
                <c:pt idx="1">
                  <c:v>0.26174536389024744</c:v>
                </c:pt>
                <c:pt idx="2">
                  <c:v>0.20460023532332833</c:v>
                </c:pt>
                <c:pt idx="3">
                  <c:v>8.1604435956406082E-2</c:v>
                </c:pt>
                <c:pt idx="4">
                  <c:v>5.095036673969551E-2</c:v>
                </c:pt>
                <c:pt idx="5">
                  <c:v>2.1881222676401905E-2</c:v>
                </c:pt>
                <c:pt idx="6">
                  <c:v>2.1919369092960082E-2</c:v>
                </c:pt>
                <c:pt idx="7">
                  <c:v>1.8671840059951757E-2</c:v>
                </c:pt>
              </c:numCache>
            </c:numRef>
          </c:val>
          <c:extLst>
            <c:ext xmlns:c16="http://schemas.microsoft.com/office/drawing/2014/chart" uri="{C3380CC4-5D6E-409C-BE32-E72D297353CC}">
              <c16:uniqueId val="{00000010-6DD7-4710-A4E2-06F10FA47AB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1483503247907"/>
          <c:y val="0.10230555555555555"/>
          <c:w val="0.84767020377500235"/>
          <c:h val="0.79678522710390187"/>
        </c:manualLayout>
      </c:layout>
      <c:barChart>
        <c:barDir val="col"/>
        <c:grouping val="percentStacked"/>
        <c:varyColors val="0"/>
        <c:ser>
          <c:idx val="0"/>
          <c:order val="0"/>
          <c:tx>
            <c:strRef>
              <c:f>'Fig 3.5'!$C$31</c:f>
              <c:strCache>
                <c:ptCount val="1"/>
                <c:pt idx="0">
                  <c:v>UK and ROI</c:v>
                </c:pt>
              </c:strCache>
            </c:strRef>
          </c:tx>
          <c:spPr>
            <a:solidFill>
              <a:srgbClr val="A1ABB2"/>
            </a:solidFill>
            <a:ln w="3175">
              <a:solidFill>
                <a:schemeClr val="tx1"/>
              </a:solidFill>
            </a:ln>
            <a:effectLst/>
          </c:spPr>
          <c:invertIfNegative val="0"/>
          <c:dLbls>
            <c:dLbl>
              <c:idx val="0"/>
              <c:dLblPos val="ctr"/>
              <c:showLegendKey val="0"/>
              <c:showVal val="1"/>
              <c:showCatName val="0"/>
              <c:showSerName val="1"/>
              <c:showPercent val="0"/>
              <c:showBubbleSize val="0"/>
              <c:extLst>
                <c:ext xmlns:c15="http://schemas.microsoft.com/office/drawing/2012/chart" uri="{CE6537A1-D6FC-4f65-9D91-7224C49458BB}">
                  <c15:layout>
                    <c:manualLayout>
                      <c:w val="0.12249174917491749"/>
                      <c:h val="8.8346320346320339E-2"/>
                    </c:manualLayout>
                  </c15:layout>
                </c:ext>
                <c:ext xmlns:c16="http://schemas.microsoft.com/office/drawing/2014/chart" uri="{C3380CC4-5D6E-409C-BE32-E72D297353CC}">
                  <c16:uniqueId val="{00000000-D7A0-4F91-B391-4C149DE2515C}"/>
                </c:ext>
              </c:extLst>
            </c:dLbl>
            <c:dLbl>
              <c:idx val="1"/>
              <c:dLblPos val="ctr"/>
              <c:showLegendKey val="0"/>
              <c:showVal val="1"/>
              <c:showCatName val="0"/>
              <c:showSerName val="1"/>
              <c:showPercent val="0"/>
              <c:showBubbleSize val="0"/>
              <c:extLst>
                <c:ext xmlns:c15="http://schemas.microsoft.com/office/drawing/2012/chart" uri="{CE6537A1-D6FC-4f65-9D91-7224C49458BB}">
                  <c15:layout>
                    <c:manualLayout>
                      <c:w val="0.11471012532328578"/>
                      <c:h val="0.10219911940681514"/>
                    </c:manualLayout>
                  </c15:layout>
                </c:ext>
                <c:ext xmlns:c16="http://schemas.microsoft.com/office/drawing/2014/chart" uri="{C3380CC4-5D6E-409C-BE32-E72D297353CC}">
                  <c16:uniqueId val="{00000001-D7A0-4F91-B391-4C149DE2515C}"/>
                </c:ext>
              </c:extLst>
            </c:dLbl>
            <c:dLbl>
              <c:idx val="2"/>
              <c:dLblPos val="ctr"/>
              <c:showLegendKey val="0"/>
              <c:showVal val="1"/>
              <c:showCatName val="0"/>
              <c:showSerName val="1"/>
              <c:showPercent val="0"/>
              <c:showBubbleSize val="0"/>
              <c:extLst>
                <c:ext xmlns:c15="http://schemas.microsoft.com/office/drawing/2012/chart" uri="{CE6537A1-D6FC-4f65-9D91-7224C49458BB}">
                  <c15:layout>
                    <c:manualLayout>
                      <c:w val="0.11424092409240923"/>
                      <c:h val="9.8735930735930719E-2"/>
                    </c:manualLayout>
                  </c15:layout>
                </c:ext>
                <c:ext xmlns:c16="http://schemas.microsoft.com/office/drawing/2014/chart" uri="{C3380CC4-5D6E-409C-BE32-E72D297353CC}">
                  <c16:uniqueId val="{00000002-D7A0-4F91-B391-4C149DE2515C}"/>
                </c:ext>
              </c:extLst>
            </c:dLbl>
            <c:dLbl>
              <c:idx val="3"/>
              <c:dLblPos val="ctr"/>
              <c:showLegendKey val="0"/>
              <c:showVal val="1"/>
              <c:showCatName val="0"/>
              <c:showSerName val="1"/>
              <c:showPercent val="0"/>
              <c:showBubbleSize val="0"/>
              <c:extLst>
                <c:ext xmlns:c15="http://schemas.microsoft.com/office/drawing/2012/chart" uri="{CE6537A1-D6FC-4f65-9D91-7224C49458BB}">
                  <c15:layout>
                    <c:manualLayout>
                      <c:w val="0.11919141914191418"/>
                      <c:h val="9.5272727272727273E-2"/>
                    </c:manualLayout>
                  </c15:layout>
                </c:ext>
                <c:ext xmlns:c16="http://schemas.microsoft.com/office/drawing/2014/chart" uri="{C3380CC4-5D6E-409C-BE32-E72D297353CC}">
                  <c16:uniqueId val="{00000003-D7A0-4F91-B391-4C149DE2515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'Fig 3.5'!$B$32:$B$35</c:f>
              <c:strCache>
                <c:ptCount val="4"/>
                <c:pt idx="0">
                  <c:v>Gasification</c:v>
                </c:pt>
                <c:pt idx="1">
                  <c:v>AD</c:v>
                </c:pt>
                <c:pt idx="2">
                  <c:v>Bioliquid</c:v>
                </c:pt>
                <c:pt idx="3">
                  <c:v>Solid Biomass</c:v>
                </c:pt>
              </c:strCache>
            </c:strRef>
          </c:cat>
          <c:val>
            <c:numRef>
              <c:f>'Fig 3.5'!$C$32:$C$35</c:f>
              <c:numCache>
                <c:formatCode>0.00%</c:formatCode>
                <c:ptCount val="4"/>
                <c:pt idx="0">
                  <c:v>0.9083671456804886</c:v>
                </c:pt>
                <c:pt idx="1">
                  <c:v>0.99739817328264102</c:v>
                </c:pt>
                <c:pt idx="2">
                  <c:v>0.9139331938179116</c:v>
                </c:pt>
                <c:pt idx="3">
                  <c:v>0.57464294865269661</c:v>
                </c:pt>
              </c:numCache>
            </c:numRef>
          </c:val>
          <c:extLst>
            <c:ext xmlns:c16="http://schemas.microsoft.com/office/drawing/2014/chart" uri="{C3380CC4-5D6E-409C-BE32-E72D297353CC}">
              <c16:uniqueId val="{00000004-D7A0-4F91-B391-4C149DE2515C}"/>
            </c:ext>
          </c:extLst>
        </c:ser>
        <c:ser>
          <c:idx val="1"/>
          <c:order val="1"/>
          <c:tx>
            <c:strRef>
              <c:f>'Fig 3.5'!$D$31</c:f>
              <c:strCache>
                <c:ptCount val="1"/>
                <c:pt idx="0">
                  <c:v>EU</c:v>
                </c:pt>
              </c:strCache>
            </c:strRef>
          </c:tx>
          <c:spPr>
            <a:solidFill>
              <a:srgbClr val="E86E1E"/>
            </a:solidFill>
            <a:ln w="3175">
              <a:solidFill>
                <a:schemeClr val="tx1"/>
              </a:solidFill>
            </a:ln>
            <a:effectLst/>
          </c:spPr>
          <c:invertIfNegative val="0"/>
          <c:dLbls>
            <c:dLbl>
              <c:idx val="0"/>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D7A0-4F91-B391-4C149DE2515C}"/>
                </c:ext>
              </c:extLst>
            </c:dLbl>
            <c:dLbl>
              <c:idx val="1"/>
              <c:layout>
                <c:manualLayout>
                  <c:x val="2.1438019436191132E-4"/>
                  <c:y val="-3.237800678002728E-2"/>
                </c:manualLayout>
              </c:layout>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D7A0-4F91-B391-4C149DE2515C}"/>
                </c:ext>
              </c:extLst>
            </c:dLbl>
            <c:dLbl>
              <c:idx val="2"/>
              <c:delete val="1"/>
              <c:extLst>
                <c:ext xmlns:c15="http://schemas.microsoft.com/office/drawing/2012/chart" uri="{CE6537A1-D6FC-4f65-9D91-7224C49458BB}"/>
                <c:ext xmlns:c16="http://schemas.microsoft.com/office/drawing/2014/chart" uri="{C3380CC4-5D6E-409C-BE32-E72D297353CC}">
                  <c16:uniqueId val="{00000007-D7A0-4F91-B391-4C149DE2515C}"/>
                </c:ext>
              </c:extLst>
            </c:dLbl>
            <c:dLbl>
              <c:idx val="3"/>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D7A0-4F91-B391-4C149DE2515C}"/>
                </c:ext>
              </c:extLst>
            </c:dLbl>
            <c:spPr>
              <a:solidFill>
                <a:srgbClr val="E86E1E"/>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'Fig 3.5'!$B$32:$B$35</c:f>
              <c:strCache>
                <c:ptCount val="4"/>
                <c:pt idx="0">
                  <c:v>Gasification</c:v>
                </c:pt>
                <c:pt idx="1">
                  <c:v>AD</c:v>
                </c:pt>
                <c:pt idx="2">
                  <c:v>Bioliquid</c:v>
                </c:pt>
                <c:pt idx="3">
                  <c:v>Solid Biomass</c:v>
                </c:pt>
              </c:strCache>
            </c:strRef>
          </c:cat>
          <c:val>
            <c:numRef>
              <c:f>'Fig 3.5'!$D$32:$D$35</c:f>
              <c:numCache>
                <c:formatCode>0.00%</c:formatCode>
                <c:ptCount val="4"/>
                <c:pt idx="0">
                  <c:v>8.8228865029587336E-2</c:v>
                </c:pt>
                <c:pt idx="1">
                  <c:v>1.5762198679589721E-3</c:v>
                </c:pt>
                <c:pt idx="2">
                  <c:v>0</c:v>
                </c:pt>
                <c:pt idx="3">
                  <c:v>7.2111492045771997E-2</c:v>
                </c:pt>
              </c:numCache>
            </c:numRef>
          </c:val>
          <c:extLst>
            <c:ext xmlns:c16="http://schemas.microsoft.com/office/drawing/2014/chart" uri="{C3380CC4-5D6E-409C-BE32-E72D297353CC}">
              <c16:uniqueId val="{00000009-D7A0-4F91-B391-4C149DE2515C}"/>
            </c:ext>
          </c:extLst>
        </c:ser>
        <c:ser>
          <c:idx val="2"/>
          <c:order val="2"/>
          <c:tx>
            <c:strRef>
              <c:f>'Fig 3.5'!$E$31</c:f>
              <c:strCache>
                <c:ptCount val="1"/>
                <c:pt idx="0">
                  <c:v>Overseas (Non EU)</c:v>
                </c:pt>
              </c:strCache>
            </c:strRef>
          </c:tx>
          <c:spPr>
            <a:solidFill>
              <a:srgbClr val="45286F"/>
            </a:solidFill>
            <a:ln w="3175">
              <a:solidFill>
                <a:schemeClr val="tx1"/>
              </a:solidFill>
            </a:ln>
            <a:effectLst/>
          </c:spPr>
          <c:invertIfNegative val="0"/>
          <c:dLbls>
            <c:dLbl>
              <c:idx val="0"/>
              <c:layout>
                <c:manualLayout>
                  <c:x val="-1.8293303340087598E-3"/>
                  <c:y val="-4.5839804972920409E-2"/>
                </c:manualLayout>
              </c:layout>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18105771938279322"/>
                      <c:h val="0.10728987993138936"/>
                    </c:manualLayout>
                  </c15:layout>
                </c:ext>
                <c:ext xmlns:c16="http://schemas.microsoft.com/office/drawing/2014/chart" uri="{C3380CC4-5D6E-409C-BE32-E72D297353CC}">
                  <c16:uniqueId val="{0000000A-D7A0-4F91-B391-4C149DE2515C}"/>
                </c:ext>
              </c:extLst>
            </c:dLbl>
            <c:dLbl>
              <c:idx val="1"/>
              <c:layout>
                <c:manualLayout>
                  <c:x val="8.6495861862804571E-3"/>
                  <c:y val="-7.6911440958387922E-2"/>
                </c:manualLayout>
              </c:layout>
              <c:dLblPos val="ctr"/>
              <c:showLegendKey val="0"/>
              <c:showVal val="1"/>
              <c:showCatName val="0"/>
              <c:showSerName val="1"/>
              <c:showPercent val="0"/>
              <c:showBubbleSize val="0"/>
              <c:extLst>
                <c:ext xmlns:c15="http://schemas.microsoft.com/office/drawing/2012/chart" uri="{CE6537A1-D6FC-4f65-9D91-7224C49458BB}">
                  <c15:layout>
                    <c:manualLayout>
                      <c:w val="0.23314626991870427"/>
                      <c:h val="5.1543739279588337E-2"/>
                    </c:manualLayout>
                  </c15:layout>
                </c:ext>
                <c:ext xmlns:c16="http://schemas.microsoft.com/office/drawing/2014/chart" uri="{C3380CC4-5D6E-409C-BE32-E72D297353CC}">
                  <c16:uniqueId val="{0000000B-D7A0-4F91-B391-4C149DE2515C}"/>
                </c:ext>
              </c:extLst>
            </c:dLbl>
            <c:dLbl>
              <c:idx val="2"/>
              <c:layout>
                <c:manualLayout>
                  <c:x val="-8.2502458904554514E-4"/>
                  <c:y val="-1.3110979052146784E-3"/>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16452962161659074"/>
                      <c:h val="9.9070785105549633E-2"/>
                    </c:manualLayout>
                  </c15:layout>
                </c:ext>
                <c:ext xmlns:c16="http://schemas.microsoft.com/office/drawing/2014/chart" uri="{C3380CC4-5D6E-409C-BE32-E72D297353CC}">
                  <c16:uniqueId val="{0000000C-D7A0-4F91-B391-4C149DE2515C}"/>
                </c:ext>
              </c:extLst>
            </c:dLbl>
            <c:dLbl>
              <c:idx val="3"/>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3383656869623969"/>
                      <c:h val="0.11605194805194805"/>
                    </c:manualLayout>
                  </c15:layout>
                </c:ext>
                <c:ext xmlns:c16="http://schemas.microsoft.com/office/drawing/2014/chart" uri="{C3380CC4-5D6E-409C-BE32-E72D297353CC}">
                  <c16:uniqueId val="{0000000D-D7A0-4F91-B391-4C149DE2515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'Fig 3.5'!$B$32:$B$35</c:f>
              <c:strCache>
                <c:ptCount val="4"/>
                <c:pt idx="0">
                  <c:v>Gasification</c:v>
                </c:pt>
                <c:pt idx="1">
                  <c:v>AD</c:v>
                </c:pt>
                <c:pt idx="2">
                  <c:v>Bioliquid</c:v>
                </c:pt>
                <c:pt idx="3">
                  <c:v>Solid Biomass</c:v>
                </c:pt>
              </c:strCache>
            </c:strRef>
          </c:cat>
          <c:val>
            <c:numRef>
              <c:f>'Fig 3.5'!$E$32:$E$35</c:f>
              <c:numCache>
                <c:formatCode>0.00%</c:formatCode>
                <c:ptCount val="4"/>
                <c:pt idx="0">
                  <c:v>3.4039892899240961E-3</c:v>
                </c:pt>
                <c:pt idx="1">
                  <c:v>1.0256068493998912E-3</c:v>
                </c:pt>
                <c:pt idx="2">
                  <c:v>8.6066806182088368E-2</c:v>
                </c:pt>
                <c:pt idx="3">
                  <c:v>0.3532455593015314</c:v>
                </c:pt>
              </c:numCache>
            </c:numRef>
          </c:val>
          <c:extLst>
            <c:ext xmlns:c16="http://schemas.microsoft.com/office/drawing/2014/chart" uri="{C3380CC4-5D6E-409C-BE32-E72D297353CC}">
              <c16:uniqueId val="{0000000E-D7A0-4F91-B391-4C149DE2515C}"/>
            </c:ext>
          </c:extLst>
        </c:ser>
        <c:dLbls>
          <c:dLblPos val="ctr"/>
          <c:showLegendKey val="0"/>
          <c:showVal val="1"/>
          <c:showCatName val="0"/>
          <c:showSerName val="0"/>
          <c:showPercent val="0"/>
          <c:showBubbleSize val="0"/>
        </c:dLbls>
        <c:gapWidth val="50"/>
        <c:overlap val="100"/>
        <c:axId val="14930784"/>
        <c:axId val="14931200"/>
      </c:barChart>
      <c:catAx>
        <c:axId val="14930784"/>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931200"/>
        <c:crosses val="autoZero"/>
        <c:auto val="1"/>
        <c:lblAlgn val="ctr"/>
        <c:lblOffset val="100"/>
        <c:noMultiLvlLbl val="0"/>
      </c:catAx>
      <c:valAx>
        <c:axId val="14931200"/>
        <c:scaling>
          <c:orientation val="minMax"/>
        </c:scaling>
        <c:delete val="0"/>
        <c:axPos val="l"/>
        <c:majorGridlines>
          <c:spPr>
            <a:ln w="6350" cap="flat" cmpd="sng" algn="ctr">
              <a:solidFill>
                <a:srgbClr val="7F7F7F"/>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solidFill>
                      <a:sysClr val="windowText" lastClr="000000"/>
                    </a:solidFill>
                  </a:rPr>
                  <a:t>Percentage of fuel bunt</a:t>
                </a:r>
              </a:p>
            </c:rich>
          </c:tx>
          <c:layout>
            <c:manualLayout>
              <c:xMode val="edge"/>
              <c:yMode val="edge"/>
              <c:x val="1.4515541336540235E-2"/>
              <c:y val="0.14427580664766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930784"/>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1156343301265"/>
          <c:y val="5.5520493699198946E-2"/>
          <c:w val="0.81982588433730441"/>
          <c:h val="0.5995901969501225"/>
        </c:manualLayout>
      </c:layout>
      <c:barChart>
        <c:barDir val="col"/>
        <c:grouping val="clustered"/>
        <c:varyColors val="0"/>
        <c:ser>
          <c:idx val="0"/>
          <c:order val="0"/>
          <c:tx>
            <c:strRef>
              <c:f>'Fig 4.1'!$D$27</c:f>
              <c:strCache>
                <c:ptCount val="1"/>
                <c:pt idx="0">
                  <c:v>Share of total obligation</c:v>
                </c:pt>
              </c:strCache>
            </c:strRef>
          </c:tx>
          <c:spPr>
            <a:solidFill>
              <a:srgbClr val="91AE3C"/>
            </a:solidFill>
            <a:ln w="3175">
              <a:solidFill>
                <a:schemeClr val="tx1"/>
              </a:solidFill>
            </a:ln>
            <a:effectLst/>
          </c:spPr>
          <c:invertIfNegative val="0"/>
          <c:dLbls>
            <c:dLbl>
              <c:idx val="3"/>
              <c:layout>
                <c:manualLayout>
                  <c:x val="0"/>
                  <c:y val="0.150985991143956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FD-42E9-96DF-697C84E44471}"/>
                </c:ext>
              </c:extLst>
            </c:dLbl>
            <c:dLbl>
              <c:idx val="4"/>
              <c:layout>
                <c:manualLayout>
                  <c:x val="-8.268405253150881E-17"/>
                  <c:y val="0.137122093352466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FD-42E9-96DF-697C84E44471}"/>
                </c:ext>
              </c:extLst>
            </c:dLbl>
            <c:dLbl>
              <c:idx val="5"/>
              <c:layout>
                <c:manualLayout>
                  <c:x val="0"/>
                  <c:y val="1.60644805366043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D-42E9-96DF-697C84E44471}"/>
                </c:ext>
              </c:extLst>
            </c:dLbl>
            <c:dLbl>
              <c:idx val="6"/>
              <c:layout>
                <c:manualLayout>
                  <c:x val="-8.268405253150881E-17"/>
                  <c:y val="1.6618751708840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FD-42E9-96DF-697C84E44471}"/>
                </c:ext>
              </c:extLst>
            </c:dLbl>
            <c:dLbl>
              <c:idx val="7"/>
              <c:layout>
                <c:manualLayout>
                  <c:x val="-1.6536810506301762E-16"/>
                  <c:y val="1.4191671695445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FD-42E9-96DF-697C84E44471}"/>
                </c:ext>
              </c:extLst>
            </c:dLbl>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4.1'!$B$28:$B$36</c:f>
              <c:strCache>
                <c:ptCount val="9"/>
                <c:pt idx="0">
                  <c:v>E.ON/Npower</c:v>
                </c:pt>
                <c:pt idx="1">
                  <c:v>EDF</c:v>
                </c:pt>
                <c:pt idx="2">
                  <c:v>British Gas</c:v>
                </c:pt>
                <c:pt idx="3">
                  <c:v>Scottish Power</c:v>
                </c:pt>
                <c:pt idx="4">
                  <c:v>OVO</c:v>
                </c:pt>
                <c:pt idx="5">
                  <c:v>SSE</c:v>
                </c:pt>
                <c:pt idx="6">
                  <c:v>Haven</c:v>
                </c:pt>
                <c:pt idx="7">
                  <c:v>Total Gas &amp; Power</c:v>
                </c:pt>
                <c:pt idx="8">
                  <c:v>Other</c:v>
                </c:pt>
              </c:strCache>
            </c:strRef>
          </c:cat>
          <c:val>
            <c:numRef>
              <c:f>'Fig 4.1'!$D$28:$D$36</c:f>
              <c:numCache>
                <c:formatCode>0.00%</c:formatCode>
                <c:ptCount val="9"/>
                <c:pt idx="0">
                  <c:v>0.19784682006856888</c:v>
                </c:pt>
                <c:pt idx="1">
                  <c:v>0.15943671491379716</c:v>
                </c:pt>
                <c:pt idx="2">
                  <c:v>0.10908512755617683</c:v>
                </c:pt>
                <c:pt idx="3">
                  <c:v>6.7320420804491743E-2</c:v>
                </c:pt>
                <c:pt idx="4">
                  <c:v>6.0383626455469956E-2</c:v>
                </c:pt>
                <c:pt idx="5">
                  <c:v>5.3270957816839236E-2</c:v>
                </c:pt>
                <c:pt idx="6">
                  <c:v>4.1212044153490217E-2</c:v>
                </c:pt>
                <c:pt idx="7">
                  <c:v>3.5885551273405432E-2</c:v>
                </c:pt>
                <c:pt idx="8">
                  <c:v>0.27555873695776056</c:v>
                </c:pt>
              </c:numCache>
            </c:numRef>
          </c:val>
          <c:extLst>
            <c:ext xmlns:c16="http://schemas.microsoft.com/office/drawing/2014/chart" uri="{C3380CC4-5D6E-409C-BE32-E72D297353CC}">
              <c16:uniqueId val="{00000001-861C-428C-AF81-E62830F14022}"/>
            </c:ext>
          </c:extLst>
        </c:ser>
        <c:dLbls>
          <c:showLegendKey val="0"/>
          <c:showVal val="0"/>
          <c:showCatName val="0"/>
          <c:showSerName val="0"/>
          <c:showPercent val="0"/>
          <c:showBubbleSize val="0"/>
        </c:dLbls>
        <c:gapWidth val="50"/>
        <c:overlap val="-27"/>
        <c:axId val="1331217871"/>
        <c:axId val="1331233263"/>
      </c:barChart>
      <c:catAx>
        <c:axId val="1331217871"/>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331233263"/>
        <c:crosses val="autoZero"/>
        <c:auto val="1"/>
        <c:lblAlgn val="ctr"/>
        <c:lblOffset val="100"/>
        <c:noMultiLvlLbl val="0"/>
      </c:catAx>
      <c:valAx>
        <c:axId val="1331233263"/>
        <c:scaling>
          <c:orientation val="minMax"/>
        </c:scaling>
        <c:delete val="0"/>
        <c:axPos val="l"/>
        <c:majorGridlines>
          <c:spPr>
            <a:ln w="6350" cap="flat" cmpd="sng" algn="ctr">
              <a:solidFill>
                <a:srgbClr val="A1ABB2"/>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Share of total UK obligation</a:t>
                </a:r>
              </a:p>
            </c:rich>
          </c:tx>
          <c:layout>
            <c:manualLayout>
              <c:xMode val="edge"/>
              <c:yMode val="edge"/>
              <c:x val="5.3356476207598747E-3"/>
              <c:y val="0.113091708568676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A1ABB2"/>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33121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9078140490762"/>
          <c:y val="0.13101153285717834"/>
          <c:w val="0.81326890682866704"/>
          <c:h val="0.56553517751302729"/>
        </c:manualLayout>
      </c:layout>
      <c:barChart>
        <c:barDir val="col"/>
        <c:grouping val="stacked"/>
        <c:varyColors val="0"/>
        <c:ser>
          <c:idx val="0"/>
          <c:order val="0"/>
          <c:tx>
            <c:strRef>
              <c:f>'Fig 2.1 &amp; 2.2'!$C$50</c:f>
              <c:strCache>
                <c:ptCount val="1"/>
                <c:pt idx="0">
                  <c:v>England</c:v>
                </c:pt>
              </c:strCache>
            </c:strRef>
          </c:tx>
          <c:spPr>
            <a:solidFill>
              <a:srgbClr val="079448"/>
            </a:solidFill>
            <a:ln w="3175">
              <a:solidFill>
                <a:schemeClr val="tx1"/>
              </a:solidFill>
            </a:ln>
            <a:effectLst/>
          </c:spPr>
          <c:invertIfNegative val="0"/>
          <c:dLbls>
            <c:dLbl>
              <c:idx val="0"/>
              <c:layout>
                <c:manualLayout>
                  <c:x val="-1.7540299988087247E-17"/>
                  <c:y val="-8.6998628397256889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12-4DE3-BB1F-E02D54859BD6}"/>
                </c:ext>
              </c:extLst>
            </c:dLbl>
            <c:dLbl>
              <c:idx val="1"/>
              <c:layout>
                <c:manualLayout>
                  <c:x val="0"/>
                  <c:y val="-9.9340614681229358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12-4DE3-BB1F-E02D54859BD6}"/>
                </c:ext>
              </c:extLst>
            </c:dLbl>
            <c:dLbl>
              <c:idx val="2"/>
              <c:layout>
                <c:manualLayout>
                  <c:x val="-3.5080599976174494E-17"/>
                  <c:y val="-0.1012592329184659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12-4DE3-BB1F-E02D54859BD6}"/>
                </c:ext>
              </c:extLst>
            </c:dLbl>
            <c:dLbl>
              <c:idx val="3"/>
              <c:layout>
                <c:manualLayout>
                  <c:x val="-7.0161199952348989E-17"/>
                  <c:y val="-0.1082745237490475"/>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12-4DE3-BB1F-E02D54859BD6}"/>
                </c:ext>
              </c:extLst>
            </c:dLbl>
            <c:dLbl>
              <c:idx val="4"/>
              <c:layout>
                <c:manualLayout>
                  <c:x val="-7.0161199952348989E-17"/>
                  <c:y val="-0.1366478028956058"/>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12-4DE3-BB1F-E02D54859BD6}"/>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2.1 &amp; 2.2'!$C$51:$C$64</c:f>
              <c:numCache>
                <c:formatCode>_-* #,##0_-;\-* #,##0_-;_-* "-"??_-;_-@_-</c:formatCode>
                <c:ptCount val="14"/>
                <c:pt idx="0">
                  <c:v>8573690</c:v>
                </c:pt>
                <c:pt idx="1">
                  <c:v>10174435</c:v>
                </c:pt>
                <c:pt idx="2">
                  <c:v>11091849</c:v>
                </c:pt>
                <c:pt idx="3">
                  <c:v>13487804</c:v>
                </c:pt>
                <c:pt idx="4">
                  <c:v>18602423</c:v>
                </c:pt>
                <c:pt idx="5">
                  <c:v>28567045</c:v>
                </c:pt>
                <c:pt idx="6">
                  <c:v>41509011</c:v>
                </c:pt>
                <c:pt idx="7">
                  <c:v>48996897</c:v>
                </c:pt>
                <c:pt idx="8">
                  <c:v>63595494</c:v>
                </c:pt>
                <c:pt idx="9">
                  <c:v>59162570</c:v>
                </c:pt>
                <c:pt idx="10">
                  <c:v>65336694</c:v>
                </c:pt>
                <c:pt idx="11">
                  <c:v>69094995</c:v>
                </c:pt>
                <c:pt idx="12">
                  <c:v>74550247</c:v>
                </c:pt>
                <c:pt idx="13">
                  <c:v>72558007</c:v>
                </c:pt>
              </c:numCache>
            </c:numRef>
          </c:val>
          <c:extLst>
            <c:ext xmlns:c16="http://schemas.microsoft.com/office/drawing/2014/chart" uri="{C3380CC4-5D6E-409C-BE32-E72D297353CC}">
              <c16:uniqueId val="{00000005-7412-4DE3-BB1F-E02D54859BD6}"/>
            </c:ext>
          </c:extLst>
        </c:ser>
        <c:dLbls>
          <c:showLegendKey val="0"/>
          <c:showVal val="1"/>
          <c:showCatName val="0"/>
          <c:showSerName val="0"/>
          <c:showPercent val="0"/>
          <c:showBubbleSize val="0"/>
        </c:dLbls>
        <c:gapWidth val="50"/>
        <c:overlap val="100"/>
        <c:axId val="991727256"/>
        <c:axId val="991722664"/>
        <c:extLst>
          <c:ext xmlns:c15="http://schemas.microsoft.com/office/drawing/2012/chart" uri="{02D57815-91ED-43cb-92C2-25804820EDAC}">
            <c15:filteredBarSeries>
              <c15:ser>
                <c:idx val="1"/>
                <c:order val="1"/>
                <c:tx>
                  <c:strRef>
                    <c:extLst>
                      <c:ext uri="{02D57815-91ED-43cb-92C2-25804820EDAC}">
                        <c15:formulaRef>
                          <c15:sqref>'Fig 2.1 &amp; 2.2'!$D$50</c15:sqref>
                        </c15:formulaRef>
                      </c:ext>
                    </c:extLst>
                    <c:strCache>
                      <c:ptCount val="1"/>
                      <c:pt idx="0">
                        <c:v>Scotland</c:v>
                      </c:pt>
                    </c:strCache>
                  </c:strRef>
                </c:tx>
                <c:spPr>
                  <a:pattFill prst="pct90">
                    <a:fgClr>
                      <a:srgbClr val="2363AF"/>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2.2'!$D$51:$D$64</c15:sqref>
                        </c15:formulaRef>
                      </c:ext>
                    </c:extLst>
                    <c:numCache>
                      <c:formatCode>_-* #,##0_-;\-* #,##0_-;_-* "-"??_-;_-@_-</c:formatCode>
                      <c:ptCount val="14"/>
                      <c:pt idx="0">
                        <c:v>5806454</c:v>
                      </c:pt>
                      <c:pt idx="1">
                        <c:v>6824674</c:v>
                      </c:pt>
                      <c:pt idx="2">
                        <c:v>7739201</c:v>
                      </c:pt>
                      <c:pt idx="3">
                        <c:v>8868936</c:v>
                      </c:pt>
                      <c:pt idx="4">
                        <c:v>12772905</c:v>
                      </c:pt>
                      <c:pt idx="5">
                        <c:v>12384987</c:v>
                      </c:pt>
                      <c:pt idx="6">
                        <c:v>17046916</c:v>
                      </c:pt>
                      <c:pt idx="7">
                        <c:v>16466006</c:v>
                      </c:pt>
                      <c:pt idx="8">
                        <c:v>17437039</c:v>
                      </c:pt>
                      <c:pt idx="9">
                        <c:v>17029872</c:v>
                      </c:pt>
                      <c:pt idx="10">
                        <c:v>21838223</c:v>
                      </c:pt>
                      <c:pt idx="11">
                        <c:v>23530224</c:v>
                      </c:pt>
                      <c:pt idx="12">
                        <c:v>25208643</c:v>
                      </c:pt>
                      <c:pt idx="13">
                        <c:v>22573854</c:v>
                      </c:pt>
                    </c:numCache>
                  </c:numRef>
                </c:val>
                <c:extLst>
                  <c:ext xmlns:c16="http://schemas.microsoft.com/office/drawing/2014/chart" uri="{C3380CC4-5D6E-409C-BE32-E72D297353CC}">
                    <c16:uniqueId val="{00000006-7412-4DE3-BB1F-E02D54859BD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 2.1 &amp; 2.2'!$E$50</c15:sqref>
                        </c15:formulaRef>
                      </c:ext>
                    </c:extLst>
                    <c:strCache>
                      <c:ptCount val="1"/>
                      <c:pt idx="0">
                        <c:v>Wales</c:v>
                      </c:pt>
                    </c:strCache>
                  </c:strRef>
                </c:tx>
                <c:spPr>
                  <a:pattFill prst="pct80">
                    <a:fgClr>
                      <a:srgbClr val="CD1F4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2.2'!$E$51:$E$64</c15:sqref>
                        </c15:formulaRef>
                      </c:ext>
                    </c:extLst>
                    <c:numCache>
                      <c:formatCode>_-* #,##0_-;\-* #,##0_-;_-* "-"??_-;_-@_-</c:formatCode>
                      <c:ptCount val="14"/>
                      <c:pt idx="0">
                        <c:v>1353224</c:v>
                      </c:pt>
                      <c:pt idx="1">
                        <c:v>1429788</c:v>
                      </c:pt>
                      <c:pt idx="2">
                        <c:v>1730347</c:v>
                      </c:pt>
                      <c:pt idx="3">
                        <c:v>1817838</c:v>
                      </c:pt>
                      <c:pt idx="4">
                        <c:v>2352685</c:v>
                      </c:pt>
                      <c:pt idx="5">
                        <c:v>2203328</c:v>
                      </c:pt>
                      <c:pt idx="6">
                        <c:v>2596267</c:v>
                      </c:pt>
                      <c:pt idx="7">
                        <c:v>3847685</c:v>
                      </c:pt>
                      <c:pt idx="8">
                        <c:v>6506156</c:v>
                      </c:pt>
                      <c:pt idx="9">
                        <c:v>6432021</c:v>
                      </c:pt>
                      <c:pt idx="10">
                        <c:v>8373083</c:v>
                      </c:pt>
                      <c:pt idx="11">
                        <c:v>7606217</c:v>
                      </c:pt>
                      <c:pt idx="12">
                        <c:v>8799234</c:v>
                      </c:pt>
                      <c:pt idx="13">
                        <c:v>8140214</c:v>
                      </c:pt>
                    </c:numCache>
                  </c:numRef>
                </c:val>
                <c:extLst xmlns:c15="http://schemas.microsoft.com/office/drawing/2012/chart">
                  <c:ext xmlns:c16="http://schemas.microsoft.com/office/drawing/2014/chart" uri="{C3380CC4-5D6E-409C-BE32-E72D297353CC}">
                    <c16:uniqueId val="{00000007-7412-4DE3-BB1F-E02D54859B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'Fig 2.1 &amp; 2.2'!$F$50</c15:sqref>
                        </c15:formulaRef>
                      </c:ext>
                    </c:extLst>
                    <c:strCache>
                      <c:ptCount val="1"/>
                      <c:pt idx="0">
                        <c:v>Northern Ireland</c:v>
                      </c:pt>
                    </c:strCache>
                  </c:strRef>
                </c:tx>
                <c:spPr>
                  <a:pattFill prst="pct20">
                    <a:fgClr>
                      <a:srgbClr val="FFFFFF"/>
                    </a:fgClr>
                    <a:bgClr>
                      <a:srgbClr val="9E712A"/>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2.2'!$F$51:$F$64</c15:sqref>
                        </c15:formulaRef>
                      </c:ext>
                    </c:extLst>
                    <c:numCache>
                      <c:formatCode>_-* #,##0_-;\-* #,##0_-;_-* "-"??_-;_-@_-</c:formatCode>
                      <c:ptCount val="14"/>
                      <c:pt idx="0">
                        <c:v>431052</c:v>
                      </c:pt>
                      <c:pt idx="1">
                        <c:v>620857</c:v>
                      </c:pt>
                      <c:pt idx="2">
                        <c:v>800362</c:v>
                      </c:pt>
                      <c:pt idx="3">
                        <c:v>787823</c:v>
                      </c:pt>
                      <c:pt idx="4">
                        <c:v>1244624</c:v>
                      </c:pt>
                      <c:pt idx="5">
                        <c:v>1247219</c:v>
                      </c:pt>
                      <c:pt idx="6">
                        <c:v>1861519</c:v>
                      </c:pt>
                      <c:pt idx="7">
                        <c:v>2151967</c:v>
                      </c:pt>
                      <c:pt idx="8">
                        <c:v>3024989</c:v>
                      </c:pt>
                      <c:pt idx="9">
                        <c:v>3545888</c:v>
                      </c:pt>
                      <c:pt idx="10">
                        <c:v>5033303</c:v>
                      </c:pt>
                      <c:pt idx="11">
                        <c:v>5716567</c:v>
                      </c:pt>
                      <c:pt idx="12">
                        <c:v>6148834</c:v>
                      </c:pt>
                      <c:pt idx="13">
                        <c:v>5980807</c:v>
                      </c:pt>
                    </c:numCache>
                  </c:numRef>
                </c:val>
                <c:extLst xmlns:c15="http://schemas.microsoft.com/office/drawing/2012/chart">
                  <c:ext xmlns:c16="http://schemas.microsoft.com/office/drawing/2014/chart" uri="{C3380CC4-5D6E-409C-BE32-E72D297353CC}">
                    <c16:uniqueId val="{00000008-7412-4DE3-BB1F-E02D54859BD6}"/>
                  </c:ext>
                </c:extLst>
              </c15:ser>
            </c15:filteredBarSeries>
          </c:ext>
        </c:extLst>
      </c:barChart>
      <c:lineChart>
        <c:grouping val="standard"/>
        <c:varyColors val="0"/>
        <c:dLbls>
          <c:showLegendKey val="0"/>
          <c:showVal val="1"/>
          <c:showCatName val="0"/>
          <c:showSerName val="0"/>
          <c:showPercent val="0"/>
          <c:showBubbleSize val="0"/>
        </c:dLbls>
        <c:marker val="1"/>
        <c:smooth val="0"/>
        <c:axId val="991727256"/>
        <c:axId val="991722664"/>
        <c:extLst>
          <c:ext xmlns:c15="http://schemas.microsoft.com/office/drawing/2012/chart" uri="{02D57815-91ED-43cb-92C2-25804820EDAC}">
            <c15:filteredLineSeries>
              <c15:ser>
                <c:idx val="4"/>
                <c:order val="4"/>
                <c:tx>
                  <c:strRef>
                    <c:extLst>
                      <c:ext uri="{02D57815-91ED-43cb-92C2-25804820EDAC}">
                        <c15:formulaRef>
                          <c15:sqref>'Fig 2.1 &amp; 2.2'!$G$50</c15:sqref>
                        </c15:formulaRef>
                      </c:ext>
                    </c:extLst>
                    <c:strCache>
                      <c:ptCount val="1"/>
                      <c:pt idx="0">
                        <c:v>RO generation (TWh)</c:v>
                      </c:pt>
                    </c:strCache>
                  </c:strRef>
                </c:tx>
                <c:spPr>
                  <a:ln w="28575" cap="rnd">
                    <a:solidFill>
                      <a:srgbClr val="E86E1E"/>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2.2'!$G$51:$G$64</c15:sqref>
                        </c15:formulaRef>
                      </c:ext>
                    </c:extLst>
                    <c:numCache>
                      <c:formatCode>_-* #,##0_-;\-* #,##0_-;_-* "-"??_-;_-@_-</c:formatCode>
                      <c:ptCount val="14"/>
                      <c:pt idx="0">
                        <c:v>16164420</c:v>
                      </c:pt>
                      <c:pt idx="1">
                        <c:v>19049754</c:v>
                      </c:pt>
                      <c:pt idx="2">
                        <c:v>20466190.999997403</c:v>
                      </c:pt>
                      <c:pt idx="3">
                        <c:v>23289739.416663691</c:v>
                      </c:pt>
                      <c:pt idx="4">
                        <c:v>31266240.899996206</c:v>
                      </c:pt>
                      <c:pt idx="5">
                        <c:v>35098127.783327565</c:v>
                      </c:pt>
                      <c:pt idx="6">
                        <c:v>49733554.545935087</c:v>
                      </c:pt>
                      <c:pt idx="7">
                        <c:v>55877518.95800291</c:v>
                      </c:pt>
                      <c:pt idx="8">
                        <c:v>69180692.447682679</c:v>
                      </c:pt>
                      <c:pt idx="9">
                        <c:v>65232940.377441831</c:v>
                      </c:pt>
                      <c:pt idx="10">
                        <c:v>75161322.997715786</c:v>
                      </c:pt>
                      <c:pt idx="11">
                        <c:v>79102225.020451128</c:v>
                      </c:pt>
                      <c:pt idx="12">
                        <c:v>84920897.264358833</c:v>
                      </c:pt>
                      <c:pt idx="13">
                        <c:v>80348926.404663816</c:v>
                      </c:pt>
                    </c:numCache>
                  </c:numRef>
                </c:val>
                <c:smooth val="0"/>
                <c:extLst>
                  <c:ext xmlns:c16="http://schemas.microsoft.com/office/drawing/2014/chart" uri="{C3380CC4-5D6E-409C-BE32-E72D297353CC}">
                    <c16:uniqueId val="{00000009-7412-4DE3-BB1F-E02D54859BD6}"/>
                  </c:ext>
                </c:extLst>
              </c15:ser>
            </c15:filteredLineSeries>
          </c:ext>
        </c:extLst>
      </c:lineChart>
      <c:scatterChart>
        <c:scatterStyle val="lineMarker"/>
        <c:varyColors val="0"/>
        <c:dLbls>
          <c:showLegendKey val="0"/>
          <c:showVal val="1"/>
          <c:showCatName val="0"/>
          <c:showSerName val="0"/>
          <c:showPercent val="0"/>
          <c:showBubbleSize val="0"/>
        </c:dLbls>
        <c:axId val="991727256"/>
        <c:axId val="991722664"/>
        <c:extLst>
          <c:ext xmlns:c15="http://schemas.microsoft.com/office/drawing/2012/chart" uri="{02D57815-91ED-43cb-92C2-25804820EDAC}">
            <c15:filteredScatterSeries>
              <c15:ser>
                <c:idx val="5"/>
                <c:order val="5"/>
                <c:tx>
                  <c:strRef>
                    <c:extLst>
                      <c:ext uri="{02D57815-91ED-43cb-92C2-25804820EDAC}">
                        <c15:formulaRef>
                          <c15:sqref>'Fig 2.1 &amp; 2.2'!$H$50</c15:sqref>
                        </c15:formulaRef>
                      </c:ext>
                    </c:extLst>
                    <c:strCache>
                      <c:ptCount val="1"/>
                      <c:pt idx="0">
                        <c:v>UK obligation (ROCs)</c:v>
                      </c:pt>
                    </c:strCache>
                  </c:strRef>
                </c:tx>
                <c:spPr>
                  <a:ln w="25400" cap="rnd">
                    <a:noFill/>
                    <a:round/>
                  </a:ln>
                  <a:effectLst/>
                </c:spPr>
                <c:marker>
                  <c:symbol val="dash"/>
                  <c:size val="13"/>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xVal>
                <c:yVal>
                  <c:numRef>
                    <c:extLst>
                      <c:ext uri="{02D57815-91ED-43cb-92C2-25804820EDAC}">
                        <c15:formulaRef>
                          <c15:sqref>'Fig 2.1 &amp; 2.2'!$H$51:$H$64</c15:sqref>
                        </c15:formulaRef>
                      </c:ext>
                    </c:extLst>
                    <c:numCache>
                      <c:formatCode>_-* #,##0_-;\-* #,##0_-;_-* "-"??_-;_-@_-</c:formatCode>
                      <c:ptCount val="14"/>
                      <c:pt idx="0">
                        <c:v>25551357</c:v>
                      </c:pt>
                      <c:pt idx="1">
                        <c:v>28975678</c:v>
                      </c:pt>
                      <c:pt idx="2">
                        <c:v>30101092</c:v>
                      </c:pt>
                      <c:pt idx="3">
                        <c:v>34749941</c:v>
                      </c:pt>
                      <c:pt idx="4">
                        <c:v>37676829</c:v>
                      </c:pt>
                      <c:pt idx="5">
                        <c:v>48915432</c:v>
                      </c:pt>
                      <c:pt idx="6">
                        <c:v>61858174</c:v>
                      </c:pt>
                      <c:pt idx="7">
                        <c:v>71922000</c:v>
                      </c:pt>
                      <c:pt idx="8">
                        <c:v>84439465</c:v>
                      </c:pt>
                      <c:pt idx="9">
                        <c:v>100748885</c:v>
                      </c:pt>
                      <c:pt idx="10">
                        <c:v>117842123</c:v>
                      </c:pt>
                      <c:pt idx="11">
                        <c:v>127623995</c:v>
                      </c:pt>
                      <c:pt idx="12">
                        <c:v>130183968</c:v>
                      </c:pt>
                      <c:pt idx="13">
                        <c:v>119090744</c:v>
                      </c:pt>
                    </c:numCache>
                  </c:numRef>
                </c:yVal>
                <c:smooth val="0"/>
                <c:extLst>
                  <c:ext xmlns:c16="http://schemas.microsoft.com/office/drawing/2014/chart" uri="{C3380CC4-5D6E-409C-BE32-E72D297353CC}">
                    <c16:uniqueId val="{0000000A-7412-4DE3-BB1F-E02D54859BD6}"/>
                  </c:ext>
                </c:extLst>
              </c15:ser>
            </c15:filteredScatterSeries>
          </c:ext>
        </c:extLst>
      </c:scatterChart>
      <c:catAx>
        <c:axId val="991727256"/>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2664"/>
        <c:crosses val="autoZero"/>
        <c:auto val="1"/>
        <c:lblAlgn val="ctr"/>
        <c:lblOffset val="100"/>
        <c:noMultiLvlLbl val="0"/>
      </c:catAx>
      <c:valAx>
        <c:axId val="99172266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a:t>ROCs issued (millions)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7256"/>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4843899753918"/>
          <c:y val="5.5318078953985418E-2"/>
          <c:w val="0.86290185166384747"/>
          <c:h val="0.59522372898936127"/>
        </c:manualLayout>
      </c:layout>
      <c:barChart>
        <c:barDir val="col"/>
        <c:grouping val="clustered"/>
        <c:varyColors val="0"/>
        <c:ser>
          <c:idx val="0"/>
          <c:order val="0"/>
          <c:tx>
            <c:strRef>
              <c:f>'Fig 4.2'!$C$27</c:f>
              <c:strCache>
                <c:ptCount val="1"/>
                <c:pt idx="0">
                  <c:v>Banked ROCs redeemed</c:v>
                </c:pt>
              </c:strCache>
            </c:strRef>
          </c:tx>
          <c:spPr>
            <a:solidFill>
              <a:srgbClr val="A1ABB2"/>
            </a:solidFill>
            <a:ln w="3175">
              <a:solidFill>
                <a:schemeClr val="tx1"/>
              </a:solidFill>
            </a:ln>
            <a:effectLst/>
          </c:spPr>
          <c:invertIfNegative val="0"/>
          <c:dLbls>
            <c:dLbl>
              <c:idx val="4"/>
              <c:layout>
                <c:manualLayout>
                  <c:x val="-2.07878598898251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4-4E1F-9291-533D63AFFC90}"/>
                </c:ext>
              </c:extLst>
            </c:dLbl>
            <c:dLbl>
              <c:idx val="6"/>
              <c:layout>
                <c:manualLayout>
                  <c:x val="-2.0787859889825106E-3"/>
                  <c:y val="-4.54235748353395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4-4E1F-9291-533D63AFFC90}"/>
                </c:ext>
              </c:extLst>
            </c:dLbl>
            <c:numFmt formatCode="#,##0.0" sourceLinked="0"/>
            <c:spPr>
              <a:noFill/>
              <a:ln>
                <a:solidFill>
                  <a:schemeClr val="bg1"/>
                </a:solidFill>
              </a:ln>
              <a:effectLst/>
            </c:spPr>
            <c:txPr>
              <a:bodyPr rot="-5400000" spcFirstLastPara="1" vertOverflow="ellipsis" wrap="square" anchor="ctr" anchorCtr="1"/>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4.2'!$B$28:$B$41</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4.2'!$C$28:$C$41</c:f>
              <c:numCache>
                <c:formatCode>_-* #,##0_-;\-* #,##0_-;_-* "-"??????????_-;_-@_-</c:formatCode>
                <c:ptCount val="14"/>
                <c:pt idx="0">
                  <c:v>500144.99999999994</c:v>
                </c:pt>
                <c:pt idx="1">
                  <c:v>177665</c:v>
                </c:pt>
                <c:pt idx="2">
                  <c:v>254695.99999999997</c:v>
                </c:pt>
                <c:pt idx="3">
                  <c:v>272274</c:v>
                </c:pt>
                <c:pt idx="4">
                  <c:v>172559</c:v>
                </c:pt>
                <c:pt idx="5">
                  <c:v>736570</c:v>
                </c:pt>
                <c:pt idx="6">
                  <c:v>340153</c:v>
                </c:pt>
                <c:pt idx="7">
                  <c:v>2595654</c:v>
                </c:pt>
                <c:pt idx="8">
                  <c:v>2775780</c:v>
                </c:pt>
                <c:pt idx="9">
                  <c:v>8943554</c:v>
                </c:pt>
                <c:pt idx="10">
                  <c:v>5318103</c:v>
                </c:pt>
                <c:pt idx="11">
                  <c:v>3277451</c:v>
                </c:pt>
                <c:pt idx="12">
                  <c:v>2055840</c:v>
                </c:pt>
                <c:pt idx="13">
                  <c:v>1050099</c:v>
                </c:pt>
              </c:numCache>
            </c:numRef>
          </c:val>
          <c:extLst>
            <c:ext xmlns:c16="http://schemas.microsoft.com/office/drawing/2014/chart" uri="{C3380CC4-5D6E-409C-BE32-E72D297353CC}">
              <c16:uniqueId val="{00000000-D40C-4ED7-9BEB-C9348A1C8BC5}"/>
            </c:ext>
          </c:extLst>
        </c:ser>
        <c:ser>
          <c:idx val="1"/>
          <c:order val="1"/>
          <c:tx>
            <c:strRef>
              <c:f>'Fig 4.2'!$D$27</c:f>
              <c:strCache>
                <c:ptCount val="1"/>
                <c:pt idx="0">
                  <c:v>ROCs issued but not presented</c:v>
                </c:pt>
              </c:strCache>
            </c:strRef>
          </c:tx>
          <c:spPr>
            <a:solidFill>
              <a:srgbClr val="45286F"/>
            </a:solidFill>
            <a:ln w="3175">
              <a:solidFill>
                <a:schemeClr val="tx1"/>
              </a:solidFill>
            </a:ln>
            <a:effectLst/>
          </c:spPr>
          <c:invertIfNegative val="0"/>
          <c:dLbls>
            <c:dLbl>
              <c:idx val="5"/>
              <c:layout>
                <c:manualLayout>
                  <c:x val="2.0787859889823579E-3"/>
                  <c:y val="-8.32755918580458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24-4E1F-9291-533D63AFFC90}"/>
                </c:ext>
              </c:extLst>
            </c:dLbl>
            <c:dLbl>
              <c:idx val="9"/>
              <c:layout>
                <c:manualLayout>
                  <c:x val="2.0787859889824342E-3"/>
                  <c:y val="-4.5423574835339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24-4E1F-9291-533D63AFFC90}"/>
                </c:ext>
              </c:extLst>
            </c:dLbl>
            <c:dLbl>
              <c:idx val="10"/>
              <c:layout>
                <c:manualLayout>
                  <c:x val="4.15757197796486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4-4E1F-9291-533D63AFFC90}"/>
                </c:ext>
              </c:extLst>
            </c:dLbl>
            <c:dLbl>
              <c:idx val="12"/>
              <c:layout>
                <c:manualLayout>
                  <c:x val="2.078785988982282E-3"/>
                  <c:y val="-8.32755918580458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24-4E1F-9291-533D63AFFC90}"/>
                </c:ext>
              </c:extLst>
            </c:dLbl>
            <c:numFmt formatCode="#,##0.0" sourceLinked="0"/>
            <c:spPr>
              <a:noFill/>
              <a:ln>
                <a:solidFill>
                  <a:schemeClr val="bg1"/>
                </a:solid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4.2'!$B$28:$B$41</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4.2'!$D$28:$D$41</c:f>
              <c:numCache>
                <c:formatCode>_-* #,##0_-;\-* #,##0_-;_-* "-"??????????_-;_-@_-</c:formatCode>
                <c:ptCount val="14"/>
                <c:pt idx="0">
                  <c:v>185372</c:v>
                </c:pt>
                <c:pt idx="1">
                  <c:v>225240</c:v>
                </c:pt>
                <c:pt idx="2">
                  <c:v>145109</c:v>
                </c:pt>
                <c:pt idx="3">
                  <c:v>97365</c:v>
                </c:pt>
                <c:pt idx="4">
                  <c:v>517988</c:v>
                </c:pt>
                <c:pt idx="5">
                  <c:v>209282</c:v>
                </c:pt>
                <c:pt idx="6">
                  <c:v>2399288</c:v>
                </c:pt>
                <c:pt idx="7">
                  <c:v>2583831</c:v>
                </c:pt>
                <c:pt idx="8">
                  <c:v>8806286</c:v>
                </c:pt>
                <c:pt idx="9">
                  <c:v>4874500</c:v>
                </c:pt>
                <c:pt idx="10">
                  <c:v>2674340</c:v>
                </c:pt>
                <c:pt idx="11">
                  <c:v>1573814</c:v>
                </c:pt>
                <c:pt idx="12">
                  <c:v>801167</c:v>
                </c:pt>
                <c:pt idx="13">
                  <c:v>5036969</c:v>
                </c:pt>
              </c:numCache>
            </c:numRef>
          </c:val>
          <c:extLst>
            <c:ext xmlns:c16="http://schemas.microsoft.com/office/drawing/2014/chart" uri="{C3380CC4-5D6E-409C-BE32-E72D297353CC}">
              <c16:uniqueId val="{00000001-D40C-4ED7-9BEB-C9348A1C8BC5}"/>
            </c:ext>
          </c:extLst>
        </c:ser>
        <c:dLbls>
          <c:dLblPos val="outEnd"/>
          <c:showLegendKey val="0"/>
          <c:showVal val="1"/>
          <c:showCatName val="0"/>
          <c:showSerName val="0"/>
          <c:showPercent val="0"/>
          <c:showBubbleSize val="0"/>
        </c:dLbls>
        <c:gapWidth val="50"/>
        <c:axId val="2118178672"/>
        <c:axId val="2118179504"/>
      </c:barChart>
      <c:catAx>
        <c:axId val="211817867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118179504"/>
        <c:crosses val="autoZero"/>
        <c:auto val="1"/>
        <c:lblAlgn val="ctr"/>
        <c:lblOffset val="100"/>
        <c:noMultiLvlLbl val="0"/>
      </c:catAx>
      <c:valAx>
        <c:axId val="2118179504"/>
        <c:scaling>
          <c:orientation val="minMax"/>
          <c:max val="10000000"/>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ROCs (millions)</a:t>
                </a:r>
              </a:p>
            </c:rich>
          </c:tx>
          <c:layout>
            <c:manualLayout>
              <c:xMode val="edge"/>
              <c:yMode val="edge"/>
              <c:x val="1.7776166112738467E-2"/>
              <c:y val="3.995345987380716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A1ABB2"/>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118178672"/>
        <c:crosses val="autoZero"/>
        <c:crossBetween val="between"/>
        <c:dispUnits>
          <c:builtInUnit val="millions"/>
        </c:dispUnits>
      </c:valAx>
      <c:spPr>
        <a:noFill/>
        <a:ln w="6350">
          <a:noFill/>
          <a:prstDash val="dash"/>
        </a:ln>
        <a:effectLst/>
      </c:spPr>
    </c:plotArea>
    <c:legend>
      <c:legendPos val="b"/>
      <c:layout>
        <c:manualLayout>
          <c:xMode val="edge"/>
          <c:yMode val="edge"/>
          <c:x val="3.4898233604803139E-2"/>
          <c:y val="0.92821143779920989"/>
          <c:w val="0.90065946311597955"/>
          <c:h val="7.178856220079007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4.3'!$C$27</c:f>
              <c:strCache>
                <c:ptCount val="1"/>
                <c:pt idx="0">
                  <c:v>ROCs redeemed</c:v>
                </c:pt>
              </c:strCache>
            </c:strRef>
          </c:tx>
          <c:spPr>
            <a:solidFill>
              <a:srgbClr val="A1ABB2"/>
            </a:solidFill>
            <a:ln w="3175">
              <a:solidFill>
                <a:schemeClr val="tx1"/>
              </a:solidFill>
            </a:ln>
          </c:spPr>
          <c:invertIfNegative val="0"/>
          <c:dLbls>
            <c:dLbl>
              <c:idx val="0"/>
              <c:layout>
                <c:manualLayout>
                  <c:x val="0"/>
                  <c:y val="8.396394151278124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A-495F-849C-13DBEE1DB804}"/>
                </c:ext>
              </c:extLst>
            </c:dLbl>
            <c:dLbl>
              <c:idx val="1"/>
              <c:layout>
                <c:manualLayout>
                  <c:x val="0"/>
                  <c:y val="2.37418588044723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C-4012-889A-66C04E924490}"/>
                </c:ext>
              </c:extLst>
            </c:dLbl>
            <c:numFmt formatCode="#,##0.0" sourceLinked="0"/>
            <c:spPr>
              <a:noFill/>
              <a:ln>
                <a:noFill/>
              </a:ln>
              <a:effectLst/>
            </c:spPr>
            <c:txPr>
              <a:bodyPr rot="-5400000" vert="horz" wrap="square" lIns="38100" tIns="19050" rIns="38100" bIns="19050" anchor="ctr">
                <a:spAutoFit/>
              </a:bodyPr>
              <a:lstStyle/>
              <a:p>
                <a:pPr>
                  <a:defRPr sz="700" b="1">
                    <a:solidFill>
                      <a:sysClr val="windowText" lastClr="000000"/>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4.3'!$B$28:$B$40</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'Fig 4.3'!$C$28:$C$40</c:f>
              <c:numCache>
                <c:formatCode>_(* #,##0_);_(* \(#,##0\);_(* "-"??_);_(@_)</c:formatCode>
                <c:ptCount val="13"/>
                <c:pt idx="0">
                  <c:v>18948878</c:v>
                </c:pt>
                <c:pt idx="1">
                  <c:v>21337205</c:v>
                </c:pt>
                <c:pt idx="2">
                  <c:v>24969364</c:v>
                </c:pt>
                <c:pt idx="3">
                  <c:v>34404733</c:v>
                </c:pt>
                <c:pt idx="4">
                  <c:v>44773499</c:v>
                </c:pt>
                <c:pt idx="5">
                  <c:v>60757250</c:v>
                </c:pt>
                <c:pt idx="6">
                  <c:v>71276525</c:v>
                </c:pt>
                <c:pt idx="7">
                  <c:v>84384727</c:v>
                </c:pt>
                <c:pt idx="8">
                  <c:v>90214078</c:v>
                </c:pt>
                <c:pt idx="9">
                  <c:v>103220879</c:v>
                </c:pt>
                <c:pt idx="10">
                  <c:v>107643960</c:v>
                </c:pt>
                <c:pt idx="11">
                  <c:v>115942339</c:v>
                </c:pt>
                <c:pt idx="12">
                  <c:v>105263447</c:v>
                </c:pt>
              </c:numCache>
            </c:numRef>
          </c:val>
          <c:extLst>
            <c:ext xmlns:c16="http://schemas.microsoft.com/office/drawing/2014/chart" uri="{C3380CC4-5D6E-409C-BE32-E72D297353CC}">
              <c16:uniqueId val="{00000001-E7AA-495F-849C-13DBEE1DB804}"/>
            </c:ext>
          </c:extLst>
        </c:ser>
        <c:ser>
          <c:idx val="1"/>
          <c:order val="1"/>
          <c:tx>
            <c:strRef>
              <c:f>'Fig 4.3'!$D$27</c:f>
              <c:strCache>
                <c:ptCount val="1"/>
                <c:pt idx="0">
                  <c:v>Payments made (expressed as ROCs)</c:v>
                </c:pt>
              </c:strCache>
            </c:strRef>
          </c:tx>
          <c:spPr>
            <a:solidFill>
              <a:srgbClr val="45286F"/>
            </a:solidFill>
            <a:ln w="3175">
              <a:solidFill>
                <a:schemeClr val="tx1"/>
              </a:solidFill>
            </a:ln>
          </c:spPr>
          <c:invertIfNegative val="0"/>
          <c:dLbls>
            <c:dLbl>
              <c:idx val="0"/>
              <c:layout>
                <c:manualLayout>
                  <c:x val="0"/>
                  <c:y val="-5.96486280776376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AA-495F-849C-13DBEE1DB804}"/>
                </c:ext>
              </c:extLst>
            </c:dLbl>
            <c:dLbl>
              <c:idx val="1"/>
              <c:layout>
                <c:manualLayout>
                  <c:x val="-3.6913563973721511E-17"/>
                  <c:y val="-5.52349377063562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AA-495F-849C-13DBEE1DB804}"/>
                </c:ext>
              </c:extLst>
            </c:dLbl>
            <c:dLbl>
              <c:idx val="2"/>
              <c:layout>
                <c:manualLayout>
                  <c:x val="4.0270386413360504E-3"/>
                  <c:y val="-6.52675871389478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AA-495F-849C-13DBEE1DB804}"/>
                </c:ext>
              </c:extLst>
            </c:dLbl>
            <c:dLbl>
              <c:idx val="3"/>
              <c:layout>
                <c:manualLayout>
                  <c:x val="0"/>
                  <c:y val="-4.52949140239357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AA-495F-849C-13DBEE1DB804}"/>
                </c:ext>
              </c:extLst>
            </c:dLbl>
            <c:dLbl>
              <c:idx val="4"/>
              <c:layout>
                <c:manualLayout>
                  <c:x val="0"/>
                  <c:y val="-3.91357222028567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AA-495F-849C-13DBEE1DB804}"/>
                </c:ext>
              </c:extLst>
            </c:dLbl>
            <c:dLbl>
              <c:idx val="6"/>
              <c:layout>
                <c:manualLayout>
                  <c:x val="-7.6086829415018839E-17"/>
                  <c:y val="-2.99615165268067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C-4012-889A-66C04E924490}"/>
                </c:ext>
              </c:extLst>
            </c:dLbl>
            <c:dLbl>
              <c:idx val="8"/>
              <c:layout>
                <c:manualLayout>
                  <c:x val="-7.3827127947443023E-17"/>
                  <c:y val="-6.5755272080201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AA-495F-849C-13DBEE1DB804}"/>
                </c:ext>
              </c:extLst>
            </c:dLbl>
            <c:dLbl>
              <c:idx val="9"/>
              <c:layout>
                <c:manualLayout>
                  <c:x val="-2.0135193206680252E-3"/>
                  <c:y val="-6.32375000599057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AA-495F-849C-13DBEE1DB804}"/>
                </c:ext>
              </c:extLst>
            </c:dLbl>
            <c:dLbl>
              <c:idx val="10"/>
              <c:layout>
                <c:manualLayout>
                  <c:x val="0"/>
                  <c:y val="-6.92701010093097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AA-495F-849C-13DBEE1DB804}"/>
                </c:ext>
              </c:extLst>
            </c:dLbl>
            <c:dLbl>
              <c:idx val="11"/>
              <c:layout>
                <c:manualLayout>
                  <c:x val="0"/>
                  <c:y val="-5.64530026672097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AA-495F-849C-13DBEE1DB804}"/>
                </c:ext>
              </c:extLst>
            </c:dLbl>
            <c:dLbl>
              <c:idx val="12"/>
              <c:layout>
                <c:manualLayout>
                  <c:x val="0"/>
                  <c:y val="-6.18882621413041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AA-495F-849C-13DBEE1DB804}"/>
                </c:ext>
              </c:extLst>
            </c:dLbl>
            <c:numFmt formatCode="#,##0.0" sourceLinked="0"/>
            <c:spPr>
              <a:noFill/>
              <a:ln>
                <a:noFill/>
              </a:ln>
              <a:effectLst/>
            </c:spPr>
            <c:txPr>
              <a:bodyPr rot="0" vert="horz" wrap="square" lIns="38100" tIns="19050" rIns="38100" bIns="19050" anchor="ctr">
                <a:spAutoFit/>
              </a:bodyPr>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4.3'!$B$28:$B$40</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'Fig 4.3'!$D$28:$D$40</c:f>
              <c:numCache>
                <c:formatCode>_(* #,##0_);_(* \(#,##0\);_(* "-"??_);_(@_)</c:formatCode>
                <c:ptCount val="13"/>
                <c:pt idx="0">
                  <c:v>9858363.2829977628</c:v>
                </c:pt>
                <c:pt idx="1">
                  <c:v>8764387.1739714984</c:v>
                </c:pt>
                <c:pt idx="2">
                  <c:v>9780209.6242227629</c:v>
                </c:pt>
                <c:pt idx="3">
                  <c:v>3272393.1248384598</c:v>
                </c:pt>
                <c:pt idx="4">
                  <c:v>4142454.7531319088</c:v>
                </c:pt>
                <c:pt idx="5">
                  <c:v>1101529.2125178485</c:v>
                </c:pt>
                <c:pt idx="6">
                  <c:v>642872.78060046188</c:v>
                </c:pt>
                <c:pt idx="7">
                  <c:v>54971.099481163998</c:v>
                </c:pt>
                <c:pt idx="8">
                  <c:v>10370999.128210854</c:v>
                </c:pt>
                <c:pt idx="9">
                  <c:v>13340354.649188241</c:v>
                </c:pt>
                <c:pt idx="10">
                  <c:v>17934690.427784838</c:v>
                </c:pt>
                <c:pt idx="11">
                  <c:v>13557874.579745797</c:v>
                </c:pt>
                <c:pt idx="12">
                  <c:v>9469118.4215784222</c:v>
                </c:pt>
              </c:numCache>
            </c:numRef>
          </c:val>
          <c:extLst>
            <c:ext xmlns:c16="http://schemas.microsoft.com/office/drawing/2014/chart" uri="{C3380CC4-5D6E-409C-BE32-E72D297353CC}">
              <c16:uniqueId val="{0000000C-E7AA-495F-849C-13DBEE1DB804}"/>
            </c:ext>
          </c:extLst>
        </c:ser>
        <c:dLbls>
          <c:dLblPos val="ctr"/>
          <c:showLegendKey val="0"/>
          <c:showVal val="1"/>
          <c:showCatName val="0"/>
          <c:showSerName val="0"/>
          <c:showPercent val="0"/>
          <c:showBubbleSize val="0"/>
        </c:dLbls>
        <c:gapWidth val="50"/>
        <c:overlap val="100"/>
        <c:axId val="287909567"/>
        <c:axId val="287910815"/>
      </c:barChart>
      <c:catAx>
        <c:axId val="287909567"/>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5400000" vert="horz"/>
          <a:lstStyle/>
          <a:p>
            <a:pPr>
              <a:defRPr sz="800" b="1"/>
            </a:pPr>
            <a:endParaRPr lang="en-US"/>
          </a:p>
        </c:txPr>
        <c:crossAx val="287910815"/>
        <c:crosses val="autoZero"/>
        <c:auto val="1"/>
        <c:lblAlgn val="ctr"/>
        <c:lblOffset val="100"/>
        <c:noMultiLvlLbl val="0"/>
      </c:catAx>
      <c:valAx>
        <c:axId val="287910815"/>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vert="horz"/>
              <a:lstStyle/>
              <a:p>
                <a:pPr>
                  <a:defRPr b="0"/>
                </a:pPr>
                <a:r>
                  <a:rPr lang="en-GB" b="0"/>
                  <a:t>ROCs (millions)</a:t>
                </a:r>
              </a:p>
            </c:rich>
          </c:tx>
          <c:layout>
            <c:manualLayout>
              <c:xMode val="edge"/>
              <c:yMode val="edge"/>
              <c:x val="1.2399256044637322E-2"/>
              <c:y val="8.1732957898463979E-2"/>
            </c:manualLayout>
          </c:layout>
          <c:overlay val="0"/>
          <c:spPr>
            <a:noFill/>
            <a:ln>
              <a:noFill/>
            </a:ln>
            <a:effectLst/>
          </c:spPr>
        </c:title>
        <c:numFmt formatCode="0" sourceLinked="0"/>
        <c:majorTickMark val="out"/>
        <c:minorTickMark val="none"/>
        <c:tickLblPos val="nextTo"/>
        <c:spPr>
          <a:noFill/>
          <a:ln w="6350">
            <a:solidFill>
              <a:srgbClr val="A1ABB2"/>
            </a:solidFill>
          </a:ln>
          <a:effectLst/>
        </c:spPr>
        <c:txPr>
          <a:bodyPr rot="-60000000" vert="horz"/>
          <a:lstStyle/>
          <a:p>
            <a:pPr>
              <a:defRPr sz="800" b="1"/>
            </a:pPr>
            <a:endParaRPr lang="en-US"/>
          </a:p>
        </c:txPr>
        <c:crossAx val="287909567"/>
        <c:crosses val="autoZero"/>
        <c:crossBetween val="between"/>
        <c:dispUnits>
          <c:builtInUnit val="millions"/>
        </c:dispUnits>
      </c:valAx>
      <c:spPr>
        <a:noFill/>
        <a:ln>
          <a:noFill/>
        </a:ln>
        <a:effectLst/>
      </c:spPr>
    </c:plotArea>
    <c:legend>
      <c:legendPos val="b"/>
      <c:layout>
        <c:manualLayout>
          <c:xMode val="edge"/>
          <c:yMode val="edge"/>
          <c:x val="0.19036736147761568"/>
          <c:y val="0.92682708635857525"/>
          <c:w val="0.72717131825631154"/>
          <c:h val="7.317291364142476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 4.4'!$D$22</c:f>
              <c:strCache>
                <c:ptCount val="1"/>
                <c:pt idx="0">
                  <c:v>Scheme value (£bn)</c:v>
                </c:pt>
              </c:strCache>
            </c:strRef>
          </c:tx>
          <c:spPr>
            <a:ln>
              <a:solidFill>
                <a:srgbClr val="2363AF"/>
              </a:solidFill>
            </a:ln>
          </c:spPr>
          <c:marker>
            <c:symbol val="circle"/>
            <c:size val="5"/>
            <c:spPr>
              <a:solidFill>
                <a:srgbClr val="2363AF"/>
              </a:solidFill>
              <a:ln w="9525">
                <a:solidFill>
                  <a:srgbClr val="2363AF"/>
                </a:solidFill>
              </a:ln>
              <a:effectLst/>
            </c:spPr>
          </c:marker>
          <c:dLbls>
            <c:numFmt formatCode="&quot;£&quot;#,##0.0" sourceLinked="0"/>
            <c:spPr>
              <a:noFill/>
              <a:ln>
                <a:noFill/>
              </a:ln>
              <a:effectLst/>
            </c:spPr>
            <c:txPr>
              <a:bodyPr wrap="square" lIns="38100" tIns="19050" rIns="38100" bIns="19050" anchor="ctr">
                <a:spAutoFit/>
              </a:bodyPr>
              <a:lstStyle/>
              <a:p>
                <a:pPr>
                  <a:defRPr sz="7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4.4'!$C$23:$C$41</c:f>
              <c:strCache>
                <c:ptCount val="19"/>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pt idx="18">
                  <c:v>2020-21</c:v>
                </c:pt>
              </c:strCache>
            </c:strRef>
          </c:cat>
          <c:val>
            <c:numRef>
              <c:f>'Fig 4.4'!$D$23:$D$41</c:f>
              <c:numCache>
                <c:formatCode>_("£"* #,##0.00_);_("£"* \(#,##0.00\);_("£"* "-"??_);_(@_)</c:formatCode>
                <c:ptCount val="19"/>
                <c:pt idx="0">
                  <c:v>0.25</c:v>
                </c:pt>
                <c:pt idx="1">
                  <c:v>0.41</c:v>
                </c:pt>
                <c:pt idx="2">
                  <c:v>0.49</c:v>
                </c:pt>
                <c:pt idx="3">
                  <c:v>0.57999999999999996</c:v>
                </c:pt>
                <c:pt idx="4">
                  <c:v>0.72</c:v>
                </c:pt>
                <c:pt idx="5">
                  <c:v>0.87</c:v>
                </c:pt>
                <c:pt idx="6">
                  <c:v>1.03</c:v>
                </c:pt>
                <c:pt idx="7">
                  <c:v>1.1200000000000001</c:v>
                </c:pt>
                <c:pt idx="8">
                  <c:v>1.28</c:v>
                </c:pt>
                <c:pt idx="9">
                  <c:v>1.45</c:v>
                </c:pt>
                <c:pt idx="10">
                  <c:v>1.99</c:v>
                </c:pt>
                <c:pt idx="11">
                  <c:v>2.6</c:v>
                </c:pt>
                <c:pt idx="12">
                  <c:v>3.11</c:v>
                </c:pt>
                <c:pt idx="13">
                  <c:v>3.74</c:v>
                </c:pt>
                <c:pt idx="14">
                  <c:v>4.5</c:v>
                </c:pt>
                <c:pt idx="15">
                  <c:v>5.31</c:v>
                </c:pt>
                <c:pt idx="16">
                  <c:v>5.92</c:v>
                </c:pt>
                <c:pt idx="17">
                  <c:v>6.31</c:v>
                </c:pt>
                <c:pt idx="18">
                  <c:v>5.73</c:v>
                </c:pt>
              </c:numCache>
            </c:numRef>
          </c:val>
          <c:smooth val="0"/>
          <c:extLst>
            <c:ext xmlns:c16="http://schemas.microsoft.com/office/drawing/2014/chart" uri="{C3380CC4-5D6E-409C-BE32-E72D297353CC}">
              <c16:uniqueId val="{00000000-BAC5-4C94-B15B-4C9039692B67}"/>
            </c:ext>
          </c:extLst>
        </c:ser>
        <c:dLbls>
          <c:dLblPos val="t"/>
          <c:showLegendKey val="0"/>
          <c:showVal val="1"/>
          <c:showCatName val="0"/>
          <c:showSerName val="0"/>
          <c:showPercent val="0"/>
          <c:showBubbleSize val="0"/>
        </c:dLbls>
        <c:marker val="1"/>
        <c:smooth val="0"/>
        <c:axId val="1459607407"/>
        <c:axId val="1459628207"/>
        <c:extLst/>
      </c:lineChart>
      <c:catAx>
        <c:axId val="1459607407"/>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vert="horz"/>
          <a:lstStyle/>
          <a:p>
            <a:pPr>
              <a:defRPr sz="800" b="1"/>
            </a:pPr>
            <a:endParaRPr lang="en-US"/>
          </a:p>
        </c:txPr>
        <c:crossAx val="1459628207"/>
        <c:crosses val="autoZero"/>
        <c:auto val="1"/>
        <c:lblAlgn val="ctr"/>
        <c:lblOffset val="100"/>
        <c:noMultiLvlLbl val="0"/>
      </c:catAx>
      <c:valAx>
        <c:axId val="1459628207"/>
        <c:scaling>
          <c:orientation val="minMax"/>
        </c:scaling>
        <c:delete val="0"/>
        <c:axPos val="l"/>
        <c:majorGridlines>
          <c:spPr>
            <a:ln w="6350" cap="flat" cmpd="sng" algn="ctr">
              <a:solidFill>
                <a:sysClr val="window" lastClr="FFFFFF">
                  <a:lumMod val="65000"/>
                </a:sysClr>
              </a:solidFill>
              <a:prstDash val="dash"/>
              <a:round/>
            </a:ln>
            <a:effectLst/>
          </c:spPr>
        </c:majorGridlines>
        <c:title>
          <c:tx>
            <c:rich>
              <a:bodyPr rot="-5400000" vert="horz"/>
              <a:lstStyle/>
              <a:p>
                <a:pPr>
                  <a:defRPr b="0">
                    <a:solidFill>
                      <a:sysClr val="windowText" lastClr="000000"/>
                    </a:solidFill>
                  </a:defRPr>
                </a:pPr>
                <a:r>
                  <a:rPr lang="en-GB" b="0">
                    <a:solidFill>
                      <a:sysClr val="windowText" lastClr="000000"/>
                    </a:solidFill>
                  </a:rPr>
                  <a:t>Scheme value (£bn)</a:t>
                </a:r>
              </a:p>
            </c:rich>
          </c:tx>
          <c:layout>
            <c:manualLayout>
              <c:xMode val="edge"/>
              <c:yMode val="edge"/>
              <c:x val="8.0096115338406087E-3"/>
              <c:y val="7.0115996022993496E-2"/>
            </c:manualLayout>
          </c:layout>
          <c:overlay val="0"/>
          <c:spPr>
            <a:noFill/>
            <a:ln>
              <a:noFill/>
            </a:ln>
            <a:effectLst/>
          </c:spPr>
        </c:title>
        <c:numFmt formatCode="&quot;£&quot;#,##0" sourceLinked="0"/>
        <c:majorTickMark val="out"/>
        <c:minorTickMark val="none"/>
        <c:tickLblPos val="nextTo"/>
        <c:spPr>
          <a:noFill/>
          <a:ln>
            <a:solidFill>
              <a:sysClr val="windowText" lastClr="000000">
                <a:lumMod val="50000"/>
                <a:lumOff val="50000"/>
              </a:sysClr>
            </a:solidFill>
          </a:ln>
          <a:effectLst/>
        </c:spPr>
        <c:txPr>
          <a:bodyPr rot="-60000000" vert="horz"/>
          <a:lstStyle/>
          <a:p>
            <a:pPr>
              <a:defRPr sz="800" b="1"/>
            </a:pPr>
            <a:endParaRPr lang="en-US"/>
          </a:p>
        </c:txPr>
        <c:crossAx val="1459607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3"/>
          <c:order val="3"/>
          <c:tx>
            <c:strRef>
              <c:f>'Fig 4.5'!$B$33</c:f>
              <c:strCache>
                <c:ptCount val="1"/>
                <c:pt idx="0">
                  <c:v>Offshore wind</c:v>
                </c:pt>
              </c:strCache>
              <c:extLst xmlns:c15="http://schemas.microsoft.com/office/drawing/2012/chart"/>
            </c:strRef>
          </c:tx>
          <c:spPr>
            <a:ln>
              <a:solidFill>
                <a:srgbClr val="2363AF"/>
              </a:solidFill>
              <a:prstDash val="solid"/>
            </a:ln>
          </c:spPr>
          <c:marker>
            <c:symbol val="none"/>
          </c:marker>
          <c:dLbls>
            <c:dLbl>
              <c:idx val="9"/>
              <c:layout>
                <c:manualLayout>
                  <c:x val="-0.2658486707566462"/>
                  <c:y val="-2.86615075952995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A9FA-42B1-8BAC-7A2EF254506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4.5'!$C$33:$P$33</c:f>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8-A9FA-42B1-8BAC-7A2EF254506E}"/>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8"/>
              <c:layout>
                <c:manualLayout>
                  <c:x val="1.6359918200408999E-2"/>
                  <c:y val="3.439380911435936E-2"/>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7965251276105824"/>
                      <c:h val="0.20533104041272571"/>
                    </c:manualLayout>
                  </c15:layout>
                </c:ext>
                <c:ext xmlns:c16="http://schemas.microsoft.com/office/drawing/2014/chart" uri="{C3380CC4-5D6E-409C-BE32-E72D297353CC}">
                  <c16:uniqueId val="{00000012-A9FA-42B1-8BAC-7A2EF254506E}"/>
                </c:ext>
              </c:extLst>
            </c:dLbl>
            <c:dLbl>
              <c:idx val="13"/>
              <c:delete val="1"/>
              <c:extLst>
                <c:ext xmlns:c15="http://schemas.microsoft.com/office/drawing/2012/chart" uri="{CE6537A1-D6FC-4f65-9D91-7224C49458BB}">
                  <c15:layout>
                    <c:manualLayout>
                      <c:w val="0.2806949744778835"/>
                      <c:h val="0.1935224992834623"/>
                    </c:manualLayout>
                  </c15:layout>
                </c:ext>
                <c:ext xmlns:c16="http://schemas.microsoft.com/office/drawing/2014/chart" uri="{C3380CC4-5D6E-409C-BE32-E72D297353CC}">
                  <c16:uniqueId val="{00000002-A9FA-42B1-8BAC-7A2EF25450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A9FA-42B1-8BAC-7A2EF254506E}"/>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dLbls>
                  <c:dLbl>
                    <c:idx val="8"/>
                    <c:layout>
                      <c:manualLayout>
                        <c:x val="-1.4996418443802692E-16"/>
                        <c:y val="8.5984522785898534E-2"/>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uri="{CE6537A1-D6FC-4f65-9D91-7224C49458BB}"/>
                      <c:ext xmlns:c16="http://schemas.microsoft.com/office/drawing/2014/chart" uri="{C3380CC4-5D6E-409C-BE32-E72D297353CC}">
                        <c16:uniqueId val="{00000011-A9FA-42B1-8BAC-7A2EF254506E}"/>
                      </c:ext>
                    </c:extLst>
                  </c:dLbl>
                  <c:spPr>
                    <a:noFill/>
                    <a:ln>
                      <a:noFill/>
                    </a:ln>
                    <a:effectLst/>
                  </c:sp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4-A9FA-42B1-8BAC-7A2EF254506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A9FA-42B1-8BAC-7A2EF254506E}"/>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xmlns:c15="http://schemas.microsoft.com/office/drawing/2012/chart">
                  <c:ext xmlns:c16="http://schemas.microsoft.com/office/drawing/2014/chart" uri="{C3380CC4-5D6E-409C-BE32-E72D297353CC}">
                    <c16:uniqueId val="{00000001-A9FA-42B1-8BAC-7A2EF25450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91AE3C"/>
                    </a:solidFill>
                    <a:prstDash val="lgDash"/>
                  </a:ln>
                </c:spPr>
                <c:marker>
                  <c:symbol val="none"/>
                </c:marker>
                <c:dLbls>
                  <c:dLbl>
                    <c:idx val="13"/>
                    <c:layout>
                      <c:manualLayout>
                        <c:x val="2.7425739265451759E-2"/>
                        <c:y val="4.3724391151338464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A9FA-42B1-8BAC-7A2EF254506E}"/>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6-A9FA-42B1-8BAC-7A2EF254506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CC3399"/>
                    </a:solidFill>
                    <a:prstDash val="lgDashDot"/>
                  </a:ln>
                </c:spPr>
                <c:marker>
                  <c:symbol val="none"/>
                </c:marker>
                <c:dLbls>
                  <c:dLbl>
                    <c:idx val="13"/>
                    <c:layout>
                      <c:manualLayout>
                        <c:x val="1.5670910871694418E-2"/>
                        <c:y val="-1.889105070231829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A9FA-42B1-8BAC-7A2EF254506E}"/>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A-A9FA-42B1-8BAC-7A2EF254506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A9FA-42B1-8BAC-7A2EF254506E}"/>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C-A9FA-42B1-8BAC-7A2EF254506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9E712A"/>
                    </a:solidFill>
                    <a:prstDash val="sysDot"/>
                  </a:ln>
                </c:spPr>
                <c:marker>
                  <c:symbol val="none"/>
                </c:marker>
                <c:dLbls>
                  <c:dLbl>
                    <c:idx val="13"/>
                    <c:layout>
                      <c:manualLayout>
                        <c:x val="1.1753183153770812E-2"/>
                        <c:y val="-6.5116341479778267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A9FA-42B1-8BAC-7A2EF254506E}"/>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E-A9FA-42B1-8BAC-7A2EF254506E}"/>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6"/>
          <c:order val="6"/>
          <c:tx>
            <c:strRef>
              <c:f>'Fig 4.5'!$B$36</c:f>
              <c:strCache>
                <c:ptCount val="1"/>
                <c:pt idx="0">
                  <c:v>Solar PV</c:v>
                </c:pt>
              </c:strCache>
              <c:extLst xmlns:c15="http://schemas.microsoft.com/office/drawing/2012/chart"/>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4DD3-421C-A2D0-888DCB51E9BD}"/>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4.5'!$C$36:$P$36</c:f>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C-4DD3-421C-A2D0-888DCB51E9BD}"/>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13"/>
              <c:layout>
                <c:manualLayout>
                  <c:x val="-3.0675007648583805E-2"/>
                  <c:y val="0.17483497065016482"/>
                </c:manualLayout>
              </c:layout>
              <c:spPr>
                <a:noFill/>
                <a:ln>
                  <a:noFill/>
                </a:ln>
                <a:effectLst/>
              </c:spPr>
              <c:txPr>
                <a:bodyPr wrap="square" lIns="38100" tIns="19050" rIns="38100" bIns="19050" anchor="ctr">
                  <a:noAutofit/>
                </a:bodyPr>
                <a:lstStyle/>
                <a:p>
                  <a:pPr>
                    <a:defRPr sz="900" b="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06949744778835"/>
                      <c:h val="0.1935224992834623"/>
                    </c:manualLayout>
                  </c15:layout>
                </c:ext>
                <c:ext xmlns:c16="http://schemas.microsoft.com/office/drawing/2014/chart" uri="{C3380CC4-5D6E-409C-BE32-E72D297353CC}">
                  <c16:uniqueId val="{0000000F-4DD3-421C-A2D0-888DCB51E9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E-4DD3-421C-A2D0-888DCB51E9BD}"/>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0-4DD3-421C-A2D0-888DCB51E9B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4DD3-421C-A2D0-888DCB51E9BD}"/>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xmlns:c15="http://schemas.microsoft.com/office/drawing/2012/chart">
                  <c:ext xmlns:c16="http://schemas.microsoft.com/office/drawing/2014/chart" uri="{C3380CC4-5D6E-409C-BE32-E72D297353CC}">
                    <c16:uniqueId val="{00000002-4DD3-421C-A2D0-888DCB51E9B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91AE3C"/>
                    </a:solidFill>
                    <a:prstDash val="lgDash"/>
                  </a:ln>
                </c:spPr>
                <c:marker>
                  <c:symbol val="none"/>
                </c:marker>
                <c:dLbls>
                  <c:dLbl>
                    <c:idx val="13"/>
                    <c:layout>
                      <c:manualLayout>
                        <c:x val="2.7425739265451759E-2"/>
                        <c:y val="4.3724391151338464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4DD3-421C-A2D0-888DCB51E9BD}"/>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4-4DD3-421C-A2D0-888DCB51E9B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4DD3-421C-A2D0-888DCB51E9BD}"/>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6-4DD3-421C-A2D0-888DCB51E9B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CC3399"/>
                    </a:solidFill>
                    <a:prstDash val="lgDashDot"/>
                  </a:ln>
                </c:spPr>
                <c:marker>
                  <c:symbol val="none"/>
                </c:marker>
                <c:dLbls>
                  <c:dLbl>
                    <c:idx val="13"/>
                    <c:layout>
                      <c:manualLayout>
                        <c:x val="1.5670910871694418E-2"/>
                        <c:y val="-1.889105070231829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4DD3-421C-A2D0-888DCB51E9BD}"/>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8-4DD3-421C-A2D0-888DCB51E9B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4DD3-421C-A2D0-888DCB51E9BD}"/>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A-4DD3-421C-A2D0-888DCB51E9BD}"/>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0"/>
          <c:order val="0"/>
          <c:tx>
            <c:strRef>
              <c:f>'Fig 4.5'!$B$30</c:f>
              <c:strCache>
                <c:ptCount val="1"/>
                <c:pt idx="0">
                  <c:v>Fuelled</c:v>
                </c:pt>
              </c:strCache>
              <c:extLst xmlns:c15="http://schemas.microsoft.com/office/drawing/2012/chart"/>
            </c:strRef>
          </c:tx>
          <c:spPr>
            <a:ln>
              <a:solidFill>
                <a:srgbClr val="2363AF"/>
              </a:solidFill>
            </a:ln>
          </c:spPr>
          <c:marker>
            <c:symbol val="none"/>
          </c:marker>
          <c:dLbls>
            <c:dLbl>
              <c:idx val="8"/>
              <c:layout>
                <c:manualLayout>
                  <c:x val="3.2719836400817846E-2"/>
                  <c:y val="0"/>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37DC-401F-931C-4B02056A694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4.5'!$C$30:$P$30</c:f>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7DC-401F-931C-4B02056A6949}"/>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9"/>
              <c:layout>
                <c:manualLayout>
                  <c:x val="-0.22903901582854291"/>
                  <c:y val="-0.15477214101461736"/>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783247186126271"/>
                      <c:h val="0.20533104041272571"/>
                    </c:manualLayout>
                  </c15:layout>
                </c:ext>
                <c:ext xmlns:c16="http://schemas.microsoft.com/office/drawing/2014/chart" uri="{C3380CC4-5D6E-409C-BE32-E72D297353CC}">
                  <c16:uniqueId val="{00000011-37DC-401F-931C-4B02056A694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37DC-401F-931C-4B02056A6949}"/>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1"/>
                <c:order val="1"/>
                <c:tx>
                  <c:strRef>
                    <c:extLst>
                      <c:ex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c:ext uri="{CE6537A1-D6FC-4f65-9D91-7224C49458BB}"/>
                      <c:ext xmlns:c16="http://schemas.microsoft.com/office/drawing/2014/chart" uri="{C3380CC4-5D6E-409C-BE32-E72D297353CC}">
                        <c16:uniqueId val="{00000005-37DC-401F-931C-4B02056A694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c:ext xmlns:c16="http://schemas.microsoft.com/office/drawing/2014/chart" uri="{C3380CC4-5D6E-409C-BE32-E72D297353CC}">
                    <c16:uniqueId val="{00000006-37DC-401F-931C-4B02056A69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91AE3C"/>
                    </a:solidFill>
                    <a:prstDash val="lgDash"/>
                  </a:ln>
                </c:spPr>
                <c:marker>
                  <c:symbol val="none"/>
                </c:marker>
                <c:dLbls>
                  <c:dLbl>
                    <c:idx val="13"/>
                    <c:layout>
                      <c:manualLayout>
                        <c:x val="2.7425739265451759E-2"/>
                        <c:y val="4.3724391151338464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37DC-401F-931C-4B02056A6949}"/>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8-37DC-401F-931C-4B02056A69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7DC-401F-931C-4B02056A6949}"/>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A-37DC-401F-931C-4B02056A694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CC3399"/>
                    </a:solidFill>
                    <a:prstDash val="lgDashDot"/>
                  </a:ln>
                </c:spPr>
                <c:marker>
                  <c:symbol val="none"/>
                </c:marker>
                <c:dLbls>
                  <c:dLbl>
                    <c:idx val="13"/>
                    <c:layout>
                      <c:manualLayout>
                        <c:x val="1.5670910871694418E-2"/>
                        <c:y val="-1.889105070231829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37DC-401F-931C-4B02056A6949}"/>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C-37DC-401F-931C-4B02056A694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37DC-401F-931C-4B02056A6949}"/>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E-37DC-401F-931C-4B02056A694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37DC-401F-931C-4B02056A6949}"/>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1-37DC-401F-931C-4B02056A6949}"/>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1"/>
          <c:order val="1"/>
          <c:tx>
            <c:strRef>
              <c:f>'Fig 4.5'!$B$31</c:f>
              <c:strCache>
                <c:ptCount val="1"/>
                <c:pt idx="0">
                  <c:v>Hydro</c:v>
                </c:pt>
              </c:strCache>
              <c:extLst xmlns:c15="http://schemas.microsoft.com/office/drawing/2012/chart"/>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9319-441C-9FEF-B602D0F72D8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4.5'!$C$31:$P$31</c:f>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9319-441C-9FEF-B602D0F72D8F}"/>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9"/>
              <c:layout>
                <c:manualLayout>
                  <c:x val="-0.22903901582854291"/>
                  <c:y val="-0.15477214101461736"/>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783247186126271"/>
                      <c:h val="0.20533104041272571"/>
                    </c:manualLayout>
                  </c15:layout>
                </c:ext>
                <c:ext xmlns:c16="http://schemas.microsoft.com/office/drawing/2014/chart" uri="{C3380CC4-5D6E-409C-BE32-E72D297353CC}">
                  <c16:uniqueId val="{00000002-9319-441C-9FEF-B602D0F72D8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9319-441C-9FEF-B602D0F72D8F}"/>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dLbls>
                  <c:dLbl>
                    <c:idx val="8"/>
                    <c:layout>
                      <c:manualLayout>
                        <c:x val="3.2719836400817846E-2"/>
                        <c:y val="0"/>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uri="{CE6537A1-D6FC-4f65-9D91-7224C49458BB}"/>
                      <c:ext xmlns:c16="http://schemas.microsoft.com/office/drawing/2014/chart" uri="{C3380CC4-5D6E-409C-BE32-E72D297353CC}">
                        <c16:uniqueId val="{00000000-9319-441C-9FEF-B602D0F72D8F}"/>
                      </c:ext>
                    </c:extLst>
                  </c:dLbl>
                  <c:spPr>
                    <a:noFill/>
                    <a:ln>
                      <a:noFill/>
                    </a:ln>
                    <a:effectLst/>
                  </c:sp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1-9319-441C-9FEF-B602D0F72D8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91AE3C"/>
                    </a:solidFill>
                    <a:prstDash val="lgDash"/>
                  </a:ln>
                </c:spPr>
                <c:marker>
                  <c:symbol val="none"/>
                </c:marker>
                <c:dLbls>
                  <c:dLbl>
                    <c:idx val="13"/>
                    <c:layout>
                      <c:manualLayout>
                        <c:x val="2.7425739265451759E-2"/>
                        <c:y val="4.3724391151338464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9319-441C-9FEF-B602D0F72D8F}"/>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7-9319-441C-9FEF-B602D0F72D8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9319-441C-9FEF-B602D0F72D8F}"/>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9-9319-441C-9FEF-B602D0F72D8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CC3399"/>
                    </a:solidFill>
                    <a:prstDash val="lgDashDot"/>
                  </a:ln>
                </c:spPr>
                <c:marker>
                  <c:symbol val="none"/>
                </c:marker>
                <c:dLbls>
                  <c:dLbl>
                    <c:idx val="13"/>
                    <c:layout>
                      <c:manualLayout>
                        <c:x val="1.5670910871694418E-2"/>
                        <c:y val="-1.889105070231829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9319-441C-9FEF-B602D0F72D8F}"/>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B-9319-441C-9FEF-B602D0F72D8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9319-441C-9FEF-B602D0F72D8F}"/>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D-9319-441C-9FEF-B602D0F72D8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9319-441C-9FEF-B602D0F72D8F}"/>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F-9319-441C-9FEF-B602D0F72D8F}"/>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4"/>
          <c:order val="4"/>
          <c:tx>
            <c:strRef>
              <c:f>'Fig 4.5'!$B$34</c:f>
              <c:strCache>
                <c:ptCount val="1"/>
                <c:pt idx="0">
                  <c:v>Onshore wind</c:v>
                </c:pt>
              </c:strCache>
              <c:extLst xmlns:c15="http://schemas.microsoft.com/office/drawing/2012/chart"/>
            </c:strRef>
          </c:tx>
          <c:spPr>
            <a:ln>
              <a:solidFill>
                <a:srgbClr val="2363AF"/>
              </a:solidFill>
              <a:prstDash val="solid"/>
            </a:ln>
          </c:spPr>
          <c:marker>
            <c:symbol val="none"/>
          </c:marker>
          <c:dLbls>
            <c:dLbl>
              <c:idx val="13"/>
              <c:layout>
                <c:manualLayout>
                  <c:x val="-3.2719836400817999E-2"/>
                  <c:y val="0.1358812736542068"/>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0D74-4ED2-9A77-D304B7D39045}"/>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4.5'!$C$34:$P$34</c:f>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B-0D74-4ED2-9A77-D304B7D39045}"/>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9"/>
              <c:layout>
                <c:manualLayout>
                  <c:x val="-0.22903901582854291"/>
                  <c:y val="-0.15477214101461736"/>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783247186126271"/>
                      <c:h val="0.20533104041272571"/>
                    </c:manualLayout>
                  </c15:layout>
                </c:ext>
                <c:ext xmlns:c16="http://schemas.microsoft.com/office/drawing/2014/chart" uri="{C3380CC4-5D6E-409C-BE32-E72D297353CC}">
                  <c16:uniqueId val="{00000002-0D74-4ED2-9A77-D304B7D3904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0D74-4ED2-9A77-D304B7D39045}"/>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dLbls>
                  <c:dLbl>
                    <c:idx val="8"/>
                    <c:layout>
                      <c:manualLayout>
                        <c:x val="3.2719836400817846E-2"/>
                        <c:y val="0"/>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uri="{CE6537A1-D6FC-4f65-9D91-7224C49458BB}"/>
                      <c:ext xmlns:c16="http://schemas.microsoft.com/office/drawing/2014/chart" uri="{C3380CC4-5D6E-409C-BE32-E72D297353CC}">
                        <c16:uniqueId val="{00000004-0D74-4ED2-9A77-D304B7D39045}"/>
                      </c:ext>
                    </c:extLst>
                  </c:dLbl>
                  <c:spPr>
                    <a:noFill/>
                    <a:ln>
                      <a:noFill/>
                    </a:ln>
                    <a:effectLst/>
                  </c:sp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5-0D74-4ED2-9A77-D304B7D3904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0D74-4ED2-9A77-D304B7D39045}"/>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xmlns:c15="http://schemas.microsoft.com/office/drawing/2012/chart">
                  <c:ext xmlns:c16="http://schemas.microsoft.com/office/drawing/2014/chart" uri="{C3380CC4-5D6E-409C-BE32-E72D297353CC}">
                    <c16:uniqueId val="{00000001-0D74-4ED2-9A77-D304B7D3904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91AE3C"/>
                    </a:solidFill>
                    <a:prstDash val="lgDash"/>
                  </a:ln>
                </c:spPr>
                <c:marker>
                  <c:symbol val="none"/>
                </c:marker>
                <c:dLbls>
                  <c:dLbl>
                    <c:idx val="13"/>
                    <c:layout>
                      <c:manualLayout>
                        <c:x val="2.7425739265451759E-2"/>
                        <c:y val="4.3724391151338464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0D74-4ED2-9A77-D304B7D39045}"/>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7-0D74-4ED2-9A77-D304B7D3904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0D74-4ED2-9A77-D304B7D39045}"/>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9-0D74-4ED2-9A77-D304B7D3904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0D74-4ED2-9A77-D304B7D39045}"/>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D-0D74-4ED2-9A77-D304B7D3904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0D74-4ED2-9A77-D304B7D39045}"/>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F-0D74-4ED2-9A77-D304B7D39045}"/>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2"/>
          <c:order val="2"/>
          <c:tx>
            <c:strRef>
              <c:f>'Fig 4.5'!$B$32</c:f>
              <c:strCache>
                <c:ptCount val="1"/>
                <c:pt idx="0">
                  <c:v>Landfill gas </c:v>
                </c:pt>
              </c:strCache>
              <c:extLst xmlns:c15="http://schemas.microsoft.com/office/drawing/2012/chart"/>
            </c:strRef>
          </c:tx>
          <c:spPr>
            <a:ln>
              <a:solidFill>
                <a:srgbClr val="2363AF"/>
              </a:solidFill>
              <a:prstDash val="solid"/>
            </a:ln>
          </c:spPr>
          <c:marker>
            <c:symbol val="none"/>
          </c:marker>
          <c:dLbls>
            <c:dLbl>
              <c:idx val="13"/>
              <c:layout>
                <c:manualLayout>
                  <c:x val="-4.4989775051124892E-2"/>
                  <c:y val="0.12397659234985997"/>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9F01-46DB-9757-C4ED07630E01}"/>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4.5'!$C$32:$P$32</c:f>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9-9F01-46DB-9757-C4ED07630E01}"/>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9"/>
              <c:layout>
                <c:manualLayout>
                  <c:x val="-0.22903901582854291"/>
                  <c:y val="-0.15477214101461736"/>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783247186126271"/>
                      <c:h val="0.20533104041272571"/>
                    </c:manualLayout>
                  </c15:layout>
                </c:ext>
                <c:ext xmlns:c16="http://schemas.microsoft.com/office/drawing/2014/chart" uri="{C3380CC4-5D6E-409C-BE32-E72D297353CC}">
                  <c16:uniqueId val="{00000002-9F01-46DB-9757-C4ED07630E0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9F01-46DB-9757-C4ED07630E01}"/>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dLbls>
                  <c:dLbl>
                    <c:idx val="8"/>
                    <c:layout>
                      <c:manualLayout>
                        <c:x val="3.2719836400817846E-2"/>
                        <c:y val="0"/>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uri="{CE6537A1-D6FC-4f65-9D91-7224C49458BB}"/>
                      <c:ext xmlns:c16="http://schemas.microsoft.com/office/drawing/2014/chart" uri="{C3380CC4-5D6E-409C-BE32-E72D297353CC}">
                        <c16:uniqueId val="{00000004-9F01-46DB-9757-C4ED07630E01}"/>
                      </c:ext>
                    </c:extLst>
                  </c:dLbl>
                  <c:spPr>
                    <a:noFill/>
                    <a:ln>
                      <a:noFill/>
                    </a:ln>
                    <a:effectLst/>
                  </c:sp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5-9F01-46DB-9757-C4ED07630E0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9F01-46DB-9757-C4ED07630E01}"/>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xmlns:c15="http://schemas.microsoft.com/office/drawing/2012/chart">
                  <c:ext xmlns:c16="http://schemas.microsoft.com/office/drawing/2014/chart" uri="{C3380CC4-5D6E-409C-BE32-E72D297353CC}">
                    <c16:uniqueId val="{00000007-9F01-46DB-9757-C4ED07630E0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9F01-46DB-9757-C4ED07630E01}"/>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B-9F01-46DB-9757-C4ED07630E0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2363AF"/>
                    </a:solidFill>
                    <a:prstDash val="solid"/>
                  </a:ln>
                </c:spPr>
                <c:marker>
                  <c:symbol val="none"/>
                </c:marker>
                <c:dLbls>
                  <c:dLbl>
                    <c:idx val="13"/>
                    <c:layout>
                      <c:manualLayout>
                        <c:x val="-3.2719836400817999E-2"/>
                        <c:y val="0.1358812736542068"/>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9F01-46DB-9757-C4ED07630E01}"/>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1-9F01-46DB-9757-C4ED07630E0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 4.5'!$B$35</c15:sqref>
                        </c15:formulaRef>
                      </c:ext>
                    </c:extLst>
                    <c:strCache>
                      <c:ptCount val="1"/>
                      <c:pt idx="0">
                        <c:v>Sewage gas</c:v>
                      </c:pt>
                    </c:strCache>
                  </c:strRef>
                </c:tx>
                <c:spPr>
                  <a:ln cap="rnd" cmpd="thickThin">
                    <a:solidFill>
                      <a:srgbClr val="A1ABB2"/>
                    </a:solidFill>
                    <a:prstDash val="dashDot"/>
                    <a:round/>
                    <a:headEnd type="none"/>
                    <a:tailEnd type="none"/>
                  </a:ln>
                </c:spPr>
                <c:marker>
                  <c:symbol val="none"/>
                </c:marker>
                <c:dLbls>
                  <c:dLbl>
                    <c:idx val="13"/>
                    <c:layout>
                      <c:manualLayout>
                        <c:x val="3.2649376222683234E-2"/>
                        <c:y val="3.7550821251913495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9F01-46DB-9757-C4ED07630E01}"/>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4.5'!$C$35:$P$35</c15:sqref>
                        </c15:formulaRef>
                      </c:ext>
                    </c:extLst>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numRef>
                </c:val>
                <c:smooth val="0"/>
                <c:extLst xmlns:c15="http://schemas.microsoft.com/office/drawing/2012/chart">
                  <c:ext xmlns:c16="http://schemas.microsoft.com/office/drawing/2014/chart" uri="{C3380CC4-5D6E-409C-BE32-E72D297353CC}">
                    <c16:uniqueId val="{0000000D-9F01-46DB-9757-C4ED07630E0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9F01-46DB-9757-C4ED07630E01}"/>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F-9F01-46DB-9757-C4ED07630E01}"/>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809091348243"/>
          <c:y val="3.9329104587263075E-2"/>
          <c:w val="0.77449076534144889"/>
          <c:h val="0.71095770005493497"/>
        </c:manualLayout>
      </c:layout>
      <c:lineChart>
        <c:grouping val="standard"/>
        <c:varyColors val="0"/>
        <c:ser>
          <c:idx val="5"/>
          <c:order val="5"/>
          <c:tx>
            <c:strRef>
              <c:f>'Fig 4.5'!$B$35</c:f>
              <c:strCache>
                <c:ptCount val="1"/>
                <c:pt idx="0">
                  <c:v>Sewage gas</c:v>
                </c:pt>
              </c:strCache>
              <c:extLst xmlns:c15="http://schemas.microsoft.com/office/drawing/2012/chart"/>
            </c:strRef>
          </c:tx>
          <c:spPr>
            <a:ln cap="rnd" cmpd="sng">
              <a:solidFill>
                <a:srgbClr val="2363AF"/>
              </a:solidFill>
              <a:prstDash val="solid"/>
              <a:round/>
              <a:headEnd type="none"/>
              <a:tailEnd type="none"/>
            </a:ln>
          </c:spPr>
          <c:marker>
            <c:symbol val="none"/>
          </c:marker>
          <c:dLbls>
            <c:dLbl>
              <c:idx val="13"/>
              <c:layout>
                <c:manualLayout>
                  <c:x val="-2.8629856850715896E-2"/>
                  <c:y val="-0.12868610684197573"/>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3696-49FC-9A47-36355104430A}"/>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4.5'!$C$35:$P$35</c:f>
              <c:numCache>
                <c:formatCode>"£"#,##0.00</c:formatCode>
                <c:ptCount val="14"/>
                <c:pt idx="0">
                  <c:v>52.95</c:v>
                </c:pt>
                <c:pt idx="1">
                  <c:v>54.37</c:v>
                </c:pt>
                <c:pt idx="2">
                  <c:v>52.36</c:v>
                </c:pt>
                <c:pt idx="3">
                  <c:v>51.34</c:v>
                </c:pt>
                <c:pt idx="4">
                  <c:v>42.260773487956996</c:v>
                </c:pt>
                <c:pt idx="5">
                  <c:v>43.591508716190795</c:v>
                </c:pt>
                <c:pt idx="6">
                  <c:v>40.741357252250864</c:v>
                </c:pt>
                <c:pt idx="7">
                  <c:v>39.679198071484635</c:v>
                </c:pt>
                <c:pt idx="8">
                  <c:v>39.605846276249878</c:v>
                </c:pt>
                <c:pt idx="9">
                  <c:v>43.808136098628275</c:v>
                </c:pt>
                <c:pt idx="10">
                  <c:v>42.084687109125404</c:v>
                </c:pt>
                <c:pt idx="11">
                  <c:v>44.476497300784715</c:v>
                </c:pt>
                <c:pt idx="12">
                  <c:v>44.074068323460253</c:v>
                </c:pt>
                <c:pt idx="13">
                  <c:v>44.374036072037754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D-3696-49FC-9A47-36355104430A}"/>
            </c:ext>
          </c:extLst>
        </c:ser>
        <c:ser>
          <c:idx val="7"/>
          <c:order val="7"/>
          <c:tx>
            <c:strRef>
              <c:f>'Fig 4.5'!$B$37</c:f>
              <c:strCache>
                <c:ptCount val="1"/>
                <c:pt idx="0">
                  <c:v>All technologies</c:v>
                </c:pt>
              </c:strCache>
            </c:strRef>
          </c:tx>
          <c:spPr>
            <a:ln>
              <a:solidFill>
                <a:schemeClr val="tx1"/>
              </a:solidFill>
              <a:prstDash val="dash"/>
            </a:ln>
          </c:spPr>
          <c:marker>
            <c:symbol val="none"/>
          </c:marker>
          <c:dLbls>
            <c:dLbl>
              <c:idx val="9"/>
              <c:layout>
                <c:manualLayout>
                  <c:x val="-0.22903901582854291"/>
                  <c:y val="-0.15477214101461736"/>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783247186126271"/>
                      <c:h val="0.20533104041272571"/>
                    </c:manualLayout>
                  </c15:layout>
                </c:ext>
                <c:ext xmlns:c16="http://schemas.microsoft.com/office/drawing/2014/chart" uri="{C3380CC4-5D6E-409C-BE32-E72D297353CC}">
                  <c16:uniqueId val="{00000002-3696-49FC-9A47-36355104430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'Fig 4.5'!$C$29:$P$29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4.5'!$C$37:$P$37</c:f>
              <c:numCache>
                <c:formatCode>"£"#,##0.00</c:formatCode>
                <c:ptCount val="14"/>
                <c:pt idx="0">
                  <c:v>52.95</c:v>
                </c:pt>
                <c:pt idx="1">
                  <c:v>54.37</c:v>
                </c:pt>
                <c:pt idx="2">
                  <c:v>54.651190406663467</c:v>
                </c:pt>
                <c:pt idx="3">
                  <c:v>55.027222263510765</c:v>
                </c:pt>
                <c:pt idx="4">
                  <c:v>47.28081545582215</c:v>
                </c:pt>
                <c:pt idx="5">
                  <c:v>56.145059023805658</c:v>
                </c:pt>
                <c:pt idx="6">
                  <c:v>54.127356146917982</c:v>
                </c:pt>
                <c:pt idx="7">
                  <c:v>55.824606817179372</c:v>
                </c:pt>
                <c:pt idx="8">
                  <c:v>58.031911848469633</c:v>
                </c:pt>
                <c:pt idx="9">
                  <c:v>65.87646332520778</c:v>
                </c:pt>
                <c:pt idx="10">
                  <c:v>68.827476466614158</c:v>
                </c:pt>
                <c:pt idx="11">
                  <c:v>73.719520324647803</c:v>
                </c:pt>
                <c:pt idx="12">
                  <c:v>73.515790273685596</c:v>
                </c:pt>
                <c:pt idx="13">
                  <c:v>74.031533597998774</c:v>
                </c:pt>
              </c:numCache>
            </c:numRef>
          </c:val>
          <c:smooth val="0"/>
          <c:extLst>
            <c:ext xmlns:c16="http://schemas.microsoft.com/office/drawing/2014/chart" uri="{C3380CC4-5D6E-409C-BE32-E72D297353CC}">
              <c16:uniqueId val="{00000003-3696-49FC-9A47-36355104430A}"/>
            </c:ext>
          </c:extLst>
        </c:ser>
        <c:dLbls>
          <c:showLegendKey val="0"/>
          <c:showVal val="0"/>
          <c:showCatName val="0"/>
          <c:showSerName val="0"/>
          <c:showPercent val="0"/>
          <c:showBubbleSize val="0"/>
        </c:dLbls>
        <c:smooth val="0"/>
        <c:axId val="168939520"/>
        <c:axId val="168941056"/>
        <c:extLst>
          <c:ext xmlns:c15="http://schemas.microsoft.com/office/drawing/2012/chart" uri="{02D57815-91ED-43cb-92C2-25804820EDAC}">
            <c15:filteredLineSeries>
              <c15:ser>
                <c:idx val="0"/>
                <c:order val="0"/>
                <c:tx>
                  <c:strRef>
                    <c:extLst>
                      <c:ext uri="{02D57815-91ED-43cb-92C2-25804820EDAC}">
                        <c15:formulaRef>
                          <c15:sqref>'Fig 4.5'!$B$30</c15:sqref>
                        </c15:formulaRef>
                      </c:ext>
                    </c:extLst>
                    <c:strCache>
                      <c:ptCount val="1"/>
                      <c:pt idx="0">
                        <c:v>Fuelled</c:v>
                      </c:pt>
                    </c:strCache>
                  </c:strRef>
                </c:tx>
                <c:spPr>
                  <a:ln>
                    <a:solidFill>
                      <a:srgbClr val="2363AF"/>
                    </a:solidFill>
                  </a:ln>
                </c:spPr>
                <c:marker>
                  <c:symbol val="none"/>
                </c:marker>
                <c:dLbls>
                  <c:dLbl>
                    <c:idx val="8"/>
                    <c:layout>
                      <c:manualLayout>
                        <c:x val="3.2719836400817846E-2"/>
                        <c:y val="0"/>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c:ext uri="{CE6537A1-D6FC-4f65-9D91-7224C49458BB}"/>
                      <c:ext xmlns:c16="http://schemas.microsoft.com/office/drawing/2014/chart" uri="{C3380CC4-5D6E-409C-BE32-E72D297353CC}">
                        <c16:uniqueId val="{00000004-3696-49FC-9A47-36355104430A}"/>
                      </c:ext>
                    </c:extLst>
                  </c:dLbl>
                  <c:spPr>
                    <a:noFill/>
                    <a:ln>
                      <a:noFill/>
                    </a:ln>
                    <a:effectLst/>
                  </c:sp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4.5'!$C$30:$P$30</c15:sqref>
                        </c15:formulaRef>
                      </c:ext>
                    </c:extLst>
                    <c:numCache>
                      <c:formatCode>"£"#,##0.00</c:formatCode>
                      <c:ptCount val="14"/>
                      <c:pt idx="0">
                        <c:v>52.95</c:v>
                      </c:pt>
                      <c:pt idx="1">
                        <c:v>54.37</c:v>
                      </c:pt>
                      <c:pt idx="2">
                        <c:v>56.341241561242754</c:v>
                      </c:pt>
                      <c:pt idx="3">
                        <c:v>51.187638782705982</c:v>
                      </c:pt>
                      <c:pt idx="4">
                        <c:v>44.384164973471172</c:v>
                      </c:pt>
                      <c:pt idx="5">
                        <c:v>61.042208698619149</c:v>
                      </c:pt>
                      <c:pt idx="6">
                        <c:v>51.308080230226963</c:v>
                      </c:pt>
                      <c:pt idx="7">
                        <c:v>51.163278216363096</c:v>
                      </c:pt>
                      <c:pt idx="8">
                        <c:v>51.749354488850699</c:v>
                      </c:pt>
                      <c:pt idx="9">
                        <c:v>61.29142165867578</c:v>
                      </c:pt>
                      <c:pt idx="10">
                        <c:v>68.929244561036057</c:v>
                      </c:pt>
                      <c:pt idx="11">
                        <c:v>72.52249353938204</c:v>
                      </c:pt>
                      <c:pt idx="12">
                        <c:v>72.396837374567667</c:v>
                      </c:pt>
                      <c:pt idx="13">
                        <c:v>72.305146935608178</c:v>
                      </c:pt>
                    </c:numCache>
                  </c:numRef>
                </c:val>
                <c:smooth val="0"/>
                <c:extLst>
                  <c:ext xmlns:c16="http://schemas.microsoft.com/office/drawing/2014/chart" uri="{C3380CC4-5D6E-409C-BE32-E72D297353CC}">
                    <c16:uniqueId val="{00000005-3696-49FC-9A47-36355104430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 4.5'!$B$31</c15:sqref>
                        </c15:formulaRef>
                      </c:ext>
                    </c:extLst>
                    <c:strCache>
                      <c:ptCount val="1"/>
                      <c:pt idx="0">
                        <c:v>Hydro</c:v>
                      </c:pt>
                    </c:strCache>
                  </c:strRef>
                </c:tx>
                <c:spPr>
                  <a:ln>
                    <a:solidFill>
                      <a:srgbClr val="2363AF"/>
                    </a:solidFill>
                    <a:prstDash val="solid"/>
                  </a:ln>
                </c:spPr>
                <c:marker>
                  <c:symbol val="none"/>
                </c:marker>
                <c:dLbls>
                  <c:dLbl>
                    <c:idx val="13"/>
                    <c:layout>
                      <c:manualLayout>
                        <c:x val="-6.5213343656554288E-3"/>
                        <c:y val="-8.7402446481977786E-2"/>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3696-49FC-9A47-36355104430A}"/>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4.5'!$C$31:$P$31</c15:sqref>
                        </c15:formulaRef>
                      </c:ext>
                    </c:extLst>
                    <c:numCache>
                      <c:formatCode>"£"#,##0.00</c:formatCode>
                      <c:ptCount val="14"/>
                      <c:pt idx="0">
                        <c:v>52.95</c:v>
                      </c:pt>
                      <c:pt idx="1">
                        <c:v>54.37</c:v>
                      </c:pt>
                      <c:pt idx="2">
                        <c:v>52.449751476914244</c:v>
                      </c:pt>
                      <c:pt idx="3">
                        <c:v>51.344975473133523</c:v>
                      </c:pt>
                      <c:pt idx="4">
                        <c:v>42.314232329600308</c:v>
                      </c:pt>
                      <c:pt idx="5">
                        <c:v>44.477856504218387</c:v>
                      </c:pt>
                      <c:pt idx="6">
                        <c:v>42.819548719082</c:v>
                      </c:pt>
                      <c:pt idx="7">
                        <c:v>43.821041608927487</c:v>
                      </c:pt>
                      <c:pt idx="8">
                        <c:v>44.5548355559934</c:v>
                      </c:pt>
                      <c:pt idx="9">
                        <c:v>50.140166154910382</c:v>
                      </c:pt>
                      <c:pt idx="10">
                        <c:v>51.97744931281207</c:v>
                      </c:pt>
                      <c:pt idx="11">
                        <c:v>55.58736755425992</c:v>
                      </c:pt>
                      <c:pt idx="12">
                        <c:v>55.069244854229296</c:v>
                      </c:pt>
                      <c:pt idx="13">
                        <c:v>55.136596756236742</c:v>
                      </c:pt>
                    </c:numCache>
                  </c:numRef>
                </c:val>
                <c:smooth val="0"/>
                <c:extLst xmlns:c15="http://schemas.microsoft.com/office/drawing/2012/chart">
                  <c:ext xmlns:c16="http://schemas.microsoft.com/office/drawing/2014/chart" uri="{C3380CC4-5D6E-409C-BE32-E72D297353CC}">
                    <c16:uniqueId val="{00000007-3696-49FC-9A47-36355104430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 4.5'!$B$32</c15:sqref>
                        </c15:formulaRef>
                      </c:ext>
                    </c:extLst>
                    <c:strCache>
                      <c:ptCount val="1"/>
                      <c:pt idx="0">
                        <c:v>Landfill gas </c:v>
                      </c:pt>
                    </c:strCache>
                  </c:strRef>
                </c:tx>
                <c:spPr>
                  <a:ln>
                    <a:solidFill>
                      <a:srgbClr val="2363AF"/>
                    </a:solidFill>
                    <a:prstDash val="solid"/>
                  </a:ln>
                </c:spPr>
                <c:marker>
                  <c:symbol val="none"/>
                </c:marker>
                <c:dLbls>
                  <c:dLbl>
                    <c:idx val="13"/>
                    <c:layout>
                      <c:manualLayout>
                        <c:x val="-4.4989775051124892E-2"/>
                        <c:y val="0.12397659234985997"/>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3696-49FC-9A47-36355104430A}"/>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4.5'!$C$32:$P$32</c15:sqref>
                        </c15:formulaRef>
                      </c:ext>
                    </c:extLst>
                    <c:numCache>
                      <c:formatCode>"£"#,##0.00</c:formatCode>
                      <c:ptCount val="14"/>
                      <c:pt idx="0">
                        <c:v>52.95</c:v>
                      </c:pt>
                      <c:pt idx="1">
                        <c:v>54.37</c:v>
                      </c:pt>
                      <c:pt idx="2">
                        <c:v>52.259499800959276</c:v>
                      </c:pt>
                      <c:pt idx="3">
                        <c:v>51.34</c:v>
                      </c:pt>
                      <c:pt idx="4">
                        <c:v>42.246077688651368</c:v>
                      </c:pt>
                      <c:pt idx="5">
                        <c:v>44.2704400469406</c:v>
                      </c:pt>
                      <c:pt idx="6">
                        <c:v>42.281469091327331</c:v>
                      </c:pt>
                      <c:pt idx="7">
                        <c:v>43.101568165517683</c:v>
                      </c:pt>
                      <c:pt idx="8">
                        <c:v>43.814339796629262</c:v>
                      </c:pt>
                      <c:pt idx="9">
                        <c:v>49.310022673869064</c:v>
                      </c:pt>
                      <c:pt idx="10">
                        <c:v>50.648528816172679</c:v>
                      </c:pt>
                      <c:pt idx="11">
                        <c:v>54.124217300686524</c:v>
                      </c:pt>
                      <c:pt idx="12">
                        <c:v>53.568810016189012</c:v>
                      </c:pt>
                      <c:pt idx="13">
                        <c:v>53.528051043865823</c:v>
                      </c:pt>
                    </c:numCache>
                  </c:numRef>
                </c:val>
                <c:smooth val="0"/>
                <c:extLst xmlns:c15="http://schemas.microsoft.com/office/drawing/2012/chart">
                  <c:ext xmlns:c16="http://schemas.microsoft.com/office/drawing/2014/chart" uri="{C3380CC4-5D6E-409C-BE32-E72D297353CC}">
                    <c16:uniqueId val="{00000001-3696-49FC-9A47-36355104430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 4.5'!$B$33</c15:sqref>
                        </c15:formulaRef>
                      </c:ext>
                    </c:extLst>
                    <c:strCache>
                      <c:ptCount val="1"/>
                      <c:pt idx="0">
                        <c:v>Offshore wind</c:v>
                      </c:pt>
                    </c:strCache>
                  </c:strRef>
                </c:tx>
                <c:spPr>
                  <a:ln>
                    <a:solidFill>
                      <a:srgbClr val="079448"/>
                    </a:solidFill>
                    <a:prstDash val="lgDashDotDot"/>
                  </a:ln>
                </c:spPr>
                <c:marker>
                  <c:symbol val="none"/>
                </c:marker>
                <c:dLbls>
                  <c:dLbl>
                    <c:idx val="13"/>
                    <c:layout>
                      <c:manualLayout>
                        <c:x val="-1.9063190068922048E-3"/>
                        <c:y val="-5.9154977720808154E-2"/>
                      </c:manualLayout>
                    </c:layout>
                    <c:dLblPos val="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3696-49FC-9A47-36355104430A}"/>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4.5'!$C$33:$P$33</c15:sqref>
                        </c15:formulaRef>
                      </c:ext>
                    </c:extLst>
                    <c:numCache>
                      <c:formatCode>"£"#,##0.00</c:formatCode>
                      <c:ptCount val="14"/>
                      <c:pt idx="0">
                        <c:v>52.95</c:v>
                      </c:pt>
                      <c:pt idx="1">
                        <c:v>54.37</c:v>
                      </c:pt>
                      <c:pt idx="2">
                        <c:v>68.051929601575722</c:v>
                      </c:pt>
                      <c:pt idx="3">
                        <c:v>77.136196806283678</c:v>
                      </c:pt>
                      <c:pt idx="4">
                        <c:v>68.924317351316958</c:v>
                      </c:pt>
                      <c:pt idx="5">
                        <c:v>78.989103028952627</c:v>
                      </c:pt>
                      <c:pt idx="6">
                        <c:v>78.57380786706068</c:v>
                      </c:pt>
                      <c:pt idx="7">
                        <c:v>81.560519347400287</c:v>
                      </c:pt>
                      <c:pt idx="8">
                        <c:v>83.601205760232844</c:v>
                      </c:pt>
                      <c:pt idx="9">
                        <c:v>94.463610830026198</c:v>
                      </c:pt>
                      <c:pt idx="10">
                        <c:v>97.238519701359792</c:v>
                      </c:pt>
                      <c:pt idx="11">
                        <c:v>103.8640687945275</c:v>
                      </c:pt>
                      <c:pt idx="12">
                        <c:v>102.94123992117473</c:v>
                      </c:pt>
                      <c:pt idx="13">
                        <c:v>102.88548271996162</c:v>
                      </c:pt>
                    </c:numCache>
                  </c:numRef>
                </c:val>
                <c:smooth val="0"/>
                <c:extLst xmlns:c15="http://schemas.microsoft.com/office/drawing/2012/chart">
                  <c:ext xmlns:c16="http://schemas.microsoft.com/office/drawing/2014/chart" uri="{C3380CC4-5D6E-409C-BE32-E72D297353CC}">
                    <c16:uniqueId val="{00000009-3696-49FC-9A47-36355104430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 4.5'!$B$34</c15:sqref>
                        </c15:formulaRef>
                      </c:ext>
                    </c:extLst>
                    <c:strCache>
                      <c:ptCount val="1"/>
                      <c:pt idx="0">
                        <c:v>Onshore wind</c:v>
                      </c:pt>
                    </c:strCache>
                  </c:strRef>
                </c:tx>
                <c:spPr>
                  <a:ln>
                    <a:solidFill>
                      <a:srgbClr val="2363AF"/>
                    </a:solidFill>
                    <a:prstDash val="solid"/>
                  </a:ln>
                </c:spPr>
                <c:marker>
                  <c:symbol val="none"/>
                </c:marker>
                <c:dLbls>
                  <c:dLbl>
                    <c:idx val="13"/>
                    <c:layout>
                      <c:manualLayout>
                        <c:x val="-3.2719836400817999E-2"/>
                        <c:y val="0.1358812736542068"/>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3696-49FC-9A47-36355104430A}"/>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4.5'!$C$34:$P$34</c15:sqref>
                        </c15:formulaRef>
                      </c:ext>
                    </c:extLst>
                    <c:numCache>
                      <c:formatCode>"£"#,##0.00</c:formatCode>
                      <c:ptCount val="14"/>
                      <c:pt idx="0">
                        <c:v>52.95</c:v>
                      </c:pt>
                      <c:pt idx="1">
                        <c:v>54.37</c:v>
                      </c:pt>
                      <c:pt idx="2">
                        <c:v>52.367397272496937</c:v>
                      </c:pt>
                      <c:pt idx="3">
                        <c:v>51.370227200766372</c:v>
                      </c:pt>
                      <c:pt idx="4">
                        <c:v>42.332235026702428</c:v>
                      </c:pt>
                      <c:pt idx="5">
                        <c:v>44.522937480803243</c:v>
                      </c:pt>
                      <c:pt idx="6">
                        <c:v>42.917420034586094</c:v>
                      </c:pt>
                      <c:pt idx="7">
                        <c:v>43.7851212074629</c:v>
                      </c:pt>
                      <c:pt idx="8">
                        <c:v>44.457572945217429</c:v>
                      </c:pt>
                      <c:pt idx="9">
                        <c:v>49.811530098718045</c:v>
                      </c:pt>
                      <c:pt idx="10">
                        <c:v>50.972394457157279</c:v>
                      </c:pt>
                      <c:pt idx="11">
                        <c:v>54.517102813284041</c:v>
                      </c:pt>
                      <c:pt idx="12">
                        <c:v>53.994541165817701</c:v>
                      </c:pt>
                      <c:pt idx="13">
                        <c:v>54.109369211698869</c:v>
                      </c:pt>
                    </c:numCache>
                  </c:numRef>
                </c:val>
                <c:smooth val="0"/>
                <c:extLst xmlns:c15="http://schemas.microsoft.com/office/drawing/2012/chart">
                  <c:ext xmlns:c16="http://schemas.microsoft.com/office/drawing/2014/chart" uri="{C3380CC4-5D6E-409C-BE32-E72D297353CC}">
                    <c16:uniqueId val="{0000000B-3696-49FC-9A47-36355104430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 4.5'!$B$36</c15:sqref>
                        </c15:formulaRef>
                      </c:ext>
                    </c:extLst>
                    <c:strCache>
                      <c:ptCount val="1"/>
                      <c:pt idx="0">
                        <c:v>Solar PV</c:v>
                      </c:pt>
                    </c:strCache>
                  </c:strRef>
                </c:tx>
                <c:spPr>
                  <a:ln>
                    <a:solidFill>
                      <a:srgbClr val="2363AF"/>
                    </a:solidFill>
                    <a:prstDash val="solid"/>
                  </a:ln>
                </c:spPr>
                <c:marker>
                  <c:symbol val="none"/>
                </c:marker>
                <c:dLbls>
                  <c:dLbl>
                    <c:idx val="13"/>
                    <c:layout>
                      <c:manualLayout>
                        <c:x val="-3.2719836400818145E-2"/>
                        <c:y val="-0.14536845834941314"/>
                      </c:manualLayout>
                    </c:layout>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3696-49FC-9A47-36355104430A}"/>
                      </c:ext>
                    </c:extLst>
                  </c:dLbl>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'Fig 4.5'!$C$29:$P$29</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4.5'!$C$36:$P$36</c15:sqref>
                        </c15:formulaRef>
                      </c:ext>
                    </c:extLst>
                    <c:numCache>
                      <c:formatCode>"£"#,##0.00</c:formatCode>
                      <c:ptCount val="14"/>
                      <c:pt idx="0">
                        <c:v>52.95</c:v>
                      </c:pt>
                      <c:pt idx="1">
                        <c:v>54.37</c:v>
                      </c:pt>
                      <c:pt idx="2">
                        <c:v>56.214433499881039</c:v>
                      </c:pt>
                      <c:pt idx="3">
                        <c:v>57.172519083969469</c:v>
                      </c:pt>
                      <c:pt idx="4">
                        <c:v>56.160568834290295</c:v>
                      </c:pt>
                      <c:pt idx="5">
                        <c:v>70.242930257819239</c:v>
                      </c:pt>
                      <c:pt idx="6">
                        <c:v>80.289485396806455</c:v>
                      </c:pt>
                      <c:pt idx="7">
                        <c:v>74.070573337758375</c:v>
                      </c:pt>
                      <c:pt idx="8">
                        <c:v>68.135177986507969</c:v>
                      </c:pt>
                      <c:pt idx="9">
                        <c:v>74.211859309502174</c:v>
                      </c:pt>
                      <c:pt idx="10">
                        <c:v>75.138059385312062</c:v>
                      </c:pt>
                      <c:pt idx="11">
                        <c:v>80.219472679037253</c:v>
                      </c:pt>
                      <c:pt idx="12">
                        <c:v>79.403063599455592</c:v>
                      </c:pt>
                      <c:pt idx="13">
                        <c:v>79.454419616690501</c:v>
                      </c:pt>
                    </c:numCache>
                  </c:numRef>
                </c:val>
                <c:smooth val="0"/>
                <c:extLst xmlns:c15="http://schemas.microsoft.com/office/drawing/2012/chart">
                  <c:ext xmlns:c16="http://schemas.microsoft.com/office/drawing/2014/chart" uri="{C3380CC4-5D6E-409C-BE32-E72D297353CC}">
                    <c16:uniqueId val="{0000000F-3696-49FC-9A47-36355104430A}"/>
                  </c:ext>
                </c:extLst>
              </c15:ser>
            </c15:filteredLineSeries>
          </c:ext>
        </c:extLst>
      </c:lineChart>
      <c:catAx>
        <c:axId val="168939520"/>
        <c:scaling>
          <c:orientation val="minMax"/>
        </c:scaling>
        <c:delete val="0"/>
        <c:axPos val="b"/>
        <c:numFmt formatCode="General" sourceLinked="0"/>
        <c:majorTickMark val="out"/>
        <c:minorTickMark val="none"/>
        <c:tickLblPos val="nextTo"/>
        <c:spPr>
          <a:ln w="6350">
            <a:solidFill>
              <a:srgbClr val="A1ABB2"/>
            </a:solidFill>
          </a:ln>
        </c:spPr>
        <c:txPr>
          <a:bodyPr rot="-3000000" vert="horz"/>
          <a:lstStyle/>
          <a:p>
            <a:pPr>
              <a:defRPr sz="800" b="1"/>
            </a:pPr>
            <a:endParaRPr lang="en-US"/>
          </a:p>
        </c:txPr>
        <c:crossAx val="168941056"/>
        <c:crossesAt val="30"/>
        <c:auto val="1"/>
        <c:lblAlgn val="ctr"/>
        <c:lblOffset val="100"/>
        <c:noMultiLvlLbl val="0"/>
      </c:catAx>
      <c:valAx>
        <c:axId val="168941056"/>
        <c:scaling>
          <c:orientation val="minMax"/>
          <c:max val="110"/>
          <c:min val="30"/>
        </c:scaling>
        <c:delete val="0"/>
        <c:axPos val="l"/>
        <c:majorGridlines>
          <c:spPr>
            <a:ln w="6350">
              <a:solidFill>
                <a:schemeClr val="bg1">
                  <a:lumMod val="75000"/>
                </a:schemeClr>
              </a:solidFill>
              <a:prstDash val="dash"/>
            </a:ln>
          </c:spPr>
        </c:majorGridlines>
        <c:title>
          <c:tx>
            <c:rich>
              <a:bodyPr rot="-5400000" vert="horz"/>
              <a:lstStyle/>
              <a:p>
                <a:pPr>
                  <a:defRPr b="0"/>
                </a:pPr>
                <a:r>
                  <a:rPr lang="en-GB" b="0"/>
                  <a:t>£/Mwh</a:t>
                </a:r>
              </a:p>
            </c:rich>
          </c:tx>
          <c:layout>
            <c:manualLayout>
              <c:xMode val="edge"/>
              <c:yMode val="edge"/>
              <c:x val="1.4001286493506892E-2"/>
              <c:y val="0.19601566197667913"/>
            </c:manualLayout>
          </c:layout>
          <c:overlay val="0"/>
        </c:title>
        <c:numFmt formatCode="&quot;£&quot;#,##0" sourceLinked="0"/>
        <c:majorTickMark val="out"/>
        <c:minorTickMark val="none"/>
        <c:tickLblPos val="nextTo"/>
        <c:spPr>
          <a:ln w="6350">
            <a:solidFill>
              <a:srgbClr val="A1ABB2"/>
            </a:solidFill>
          </a:ln>
        </c:spPr>
        <c:txPr>
          <a:bodyPr/>
          <a:lstStyle/>
          <a:p>
            <a:pPr>
              <a:defRPr sz="800" b="1"/>
            </a:pPr>
            <a:endParaRPr lang="en-US"/>
          </a:p>
        </c:txPr>
        <c:crossAx val="168939520"/>
        <c:crosses val="autoZero"/>
        <c:crossBetween val="between"/>
        <c:majorUnit val="15"/>
      </c:valAx>
    </c:plotArea>
    <c:plotVisOnly val="1"/>
    <c:dispBlanksAs val="gap"/>
    <c:showDLblsOverMax val="0"/>
  </c:chart>
  <c:spPr>
    <a:ln>
      <a:noFill/>
    </a:ln>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65360623628343"/>
          <c:y val="0.13430412061867572"/>
          <c:w val="0.80480621740464264"/>
          <c:h val="0.56224262838795014"/>
        </c:manualLayout>
      </c:layout>
      <c:barChart>
        <c:barDir val="col"/>
        <c:grouping val="stacked"/>
        <c:varyColors val="0"/>
        <c:ser>
          <c:idx val="1"/>
          <c:order val="1"/>
          <c:tx>
            <c:strRef>
              <c:f>'Fig 2.1 &amp; 2.2'!$D$50</c:f>
              <c:strCache>
                <c:ptCount val="1"/>
                <c:pt idx="0">
                  <c:v>Scotland</c:v>
                </c:pt>
              </c:strCache>
              <c:extLst xmlns:c15="http://schemas.microsoft.com/office/drawing/2012/chart"/>
            </c:strRef>
          </c:tx>
          <c:spPr>
            <a:solidFill>
              <a:srgbClr val="2363AF"/>
            </a:solidFill>
            <a:ln w="3175">
              <a:solidFill>
                <a:schemeClr val="tx1"/>
              </a:solidFill>
            </a:ln>
            <a:effectLst/>
          </c:spPr>
          <c:invertIfNegative val="0"/>
          <c:dLbls>
            <c:dLbl>
              <c:idx val="0"/>
              <c:layout>
                <c:manualLayout>
                  <c:x val="-1.8314806740807983E-17"/>
                  <c:y val="-1.15754761424052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C-481E-AAC7-89A39EABF667}"/>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2.1 &amp; 2.2'!$D$51:$D$64</c:f>
              <c:numCache>
                <c:formatCode>_-* #,##0_-;\-* #,##0_-;_-* "-"??_-;_-@_-</c:formatCode>
                <c:ptCount val="14"/>
                <c:pt idx="0">
                  <c:v>5806454</c:v>
                </c:pt>
                <c:pt idx="1">
                  <c:v>6824674</c:v>
                </c:pt>
                <c:pt idx="2">
                  <c:v>7739201</c:v>
                </c:pt>
                <c:pt idx="3">
                  <c:v>8868936</c:v>
                </c:pt>
                <c:pt idx="4">
                  <c:v>12772905</c:v>
                </c:pt>
                <c:pt idx="5">
                  <c:v>12384987</c:v>
                </c:pt>
                <c:pt idx="6">
                  <c:v>17046916</c:v>
                </c:pt>
                <c:pt idx="7">
                  <c:v>16466006</c:v>
                </c:pt>
                <c:pt idx="8">
                  <c:v>17437039</c:v>
                </c:pt>
                <c:pt idx="9">
                  <c:v>17029872</c:v>
                </c:pt>
                <c:pt idx="10">
                  <c:v>21838223</c:v>
                </c:pt>
                <c:pt idx="11">
                  <c:v>23530224</c:v>
                </c:pt>
                <c:pt idx="12">
                  <c:v>25208643</c:v>
                </c:pt>
                <c:pt idx="13">
                  <c:v>22573854</c:v>
                </c:pt>
              </c:numCache>
              <c:extLst xmlns:c15="http://schemas.microsoft.com/office/drawing/2012/chart"/>
            </c:numRef>
          </c:val>
          <c:extLst xmlns:c15="http://schemas.microsoft.com/office/drawing/2012/chart">
            <c:ext xmlns:c16="http://schemas.microsoft.com/office/drawing/2014/chart" uri="{C3380CC4-5D6E-409C-BE32-E72D297353CC}">
              <c16:uniqueId val="{00000000-C79F-485B-818E-16EDB8A75FC9}"/>
            </c:ext>
          </c:extLst>
        </c:ser>
        <c:dLbls>
          <c:showLegendKey val="0"/>
          <c:showVal val="1"/>
          <c:showCatName val="0"/>
          <c:showSerName val="0"/>
          <c:showPercent val="0"/>
          <c:showBubbleSize val="0"/>
        </c:dLbls>
        <c:gapWidth val="50"/>
        <c:overlap val="100"/>
        <c:axId val="991727256"/>
        <c:axId val="991722664"/>
        <c:extLst>
          <c:ext xmlns:c15="http://schemas.microsoft.com/office/drawing/2012/chart" uri="{02D57815-91ED-43cb-92C2-25804820EDAC}">
            <c15:filteredBarSeries>
              <c15:ser>
                <c:idx val="0"/>
                <c:order val="0"/>
                <c:tx>
                  <c:strRef>
                    <c:extLst>
                      <c:ext uri="{02D57815-91ED-43cb-92C2-25804820EDAC}">
                        <c15:formulaRef>
                          <c15:sqref>'Fig 2.1 &amp; 2.2'!$C$50</c15:sqref>
                        </c15:formulaRef>
                      </c:ext>
                    </c:extLst>
                    <c:strCache>
                      <c:ptCount val="1"/>
                      <c:pt idx="0">
                        <c:v>England</c:v>
                      </c:pt>
                    </c:strCache>
                  </c:strRef>
                </c:tx>
                <c:spPr>
                  <a:solidFill>
                    <a:srgbClr val="0794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2.2'!$C$51:$C$64</c15:sqref>
                        </c15:formulaRef>
                      </c:ext>
                    </c:extLst>
                    <c:numCache>
                      <c:formatCode>_-* #,##0_-;\-* #,##0_-;_-* "-"??_-;_-@_-</c:formatCode>
                      <c:ptCount val="14"/>
                      <c:pt idx="0">
                        <c:v>8573690</c:v>
                      </c:pt>
                      <c:pt idx="1">
                        <c:v>10174435</c:v>
                      </c:pt>
                      <c:pt idx="2">
                        <c:v>11091849</c:v>
                      </c:pt>
                      <c:pt idx="3">
                        <c:v>13487804</c:v>
                      </c:pt>
                      <c:pt idx="4">
                        <c:v>18602423</c:v>
                      </c:pt>
                      <c:pt idx="5">
                        <c:v>28567045</c:v>
                      </c:pt>
                      <c:pt idx="6">
                        <c:v>41509011</c:v>
                      </c:pt>
                      <c:pt idx="7">
                        <c:v>48996897</c:v>
                      </c:pt>
                      <c:pt idx="8">
                        <c:v>63595494</c:v>
                      </c:pt>
                      <c:pt idx="9">
                        <c:v>59162570</c:v>
                      </c:pt>
                      <c:pt idx="10">
                        <c:v>65336694</c:v>
                      </c:pt>
                      <c:pt idx="11">
                        <c:v>69094995</c:v>
                      </c:pt>
                      <c:pt idx="12">
                        <c:v>74550247</c:v>
                      </c:pt>
                      <c:pt idx="13">
                        <c:v>72558007</c:v>
                      </c:pt>
                    </c:numCache>
                  </c:numRef>
                </c:val>
                <c:extLst>
                  <c:ext xmlns:c16="http://schemas.microsoft.com/office/drawing/2014/chart" uri="{C3380CC4-5D6E-409C-BE32-E72D297353CC}">
                    <c16:uniqueId val="{00000001-C79F-485B-818E-16EDB8A75FC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 2.1 &amp; 2.2'!$E$50</c15:sqref>
                        </c15:formulaRef>
                      </c:ext>
                    </c:extLst>
                    <c:strCache>
                      <c:ptCount val="1"/>
                      <c:pt idx="0">
                        <c:v>Wales</c:v>
                      </c:pt>
                    </c:strCache>
                  </c:strRef>
                </c:tx>
                <c:spPr>
                  <a:pattFill prst="pct80">
                    <a:fgClr>
                      <a:srgbClr val="CD1F4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2.2'!$E$51:$E$64</c15:sqref>
                        </c15:formulaRef>
                      </c:ext>
                    </c:extLst>
                    <c:numCache>
                      <c:formatCode>_-* #,##0_-;\-* #,##0_-;_-* "-"??_-;_-@_-</c:formatCode>
                      <c:ptCount val="14"/>
                      <c:pt idx="0">
                        <c:v>1353224</c:v>
                      </c:pt>
                      <c:pt idx="1">
                        <c:v>1429788</c:v>
                      </c:pt>
                      <c:pt idx="2">
                        <c:v>1730347</c:v>
                      </c:pt>
                      <c:pt idx="3">
                        <c:v>1817838</c:v>
                      </c:pt>
                      <c:pt idx="4">
                        <c:v>2352685</c:v>
                      </c:pt>
                      <c:pt idx="5">
                        <c:v>2203328</c:v>
                      </c:pt>
                      <c:pt idx="6">
                        <c:v>2596267</c:v>
                      </c:pt>
                      <c:pt idx="7">
                        <c:v>3847685</c:v>
                      </c:pt>
                      <c:pt idx="8">
                        <c:v>6506156</c:v>
                      </c:pt>
                      <c:pt idx="9">
                        <c:v>6432021</c:v>
                      </c:pt>
                      <c:pt idx="10">
                        <c:v>8373083</c:v>
                      </c:pt>
                      <c:pt idx="11">
                        <c:v>7606217</c:v>
                      </c:pt>
                      <c:pt idx="12">
                        <c:v>8799234</c:v>
                      </c:pt>
                      <c:pt idx="13">
                        <c:v>8140214</c:v>
                      </c:pt>
                    </c:numCache>
                  </c:numRef>
                </c:val>
                <c:extLst xmlns:c15="http://schemas.microsoft.com/office/drawing/2012/chart">
                  <c:ext xmlns:c16="http://schemas.microsoft.com/office/drawing/2014/chart" uri="{C3380CC4-5D6E-409C-BE32-E72D297353CC}">
                    <c16:uniqueId val="{00000002-C79F-485B-818E-16EDB8A75FC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'Fig 2.1 &amp; 2.2'!$F$50</c15:sqref>
                        </c15:formulaRef>
                      </c:ext>
                    </c:extLst>
                    <c:strCache>
                      <c:ptCount val="1"/>
                      <c:pt idx="0">
                        <c:v>Northern Ireland</c:v>
                      </c:pt>
                    </c:strCache>
                  </c:strRef>
                </c:tx>
                <c:spPr>
                  <a:pattFill prst="pct20">
                    <a:fgClr>
                      <a:srgbClr val="FFFFFF"/>
                    </a:fgClr>
                    <a:bgClr>
                      <a:srgbClr val="9E712A"/>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2.2'!$F$51:$F$64</c15:sqref>
                        </c15:formulaRef>
                      </c:ext>
                    </c:extLst>
                    <c:numCache>
                      <c:formatCode>_-* #,##0_-;\-* #,##0_-;_-* "-"??_-;_-@_-</c:formatCode>
                      <c:ptCount val="14"/>
                      <c:pt idx="0">
                        <c:v>431052</c:v>
                      </c:pt>
                      <c:pt idx="1">
                        <c:v>620857</c:v>
                      </c:pt>
                      <c:pt idx="2">
                        <c:v>800362</c:v>
                      </c:pt>
                      <c:pt idx="3">
                        <c:v>787823</c:v>
                      </c:pt>
                      <c:pt idx="4">
                        <c:v>1244624</c:v>
                      </c:pt>
                      <c:pt idx="5">
                        <c:v>1247219</c:v>
                      </c:pt>
                      <c:pt idx="6">
                        <c:v>1861519</c:v>
                      </c:pt>
                      <c:pt idx="7">
                        <c:v>2151967</c:v>
                      </c:pt>
                      <c:pt idx="8">
                        <c:v>3024989</c:v>
                      </c:pt>
                      <c:pt idx="9">
                        <c:v>3545888</c:v>
                      </c:pt>
                      <c:pt idx="10">
                        <c:v>5033303</c:v>
                      </c:pt>
                      <c:pt idx="11">
                        <c:v>5716567</c:v>
                      </c:pt>
                      <c:pt idx="12">
                        <c:v>6148834</c:v>
                      </c:pt>
                      <c:pt idx="13">
                        <c:v>5980807</c:v>
                      </c:pt>
                    </c:numCache>
                  </c:numRef>
                </c:val>
                <c:extLst xmlns:c15="http://schemas.microsoft.com/office/drawing/2012/chart">
                  <c:ext xmlns:c16="http://schemas.microsoft.com/office/drawing/2014/chart" uri="{C3380CC4-5D6E-409C-BE32-E72D297353CC}">
                    <c16:uniqueId val="{00000003-C79F-485B-818E-16EDB8A75FC9}"/>
                  </c:ext>
                </c:extLst>
              </c15:ser>
            </c15:filteredBarSeries>
          </c:ext>
        </c:extLst>
      </c:barChart>
      <c:lineChart>
        <c:grouping val="standard"/>
        <c:varyColors val="0"/>
        <c:dLbls>
          <c:showLegendKey val="0"/>
          <c:showVal val="1"/>
          <c:showCatName val="0"/>
          <c:showSerName val="0"/>
          <c:showPercent val="0"/>
          <c:showBubbleSize val="0"/>
        </c:dLbls>
        <c:marker val="1"/>
        <c:smooth val="0"/>
        <c:axId val="991727256"/>
        <c:axId val="991722664"/>
        <c:extLst>
          <c:ext xmlns:c15="http://schemas.microsoft.com/office/drawing/2012/chart" uri="{02D57815-91ED-43cb-92C2-25804820EDAC}">
            <c15:filteredLineSeries>
              <c15:ser>
                <c:idx val="4"/>
                <c:order val="4"/>
                <c:tx>
                  <c:strRef>
                    <c:extLst>
                      <c:ext uri="{02D57815-91ED-43cb-92C2-25804820EDAC}">
                        <c15:formulaRef>
                          <c15:sqref>'Fig 2.1 &amp; 2.2'!$G$50</c15:sqref>
                        </c15:formulaRef>
                      </c:ext>
                    </c:extLst>
                    <c:strCache>
                      <c:ptCount val="1"/>
                      <c:pt idx="0">
                        <c:v>RO generation (TWh)</c:v>
                      </c:pt>
                    </c:strCache>
                  </c:strRef>
                </c:tx>
                <c:spPr>
                  <a:ln w="28575" cap="rnd">
                    <a:solidFill>
                      <a:srgbClr val="E86E1E"/>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2.2'!$G$51:$G$64</c15:sqref>
                        </c15:formulaRef>
                      </c:ext>
                    </c:extLst>
                    <c:numCache>
                      <c:formatCode>_-* #,##0_-;\-* #,##0_-;_-* "-"??_-;_-@_-</c:formatCode>
                      <c:ptCount val="14"/>
                      <c:pt idx="0">
                        <c:v>16164420</c:v>
                      </c:pt>
                      <c:pt idx="1">
                        <c:v>19049754</c:v>
                      </c:pt>
                      <c:pt idx="2">
                        <c:v>20466190.999997403</c:v>
                      </c:pt>
                      <c:pt idx="3">
                        <c:v>23289739.416663691</c:v>
                      </c:pt>
                      <c:pt idx="4">
                        <c:v>31266240.899996206</c:v>
                      </c:pt>
                      <c:pt idx="5">
                        <c:v>35098127.783327565</c:v>
                      </c:pt>
                      <c:pt idx="6">
                        <c:v>49733554.545935087</c:v>
                      </c:pt>
                      <c:pt idx="7">
                        <c:v>55877518.95800291</c:v>
                      </c:pt>
                      <c:pt idx="8">
                        <c:v>69180692.447682679</c:v>
                      </c:pt>
                      <c:pt idx="9">
                        <c:v>65232940.377441831</c:v>
                      </c:pt>
                      <c:pt idx="10">
                        <c:v>75161322.997715786</c:v>
                      </c:pt>
                      <c:pt idx="11">
                        <c:v>79102225.020451128</c:v>
                      </c:pt>
                      <c:pt idx="12">
                        <c:v>84920897.264358833</c:v>
                      </c:pt>
                      <c:pt idx="13">
                        <c:v>80348926.404663816</c:v>
                      </c:pt>
                    </c:numCache>
                  </c:numRef>
                </c:val>
                <c:smooth val="0"/>
                <c:extLst>
                  <c:ext xmlns:c16="http://schemas.microsoft.com/office/drawing/2014/chart" uri="{C3380CC4-5D6E-409C-BE32-E72D297353CC}">
                    <c16:uniqueId val="{00000004-C79F-485B-818E-16EDB8A75FC9}"/>
                  </c:ext>
                </c:extLst>
              </c15:ser>
            </c15:filteredLineSeries>
          </c:ext>
        </c:extLst>
      </c:lineChart>
      <c:scatterChart>
        <c:scatterStyle val="lineMarker"/>
        <c:varyColors val="0"/>
        <c:dLbls>
          <c:showLegendKey val="0"/>
          <c:showVal val="1"/>
          <c:showCatName val="0"/>
          <c:showSerName val="0"/>
          <c:showPercent val="0"/>
          <c:showBubbleSize val="0"/>
        </c:dLbls>
        <c:axId val="991727256"/>
        <c:axId val="991722664"/>
        <c:extLst>
          <c:ext xmlns:c15="http://schemas.microsoft.com/office/drawing/2012/chart" uri="{02D57815-91ED-43cb-92C2-25804820EDAC}">
            <c15:filteredScatterSeries>
              <c15:ser>
                <c:idx val="5"/>
                <c:order val="5"/>
                <c:tx>
                  <c:strRef>
                    <c:extLst>
                      <c:ext uri="{02D57815-91ED-43cb-92C2-25804820EDAC}">
                        <c15:formulaRef>
                          <c15:sqref>'Fig 2.1 &amp; 2.2'!$H$50</c15:sqref>
                        </c15:formulaRef>
                      </c:ext>
                    </c:extLst>
                    <c:strCache>
                      <c:ptCount val="1"/>
                      <c:pt idx="0">
                        <c:v>UK obligation (ROCs)</c:v>
                      </c:pt>
                    </c:strCache>
                  </c:strRef>
                </c:tx>
                <c:spPr>
                  <a:ln w="25400" cap="rnd">
                    <a:noFill/>
                    <a:round/>
                  </a:ln>
                  <a:effectLst/>
                </c:spPr>
                <c:marker>
                  <c:symbol val="dash"/>
                  <c:size val="13"/>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xVal>
                <c:yVal>
                  <c:numRef>
                    <c:extLst>
                      <c:ext uri="{02D57815-91ED-43cb-92C2-25804820EDAC}">
                        <c15:formulaRef>
                          <c15:sqref>'Fig 2.1 &amp; 2.2'!$H$51:$H$64</c15:sqref>
                        </c15:formulaRef>
                      </c:ext>
                    </c:extLst>
                    <c:numCache>
                      <c:formatCode>_-* #,##0_-;\-* #,##0_-;_-* "-"??_-;_-@_-</c:formatCode>
                      <c:ptCount val="14"/>
                      <c:pt idx="0">
                        <c:v>25551357</c:v>
                      </c:pt>
                      <c:pt idx="1">
                        <c:v>28975678</c:v>
                      </c:pt>
                      <c:pt idx="2">
                        <c:v>30101092</c:v>
                      </c:pt>
                      <c:pt idx="3">
                        <c:v>34749941</c:v>
                      </c:pt>
                      <c:pt idx="4">
                        <c:v>37676829</c:v>
                      </c:pt>
                      <c:pt idx="5">
                        <c:v>48915432</c:v>
                      </c:pt>
                      <c:pt idx="6">
                        <c:v>61858174</c:v>
                      </c:pt>
                      <c:pt idx="7">
                        <c:v>71922000</c:v>
                      </c:pt>
                      <c:pt idx="8">
                        <c:v>84439465</c:v>
                      </c:pt>
                      <c:pt idx="9">
                        <c:v>100748885</c:v>
                      </c:pt>
                      <c:pt idx="10">
                        <c:v>117842123</c:v>
                      </c:pt>
                      <c:pt idx="11">
                        <c:v>127623995</c:v>
                      </c:pt>
                      <c:pt idx="12">
                        <c:v>130183968</c:v>
                      </c:pt>
                      <c:pt idx="13">
                        <c:v>119090744</c:v>
                      </c:pt>
                    </c:numCache>
                  </c:numRef>
                </c:yVal>
                <c:smooth val="0"/>
                <c:extLst>
                  <c:ext xmlns:c16="http://schemas.microsoft.com/office/drawing/2014/chart" uri="{C3380CC4-5D6E-409C-BE32-E72D297353CC}">
                    <c16:uniqueId val="{00000005-C79F-485B-818E-16EDB8A75FC9}"/>
                  </c:ext>
                </c:extLst>
              </c15:ser>
            </c15:filteredScatterSeries>
          </c:ext>
        </c:extLst>
      </c:scatterChart>
      <c:catAx>
        <c:axId val="991727256"/>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2664"/>
        <c:crosses val="autoZero"/>
        <c:auto val="1"/>
        <c:lblAlgn val="ctr"/>
        <c:lblOffset val="100"/>
        <c:noMultiLvlLbl val="0"/>
      </c:catAx>
      <c:valAx>
        <c:axId val="99172266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a:t>ROCs issued (millions) </a:t>
                </a:r>
              </a:p>
            </c:rich>
          </c:tx>
          <c:layout>
            <c:manualLayout>
              <c:xMode val="edge"/>
              <c:yMode val="edge"/>
              <c:x val="3.4261801190935059E-3"/>
              <c:y val="0.14466408482156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7256"/>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0934543535092"/>
          <c:y val="6.5967016491754127E-2"/>
          <c:w val="0.85329968422729385"/>
          <c:h val="0.68179405889930178"/>
        </c:manualLayout>
      </c:layout>
      <c:barChart>
        <c:barDir val="col"/>
        <c:grouping val="clustered"/>
        <c:varyColors val="0"/>
        <c:ser>
          <c:idx val="0"/>
          <c:order val="0"/>
          <c:tx>
            <c:strRef>
              <c:f>'Fig 4.6'!$C$26</c:f>
              <c:strCache>
                <c:ptCount val="1"/>
                <c:pt idx="0">
                  <c:v>Total redistributed (£m)</c:v>
                </c:pt>
              </c:strCache>
            </c:strRef>
          </c:tx>
          <c:spPr>
            <a:solidFill>
              <a:srgbClr val="91AE3C"/>
            </a:solidFill>
            <a:ln w="3175" cmpd="sng">
              <a:solidFill>
                <a:schemeClr val="tx1"/>
              </a:solidFill>
            </a:ln>
            <a:effectLst/>
          </c:spPr>
          <c:invertIfNegative val="0"/>
          <c:dLbls>
            <c:dLbl>
              <c:idx val="0"/>
              <c:layout>
                <c:manualLayout>
                  <c:x val="-1.902170735375471E-17"/>
                  <c:y val="1.92783710685055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9-4402-AEF0-695E10A8D295}"/>
                </c:ext>
              </c:extLst>
            </c:dLbl>
            <c:dLbl>
              <c:idx val="2"/>
              <c:layout>
                <c:manualLayout>
                  <c:x val="-3.8043414707509419E-17"/>
                  <c:y val="0.129983892053824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29-4402-AEF0-695E10A8D295}"/>
                </c:ext>
              </c:extLst>
            </c:dLbl>
            <c:dLbl>
              <c:idx val="3"/>
              <c:layout>
                <c:manualLayout>
                  <c:x val="-3.8043414707509419E-17"/>
                  <c:y val="0.123720318065776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9-4402-AEF0-695E10A8D295}"/>
                </c:ext>
              </c:extLst>
            </c:dLbl>
            <c:dLbl>
              <c:idx val="9"/>
              <c:layout>
                <c:manualLayout>
                  <c:x val="-7.6086829415018839E-17"/>
                  <c:y val="0.120154692740485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29-4402-AEF0-695E10A8D295}"/>
                </c:ext>
              </c:extLst>
            </c:dLbl>
            <c:dLbl>
              <c:idx val="11"/>
              <c:layout>
                <c:manualLayout>
                  <c:x val="0"/>
                  <c:y val="2.3136868142434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29-4402-AEF0-695E10A8D295}"/>
                </c:ext>
              </c:extLst>
            </c:dLbl>
            <c:numFmt formatCode="&quot;£&quot;#,##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4.6'!$B$27:$B$45</c:f>
              <c:strCache>
                <c:ptCount val="19"/>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pt idx="18">
                  <c:v>2020-21</c:v>
                </c:pt>
              </c:strCache>
            </c:strRef>
          </c:cat>
          <c:val>
            <c:numRef>
              <c:f>'Fig 4.6'!$C$27:$C$45</c:f>
              <c:numCache>
                <c:formatCode>"£"#,##0</c:formatCode>
                <c:ptCount val="19"/>
                <c:pt idx="0">
                  <c:v>90519054</c:v>
                </c:pt>
                <c:pt idx="1">
                  <c:v>174955257</c:v>
                </c:pt>
                <c:pt idx="2">
                  <c:v>153838306</c:v>
                </c:pt>
                <c:pt idx="3">
                  <c:v>139654394</c:v>
                </c:pt>
                <c:pt idx="4">
                  <c:v>234179269</c:v>
                </c:pt>
                <c:pt idx="5">
                  <c:v>307180739</c:v>
                </c:pt>
                <c:pt idx="6">
                  <c:v>352651576</c:v>
                </c:pt>
                <c:pt idx="7">
                  <c:v>323306752</c:v>
                </c:pt>
                <c:pt idx="8">
                  <c:v>357619838</c:v>
                </c:pt>
                <c:pt idx="9">
                  <c:v>123116772</c:v>
                </c:pt>
                <c:pt idx="10">
                  <c:v>164420029</c:v>
                </c:pt>
                <c:pt idx="11">
                  <c:v>42372844</c:v>
                </c:pt>
                <c:pt idx="12">
                  <c:v>24714120</c:v>
                </c:pt>
                <c:pt idx="13">
                  <c:v>0</c:v>
                </c:pt>
                <c:pt idx="14">
                  <c:v>459957270</c:v>
                </c:pt>
                <c:pt idx="15">
                  <c:v>604116946</c:v>
                </c:pt>
                <c:pt idx="16">
                  <c:v>841941647</c:v>
                </c:pt>
                <c:pt idx="17">
                  <c:v>654596272</c:v>
                </c:pt>
                <c:pt idx="18">
                  <c:v>465872811</c:v>
                </c:pt>
              </c:numCache>
            </c:numRef>
          </c:val>
          <c:extLst>
            <c:ext xmlns:c16="http://schemas.microsoft.com/office/drawing/2014/chart" uri="{C3380CC4-5D6E-409C-BE32-E72D297353CC}">
              <c16:uniqueId val="{00000009-7A29-4402-AEF0-695E10A8D295}"/>
            </c:ext>
          </c:extLst>
        </c:ser>
        <c:dLbls>
          <c:dLblPos val="outEnd"/>
          <c:showLegendKey val="0"/>
          <c:showVal val="1"/>
          <c:showCatName val="0"/>
          <c:showSerName val="0"/>
          <c:showPercent val="0"/>
          <c:showBubbleSize val="0"/>
        </c:dLbls>
        <c:gapWidth val="50"/>
        <c:overlap val="-27"/>
        <c:axId val="229443695"/>
        <c:axId val="229443279"/>
      </c:barChart>
      <c:catAx>
        <c:axId val="229443695"/>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29443279"/>
        <c:crosses val="autoZero"/>
        <c:auto val="1"/>
        <c:lblAlgn val="ctr"/>
        <c:lblOffset val="100"/>
        <c:noMultiLvlLbl val="0"/>
      </c:catAx>
      <c:valAx>
        <c:axId val="229443279"/>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sz="1000">
                    <a:solidFill>
                      <a:schemeClr val="tx1">
                        <a:lumMod val="95000"/>
                        <a:lumOff val="5000"/>
                      </a:schemeClr>
                    </a:solidFill>
                  </a:rPr>
                  <a:t>Amount redistributed (£m)</a:t>
                </a:r>
              </a:p>
            </c:rich>
          </c:tx>
          <c:layout>
            <c:manualLayout>
              <c:xMode val="edge"/>
              <c:yMode val="edge"/>
              <c:x val="1.7607061314876299E-2"/>
              <c:y val="6.98250646750995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quot;£&quot;#,##0" sourceLinked="0"/>
        <c:majorTickMark val="out"/>
        <c:minorTickMark val="none"/>
        <c:tickLblPos val="nextTo"/>
        <c:spPr>
          <a:noFill/>
          <a:ln w="6350">
            <a:solidFill>
              <a:srgbClr val="A1ABB2"/>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29443695"/>
        <c:crosses val="autoZero"/>
        <c:crossBetween val="between"/>
        <c:dispUnits>
          <c:builtInUnit val="million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06019661743462E-2"/>
          <c:y val="4.5548654244306416E-2"/>
          <c:w val="0.8965596608116293"/>
          <c:h val="0.81937138292496048"/>
        </c:manualLayout>
      </c:layout>
      <c:barChart>
        <c:barDir val="col"/>
        <c:grouping val="percentStacked"/>
        <c:varyColors val="0"/>
        <c:ser>
          <c:idx val="0"/>
          <c:order val="0"/>
          <c:tx>
            <c:strRef>
              <c:f>'Fig 4.7'!$C$44</c:f>
              <c:strCache>
                <c:ptCount val="1"/>
                <c:pt idx="0">
                  <c:v>Good</c:v>
                </c:pt>
              </c:strCache>
            </c:strRef>
          </c:tx>
          <c:spPr>
            <a:solidFill>
              <a:srgbClr val="079448"/>
            </a:solidFill>
            <a:ln w="3175">
              <a:solidFill>
                <a:schemeClr val="tx1"/>
              </a:solidFill>
            </a:ln>
            <a:effectLst/>
          </c:spPr>
          <c:invertIfNegative val="0"/>
          <c:dLbls>
            <c:dLbl>
              <c:idx val="0"/>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7.8153320825443878E-2"/>
                      <c:h val="8.510425354462052E-2"/>
                    </c:manualLayout>
                  </c15:layout>
                </c:ext>
                <c:ext xmlns:c16="http://schemas.microsoft.com/office/drawing/2014/chart" uri="{C3380CC4-5D6E-409C-BE32-E72D297353CC}">
                  <c16:uniqueId val="{00000000-910B-4D1E-A212-2381435A1A48}"/>
                </c:ext>
              </c:extLst>
            </c:dLbl>
            <c:dLbl>
              <c:idx val="1"/>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6.5958197201322025E-2"/>
                      <c:h val="8.8440366972477064E-2"/>
                    </c:manualLayout>
                  </c15:layout>
                </c:ext>
                <c:ext xmlns:c16="http://schemas.microsoft.com/office/drawing/2014/chart" uri="{C3380CC4-5D6E-409C-BE32-E72D297353CC}">
                  <c16:uniqueId val="{00000001-910B-4D1E-A212-2381435A1A48}"/>
                </c:ext>
              </c:extLst>
            </c:dLbl>
            <c:dLbl>
              <c:idx val="2"/>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8.1637641860907273E-2"/>
                      <c:h val="8.8440366972477064E-2"/>
                    </c:manualLayout>
                  </c15:layout>
                </c:ext>
                <c:ext xmlns:c16="http://schemas.microsoft.com/office/drawing/2014/chart" uri="{C3380CC4-5D6E-409C-BE32-E72D297353CC}">
                  <c16:uniqueId val="{00000002-910B-4D1E-A212-2381435A1A48}"/>
                </c:ext>
              </c:extLst>
            </c:dLbl>
            <c:dLbl>
              <c:idx val="3"/>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6.8754296243284621E-2"/>
                      <c:h val="0.10845704753961635"/>
                    </c:manualLayout>
                  </c15:layout>
                </c:ext>
                <c:ext xmlns:c16="http://schemas.microsoft.com/office/drawing/2014/chart" uri="{C3380CC4-5D6E-409C-BE32-E72D297353CC}">
                  <c16:uniqueId val="{00000003-910B-4D1E-A212-2381435A1A48}"/>
                </c:ext>
              </c:extLst>
            </c:dLbl>
            <c:dLbl>
              <c:idx val="4"/>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7.3980777796479699E-2"/>
                      <c:h val="0.10178482068390324"/>
                    </c:manualLayout>
                  </c15:layout>
                </c:ext>
                <c:ext xmlns:c16="http://schemas.microsoft.com/office/drawing/2014/chart" uri="{C3380CC4-5D6E-409C-BE32-E72D297353CC}">
                  <c16:uniqueId val="{00000004-910B-4D1E-A212-2381435A1A48}"/>
                </c:ext>
              </c:extLst>
            </c:dLbl>
            <c:dLbl>
              <c:idx val="5"/>
              <c:numFmt formatCode="0.0%" sourceLinked="0"/>
              <c:spPr>
                <a:solidFill>
                  <a:srgbClr val="079448"/>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7.0496456761016318E-2"/>
                      <c:h val="9.5112593828190137E-2"/>
                    </c:manualLayout>
                  </c15:layout>
                </c:ext>
                <c:ext xmlns:c16="http://schemas.microsoft.com/office/drawing/2014/chart" uri="{C3380CC4-5D6E-409C-BE32-E72D297353CC}">
                  <c16:uniqueId val="{00000005-910B-4D1E-A212-2381435A1A48}"/>
                </c:ext>
              </c:extLst>
            </c:dLbl>
            <c:numFmt formatCode="0.0%" sourceLinked="0"/>
            <c:spPr>
              <a:solidFill>
                <a:srgbClr val="079448"/>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'Fig 4.7'!$B$34:$B$39</c:f>
              <c:strCache>
                <c:ptCount val="6"/>
                <c:pt idx="0">
                  <c:v>2016-17</c:v>
                </c:pt>
                <c:pt idx="1">
                  <c:v>2017-18</c:v>
                </c:pt>
                <c:pt idx="2">
                  <c:v>2018-19</c:v>
                </c:pt>
                <c:pt idx="3">
                  <c:v>2019-20</c:v>
                </c:pt>
                <c:pt idx="4">
                  <c:v>2020-21</c:v>
                </c:pt>
                <c:pt idx="5">
                  <c:v>2021-22</c:v>
                </c:pt>
              </c:strCache>
            </c:strRef>
          </c:cat>
          <c:val>
            <c:numRef>
              <c:f>'Fig 4.7'!$C$45:$C$50</c:f>
              <c:numCache>
                <c:formatCode>0.0%</c:formatCode>
                <c:ptCount val="6"/>
                <c:pt idx="0">
                  <c:v>0.2857142857142857</c:v>
                </c:pt>
                <c:pt idx="1">
                  <c:v>0.25</c:v>
                </c:pt>
                <c:pt idx="2">
                  <c:v>0.75</c:v>
                </c:pt>
                <c:pt idx="3">
                  <c:v>0.5</c:v>
                </c:pt>
                <c:pt idx="4">
                  <c:v>0.75</c:v>
                </c:pt>
                <c:pt idx="5">
                  <c:v>0.75</c:v>
                </c:pt>
              </c:numCache>
            </c:numRef>
          </c:val>
          <c:extLst>
            <c:ext xmlns:c16="http://schemas.microsoft.com/office/drawing/2014/chart" uri="{C3380CC4-5D6E-409C-BE32-E72D297353CC}">
              <c16:uniqueId val="{00000006-910B-4D1E-A212-2381435A1A48}"/>
            </c:ext>
          </c:extLst>
        </c:ser>
        <c:ser>
          <c:idx val="1"/>
          <c:order val="1"/>
          <c:tx>
            <c:strRef>
              <c:f>'Fig 4.7'!$D$44</c:f>
              <c:strCache>
                <c:ptCount val="1"/>
                <c:pt idx="0">
                  <c:v>Satisfactory</c:v>
                </c:pt>
              </c:strCache>
            </c:strRef>
          </c:tx>
          <c:spPr>
            <a:solidFill>
              <a:srgbClr val="2363AF"/>
            </a:solidFill>
            <a:ln w="3175">
              <a:solidFill>
                <a:schemeClr val="tx1"/>
              </a:solid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 lastClr="FFFFFF"/>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1018807560297567"/>
                      <c:h val="9.5112567450807775E-2"/>
                    </c:manualLayout>
                  </c15:layout>
                </c:ext>
                <c:ext xmlns:c16="http://schemas.microsoft.com/office/drawing/2014/chart" uri="{C3380CC4-5D6E-409C-BE32-E72D297353CC}">
                  <c16:uniqueId val="{00000007-910B-4D1E-A212-2381435A1A48}"/>
                </c:ext>
              </c:extLst>
            </c:dLbl>
            <c:dLbl>
              <c:idx val="1"/>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1232943515196694"/>
                      <c:h val="0.15323682365791233"/>
                    </c:manualLayout>
                  </c15:layout>
                </c:ext>
                <c:ext xmlns:c16="http://schemas.microsoft.com/office/drawing/2014/chart" uri="{C3380CC4-5D6E-409C-BE32-E72D297353CC}">
                  <c16:uniqueId val="{00000008-910B-4D1E-A212-2381435A1A48}"/>
                </c:ext>
              </c:extLst>
            </c:dLbl>
            <c:dLbl>
              <c:idx val="2"/>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1511453819751821"/>
                      <c:h val="0.12845437798536052"/>
                    </c:manualLayout>
                  </c15:layout>
                </c:ext>
                <c:ext xmlns:c16="http://schemas.microsoft.com/office/drawing/2014/chart" uri="{C3380CC4-5D6E-409C-BE32-E72D297353CC}">
                  <c16:uniqueId val="{00000009-910B-4D1E-A212-2381435A1A48}"/>
                </c:ext>
              </c:extLst>
            </c:dLbl>
            <c:dLbl>
              <c:idx val="3"/>
              <c:delete val="1"/>
              <c:extLst>
                <c:ext xmlns:c15="http://schemas.microsoft.com/office/drawing/2012/chart" uri="{CE6537A1-D6FC-4f65-9D91-7224C49458BB}"/>
                <c:ext xmlns:c16="http://schemas.microsoft.com/office/drawing/2014/chart" uri="{C3380CC4-5D6E-409C-BE32-E72D297353CC}">
                  <c16:uniqueId val="{0000000A-910B-4D1E-A212-2381435A1A48}"/>
                </c:ext>
              </c:extLst>
            </c:dLbl>
            <c:dLbl>
              <c:idx val="4"/>
              <c:delete val="1"/>
              <c:extLst>
                <c:ext xmlns:c15="http://schemas.microsoft.com/office/drawing/2012/chart" uri="{CE6537A1-D6FC-4f65-9D91-7224C49458BB}">
                  <c15:layout>
                    <c:manualLayout>
                      <c:w val="9.2630674727794279E-2"/>
                      <c:h val="0.17851542952460381"/>
                    </c:manualLayout>
                  </c15:layout>
                </c:ext>
                <c:ext xmlns:c16="http://schemas.microsoft.com/office/drawing/2014/chart" uri="{C3380CC4-5D6E-409C-BE32-E72D297353CC}">
                  <c16:uniqueId val="{0000000B-910B-4D1E-A212-2381435A1A48}"/>
                </c:ext>
              </c:extLst>
            </c:dLbl>
            <c:dLbl>
              <c:idx val="5"/>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1440059637515725"/>
                      <c:h val="0.12510164490308276"/>
                    </c:manualLayout>
                  </c15:layout>
                </c:ext>
                <c:ext xmlns:c16="http://schemas.microsoft.com/office/drawing/2014/chart" uri="{C3380CC4-5D6E-409C-BE32-E72D297353CC}">
                  <c16:uniqueId val="{0000000C-910B-4D1E-A212-2381435A1A48}"/>
                </c:ext>
              </c:extLst>
            </c:dLbl>
            <c:spPr>
              <a:solidFill>
                <a:srgbClr val="2363AF"/>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4.7'!$B$34:$B$39</c:f>
              <c:strCache>
                <c:ptCount val="6"/>
                <c:pt idx="0">
                  <c:v>2016-17</c:v>
                </c:pt>
                <c:pt idx="1">
                  <c:v>2017-18</c:v>
                </c:pt>
                <c:pt idx="2">
                  <c:v>2018-19</c:v>
                </c:pt>
                <c:pt idx="3">
                  <c:v>2019-20</c:v>
                </c:pt>
                <c:pt idx="4">
                  <c:v>2020-21</c:v>
                </c:pt>
                <c:pt idx="5">
                  <c:v>2021-22</c:v>
                </c:pt>
              </c:strCache>
            </c:strRef>
          </c:cat>
          <c:val>
            <c:numRef>
              <c:f>'Fig 4.7'!$D$45:$D$50</c:f>
              <c:numCache>
                <c:formatCode>0.0%</c:formatCode>
                <c:ptCount val="6"/>
                <c:pt idx="0">
                  <c:v>0.5714285714285714</c:v>
                </c:pt>
                <c:pt idx="1">
                  <c:v>0.5</c:v>
                </c:pt>
                <c:pt idx="2">
                  <c:v>0.25</c:v>
                </c:pt>
                <c:pt idx="3">
                  <c:v>0</c:v>
                </c:pt>
                <c:pt idx="4">
                  <c:v>0</c:v>
                </c:pt>
                <c:pt idx="5">
                  <c:v>0.25</c:v>
                </c:pt>
              </c:numCache>
            </c:numRef>
          </c:val>
          <c:extLst>
            <c:ext xmlns:c16="http://schemas.microsoft.com/office/drawing/2014/chart" uri="{C3380CC4-5D6E-409C-BE32-E72D297353CC}">
              <c16:uniqueId val="{0000000D-910B-4D1E-A212-2381435A1A48}"/>
            </c:ext>
          </c:extLst>
        </c:ser>
        <c:ser>
          <c:idx val="2"/>
          <c:order val="2"/>
          <c:tx>
            <c:strRef>
              <c:f>'Fig 4.7'!$E$44</c:f>
              <c:strCache>
                <c:ptCount val="1"/>
                <c:pt idx="0">
                  <c:v>Weak</c:v>
                </c:pt>
              </c:strCache>
            </c:strRef>
          </c:tx>
          <c:spPr>
            <a:solidFill>
              <a:srgbClr val="9E712A"/>
            </a:solidFill>
            <a:ln w="3175">
              <a:solidFill>
                <a:schemeClr val="tx1"/>
              </a:solidFill>
            </a:ln>
            <a:effectLst/>
          </c:spPr>
          <c:invertIfNegative val="0"/>
          <c:dLbls>
            <c:dLbl>
              <c:idx val="0"/>
              <c:spPr>
                <a:solidFill>
                  <a:srgbClr val="9E712A"/>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9.1870350525710909E-2"/>
                      <c:h val="8.4182194616977207E-2"/>
                    </c:manualLayout>
                  </c15:layout>
                </c:ext>
                <c:ext xmlns:c16="http://schemas.microsoft.com/office/drawing/2014/chart" uri="{C3380CC4-5D6E-409C-BE32-E72D297353CC}">
                  <c16:uniqueId val="{0000000E-910B-4D1E-A212-2381435A1A48}"/>
                </c:ext>
              </c:extLst>
            </c:dLbl>
            <c:dLbl>
              <c:idx val="1"/>
              <c:delete val="1"/>
              <c:extLst>
                <c:ext xmlns:c15="http://schemas.microsoft.com/office/drawing/2012/chart" uri="{CE6537A1-D6FC-4f65-9D91-7224C49458BB}"/>
                <c:ext xmlns:c16="http://schemas.microsoft.com/office/drawing/2014/chart" uri="{C3380CC4-5D6E-409C-BE32-E72D297353CC}">
                  <c16:uniqueId val="{0000000F-910B-4D1E-A212-2381435A1A48}"/>
                </c:ext>
              </c:extLst>
            </c:dLbl>
            <c:dLbl>
              <c:idx val="2"/>
              <c:delete val="1"/>
              <c:extLst>
                <c:ext xmlns:c15="http://schemas.microsoft.com/office/drawing/2012/chart" uri="{CE6537A1-D6FC-4f65-9D91-7224C49458BB}"/>
                <c:ext xmlns:c16="http://schemas.microsoft.com/office/drawing/2014/chart" uri="{C3380CC4-5D6E-409C-BE32-E72D297353CC}">
                  <c16:uniqueId val="{00000010-910B-4D1E-A212-2381435A1A48}"/>
                </c:ext>
              </c:extLst>
            </c:dLbl>
            <c:dLbl>
              <c:idx val="3"/>
              <c:spPr>
                <a:solidFill>
                  <a:srgbClr val="9E712A"/>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7.3527776483560861E-2"/>
                      <c:h val="0.12892616683784092"/>
                    </c:manualLayout>
                  </c15:layout>
                </c:ext>
                <c:ext xmlns:c16="http://schemas.microsoft.com/office/drawing/2014/chart" uri="{C3380CC4-5D6E-409C-BE32-E72D297353CC}">
                  <c16:uniqueId val="{00000011-910B-4D1E-A212-2381435A1A48}"/>
                </c:ext>
              </c:extLst>
            </c:dLbl>
            <c:dLbl>
              <c:idx val="4"/>
              <c:spPr>
                <a:solidFill>
                  <a:srgbClr val="9E712A"/>
                </a:solid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7.3527816061869464E-2"/>
                      <c:h val="8.510425354462052E-2"/>
                    </c:manualLayout>
                  </c15:layout>
                </c:ext>
                <c:ext xmlns:c16="http://schemas.microsoft.com/office/drawing/2014/chart" uri="{C3380CC4-5D6E-409C-BE32-E72D297353CC}">
                  <c16:uniqueId val="{00000012-910B-4D1E-A212-2381435A1A48}"/>
                </c:ext>
              </c:extLst>
            </c:dLbl>
            <c:dLbl>
              <c:idx val="5"/>
              <c:delete val="1"/>
              <c:extLst>
                <c:ext xmlns:c15="http://schemas.microsoft.com/office/drawing/2012/chart" uri="{CE6537A1-D6FC-4f65-9D91-7224C49458BB}">
                  <c15:layout>
                    <c:manualLayout>
                      <c:w val="5.5609763725995735E-2"/>
                      <c:h val="9.8448707256046694E-2"/>
                    </c:manualLayout>
                  </c15:layout>
                </c:ext>
                <c:ext xmlns:c16="http://schemas.microsoft.com/office/drawing/2014/chart" uri="{C3380CC4-5D6E-409C-BE32-E72D297353CC}">
                  <c16:uniqueId val="{00000013-910B-4D1E-A212-2381435A1A48}"/>
                </c:ext>
              </c:extLst>
            </c:dLbl>
            <c:spPr>
              <a:solidFill>
                <a:srgbClr val="9E712A"/>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4.7'!$B$34:$B$39</c:f>
              <c:strCache>
                <c:ptCount val="6"/>
                <c:pt idx="0">
                  <c:v>2016-17</c:v>
                </c:pt>
                <c:pt idx="1">
                  <c:v>2017-18</c:v>
                </c:pt>
                <c:pt idx="2">
                  <c:v>2018-19</c:v>
                </c:pt>
                <c:pt idx="3">
                  <c:v>2019-20</c:v>
                </c:pt>
                <c:pt idx="4">
                  <c:v>2020-21</c:v>
                </c:pt>
                <c:pt idx="5">
                  <c:v>2021-22</c:v>
                </c:pt>
              </c:strCache>
            </c:strRef>
          </c:cat>
          <c:val>
            <c:numRef>
              <c:f>'Fig 4.7'!$E$45:$E$50</c:f>
              <c:numCache>
                <c:formatCode>0.0%</c:formatCode>
                <c:ptCount val="6"/>
                <c:pt idx="0">
                  <c:v>0.14285714285714285</c:v>
                </c:pt>
                <c:pt idx="1">
                  <c:v>0</c:v>
                </c:pt>
                <c:pt idx="2">
                  <c:v>0</c:v>
                </c:pt>
                <c:pt idx="3">
                  <c:v>0.25</c:v>
                </c:pt>
                <c:pt idx="4">
                  <c:v>0.25</c:v>
                </c:pt>
                <c:pt idx="5">
                  <c:v>0</c:v>
                </c:pt>
              </c:numCache>
            </c:numRef>
          </c:val>
          <c:extLst>
            <c:ext xmlns:c16="http://schemas.microsoft.com/office/drawing/2014/chart" uri="{C3380CC4-5D6E-409C-BE32-E72D297353CC}">
              <c16:uniqueId val="{00000014-910B-4D1E-A212-2381435A1A48}"/>
            </c:ext>
          </c:extLst>
        </c:ser>
        <c:ser>
          <c:idx val="3"/>
          <c:order val="3"/>
          <c:tx>
            <c:strRef>
              <c:f>'Fig 4.7'!$F$44</c:f>
              <c:strCache>
                <c:ptCount val="1"/>
                <c:pt idx="0">
                  <c:v>Unsatisfactory</c:v>
                </c:pt>
              </c:strCache>
            </c:strRef>
          </c:tx>
          <c:spPr>
            <a:solidFill>
              <a:srgbClr val="CD1F45"/>
            </a:solidFill>
            <a:ln w="3175">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5-910B-4D1E-A212-2381435A1A48}"/>
                </c:ext>
              </c:extLst>
            </c:dLbl>
            <c:dLbl>
              <c:idx val="1"/>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1561353647362127"/>
                      <c:h val="0.12260608728256792"/>
                    </c:manualLayout>
                  </c15:layout>
                </c:ext>
                <c:ext xmlns:c16="http://schemas.microsoft.com/office/drawing/2014/chart" uri="{C3380CC4-5D6E-409C-BE32-E72D297353CC}">
                  <c16:uniqueId val="{00000016-910B-4D1E-A212-2381435A1A48}"/>
                </c:ext>
              </c:extLst>
            </c:dLbl>
            <c:dLbl>
              <c:idx val="2"/>
              <c:delete val="1"/>
              <c:extLst>
                <c:ext xmlns:c15="http://schemas.microsoft.com/office/drawing/2012/chart" uri="{CE6537A1-D6FC-4f65-9D91-7224C49458BB}"/>
                <c:ext xmlns:c16="http://schemas.microsoft.com/office/drawing/2014/chart" uri="{C3380CC4-5D6E-409C-BE32-E72D297353CC}">
                  <c16:uniqueId val="{00000017-910B-4D1E-A212-2381435A1A48}"/>
                </c:ext>
              </c:extLst>
            </c:dLbl>
            <c:dLbl>
              <c:idx val="3"/>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1804640544192331"/>
                      <c:h val="0.1405438450628454"/>
                    </c:manualLayout>
                  </c15:layout>
                </c:ext>
                <c:ext xmlns:c16="http://schemas.microsoft.com/office/drawing/2014/chart" uri="{C3380CC4-5D6E-409C-BE32-E72D297353CC}">
                  <c16:uniqueId val="{00000018-910B-4D1E-A212-2381435A1A48}"/>
                </c:ext>
              </c:extLst>
            </c:dLbl>
            <c:dLbl>
              <c:idx val="4"/>
              <c:delete val="1"/>
              <c:extLst>
                <c:ext xmlns:c15="http://schemas.microsoft.com/office/drawing/2012/chart" uri="{CE6537A1-D6FC-4f65-9D91-7224C49458BB}"/>
                <c:ext xmlns:c16="http://schemas.microsoft.com/office/drawing/2014/chart" uri="{C3380CC4-5D6E-409C-BE32-E72D297353CC}">
                  <c16:uniqueId val="{00000019-910B-4D1E-A212-2381435A1A48}"/>
                </c:ext>
              </c:extLst>
            </c:dLbl>
            <c:dLbl>
              <c:idx val="5"/>
              <c:delete val="1"/>
              <c:extLst>
                <c:ext xmlns:c15="http://schemas.microsoft.com/office/drawing/2012/chart" uri="{CE6537A1-D6FC-4f65-9D91-7224C49458BB}"/>
                <c:ext xmlns:c16="http://schemas.microsoft.com/office/drawing/2014/chart" uri="{C3380CC4-5D6E-409C-BE32-E72D297353CC}">
                  <c16:uniqueId val="{0000001A-910B-4D1E-A212-2381435A1A48}"/>
                </c:ext>
              </c:extLst>
            </c:dLbl>
            <c:spPr>
              <a:solidFill>
                <a:srgbClr val="CD1F45"/>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4.7'!$B$34:$B$39</c:f>
              <c:strCache>
                <c:ptCount val="6"/>
                <c:pt idx="0">
                  <c:v>2016-17</c:v>
                </c:pt>
                <c:pt idx="1">
                  <c:v>2017-18</c:v>
                </c:pt>
                <c:pt idx="2">
                  <c:v>2018-19</c:v>
                </c:pt>
                <c:pt idx="3">
                  <c:v>2019-20</c:v>
                </c:pt>
                <c:pt idx="4">
                  <c:v>2020-21</c:v>
                </c:pt>
                <c:pt idx="5">
                  <c:v>2021-22</c:v>
                </c:pt>
              </c:strCache>
            </c:strRef>
          </c:cat>
          <c:val>
            <c:numRef>
              <c:f>'Fig 4.7'!$F$45:$F$50</c:f>
              <c:numCache>
                <c:formatCode>0.0%</c:formatCode>
                <c:ptCount val="6"/>
                <c:pt idx="0">
                  <c:v>0</c:v>
                </c:pt>
                <c:pt idx="1">
                  <c:v>0.25</c:v>
                </c:pt>
                <c:pt idx="2">
                  <c:v>0</c:v>
                </c:pt>
                <c:pt idx="3">
                  <c:v>0.25</c:v>
                </c:pt>
                <c:pt idx="4">
                  <c:v>0</c:v>
                </c:pt>
                <c:pt idx="5">
                  <c:v>0</c:v>
                </c:pt>
              </c:numCache>
            </c:numRef>
          </c:val>
          <c:extLst>
            <c:ext xmlns:c16="http://schemas.microsoft.com/office/drawing/2014/chart" uri="{C3380CC4-5D6E-409C-BE32-E72D297353CC}">
              <c16:uniqueId val="{0000001B-910B-4D1E-A212-2381435A1A48}"/>
            </c:ext>
          </c:extLst>
        </c:ser>
        <c:dLbls>
          <c:showLegendKey val="0"/>
          <c:showVal val="0"/>
          <c:showCatName val="0"/>
          <c:showSerName val="0"/>
          <c:showPercent val="0"/>
          <c:showBubbleSize val="0"/>
        </c:dLbls>
        <c:gapWidth val="40"/>
        <c:overlap val="100"/>
        <c:axId val="597321440"/>
        <c:axId val="597314784"/>
      </c:barChart>
      <c:catAx>
        <c:axId val="597321440"/>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597314784"/>
        <c:crosses val="autoZero"/>
        <c:auto val="1"/>
        <c:lblAlgn val="ctr"/>
        <c:lblOffset val="100"/>
        <c:noMultiLvlLbl val="0"/>
      </c:catAx>
      <c:valAx>
        <c:axId val="597314784"/>
        <c:scaling>
          <c:orientation val="minMax"/>
        </c:scaling>
        <c:delete val="0"/>
        <c:axPos val="l"/>
        <c:majorGridlines>
          <c:spPr>
            <a:ln w="6350" cap="flat" cmpd="sng" algn="ctr">
              <a:solidFill>
                <a:schemeClr val="bg1">
                  <a:lumMod val="6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Percentage of audits</a:t>
                </a:r>
              </a:p>
            </c:rich>
          </c:tx>
          <c:layout>
            <c:manualLayout>
              <c:xMode val="edge"/>
              <c:yMode val="edge"/>
              <c:x val="6.1672024724720119E-4"/>
              <c:y val="0.133020981073018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0%"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59732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7521979333002"/>
          <c:y val="7.1270628842627554E-2"/>
          <c:w val="0.81600866325275756"/>
          <c:h val="0.5721910617337217"/>
        </c:manualLayout>
      </c:layout>
      <c:barChart>
        <c:barDir val="col"/>
        <c:grouping val="clustered"/>
        <c:varyColors val="0"/>
        <c:ser>
          <c:idx val="0"/>
          <c:order val="0"/>
          <c:tx>
            <c:strRef>
              <c:f>'Fig 5.1'!$B$30</c:f>
              <c:strCache>
                <c:ptCount val="1"/>
                <c:pt idx="0">
                  <c:v>England</c:v>
                </c:pt>
              </c:strCache>
            </c:strRef>
          </c:tx>
          <c:spPr>
            <a:solidFill>
              <a:schemeClr val="accent1"/>
            </a:solidFill>
            <a:ln w="3175">
              <a:solidFill>
                <a:schemeClr val="tx1"/>
              </a:solidFill>
            </a:ln>
            <a:effectLst/>
          </c:spPr>
          <c:invertIfNegative val="0"/>
          <c:dPt>
            <c:idx val="0"/>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01-F9E6-4144-87A5-53635F8C8065}"/>
              </c:ext>
            </c:extLst>
          </c:dPt>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3-F9E6-4144-87A5-53635F8C8065}"/>
              </c:ext>
            </c:extLst>
          </c:dPt>
          <c:dPt>
            <c:idx val="2"/>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5-F9E6-4144-87A5-53635F8C8065}"/>
              </c:ext>
            </c:extLst>
          </c:dPt>
          <c:dPt>
            <c:idx val="3"/>
            <c:invertIfNegative val="0"/>
            <c:bubble3D val="0"/>
            <c:spPr>
              <a:solidFill>
                <a:srgbClr val="CD1F45"/>
              </a:solidFill>
              <a:ln w="3175">
                <a:solidFill>
                  <a:schemeClr val="tx1"/>
                </a:solidFill>
              </a:ln>
              <a:effectLst/>
            </c:spPr>
            <c:extLst>
              <c:ext xmlns:c16="http://schemas.microsoft.com/office/drawing/2014/chart" uri="{C3380CC4-5D6E-409C-BE32-E72D297353CC}">
                <c16:uniqueId val="{00000007-F9E6-4144-87A5-53635F8C8065}"/>
              </c:ext>
            </c:extLst>
          </c:dPt>
          <c:dLbls>
            <c:dLbl>
              <c:idx val="0"/>
              <c:layout>
                <c:manualLayout>
                  <c:x val="-3.8792047286391855E-17"/>
                  <c:y val="1.531523028799471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E6-4144-87A5-53635F8C806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5.1'!$C$29:$F$29</c:f>
              <c:strCache>
                <c:ptCount val="4"/>
                <c:pt idx="0">
                  <c:v>Good</c:v>
                </c:pt>
                <c:pt idx="1">
                  <c:v>Satisfactory</c:v>
                </c:pt>
                <c:pt idx="2">
                  <c:v>Weak</c:v>
                </c:pt>
                <c:pt idx="3">
                  <c:v>Unsatisfactory</c:v>
                </c:pt>
              </c:strCache>
            </c:strRef>
          </c:cat>
          <c:val>
            <c:numRef>
              <c:f>'Fig 5.1'!$C$30:$F$30</c:f>
              <c:numCache>
                <c:formatCode>General</c:formatCode>
                <c:ptCount val="4"/>
                <c:pt idx="0">
                  <c:v>2</c:v>
                </c:pt>
                <c:pt idx="1">
                  <c:v>14</c:v>
                </c:pt>
                <c:pt idx="2">
                  <c:v>24</c:v>
                </c:pt>
                <c:pt idx="3">
                  <c:v>5</c:v>
                </c:pt>
              </c:numCache>
            </c:numRef>
          </c:val>
          <c:extLst>
            <c:ext xmlns:c16="http://schemas.microsoft.com/office/drawing/2014/chart" uri="{C3380CC4-5D6E-409C-BE32-E72D297353CC}">
              <c16:uniqueId val="{00000008-F9E6-4144-87A5-53635F8C8065}"/>
            </c:ext>
          </c:extLst>
        </c:ser>
        <c:dLbls>
          <c:showLegendKey val="0"/>
          <c:showVal val="0"/>
          <c:showCatName val="0"/>
          <c:showSerName val="0"/>
          <c:showPercent val="0"/>
          <c:showBubbleSize val="0"/>
        </c:dLbls>
        <c:gapWidth val="50"/>
        <c:overlap val="-27"/>
        <c:axId val="180520384"/>
        <c:axId val="180517888"/>
      </c:barChart>
      <c:catAx>
        <c:axId val="180520384"/>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17888"/>
        <c:crosses val="autoZero"/>
        <c:auto val="1"/>
        <c:lblAlgn val="ctr"/>
        <c:lblOffset val="100"/>
        <c:noMultiLvlLbl val="0"/>
      </c:catAx>
      <c:valAx>
        <c:axId val="180517888"/>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Number of audits</a:t>
                </a:r>
              </a:p>
            </c:rich>
          </c:tx>
          <c:layout>
            <c:manualLayout>
              <c:xMode val="edge"/>
              <c:yMode val="edge"/>
              <c:x val="3.263403263403263E-3"/>
              <c:y val="8.31032251105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2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7521979333002"/>
          <c:y val="7.1270628842627554E-2"/>
          <c:w val="0.81600866325275756"/>
          <c:h val="0.5721910617337217"/>
        </c:manualLayout>
      </c:layout>
      <c:barChart>
        <c:barDir val="col"/>
        <c:grouping val="clustered"/>
        <c:varyColors val="0"/>
        <c:ser>
          <c:idx val="0"/>
          <c:order val="0"/>
          <c:tx>
            <c:strRef>
              <c:f>'Fig 5.1'!$B$31</c:f>
              <c:strCache>
                <c:ptCount val="1"/>
                <c:pt idx="0">
                  <c:v>Scotland</c:v>
                </c:pt>
              </c:strCache>
            </c:strRef>
          </c:tx>
          <c:spPr>
            <a:solidFill>
              <a:schemeClr val="accent1"/>
            </a:solidFill>
            <a:ln w="3175">
              <a:solidFill>
                <a:schemeClr val="tx1"/>
              </a:solidFill>
            </a:ln>
            <a:effectLst/>
          </c:spPr>
          <c:invertIfNegative val="0"/>
          <c:dPt>
            <c:idx val="0"/>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01-606C-4D79-AB94-BA9EE9223CE5}"/>
              </c:ext>
            </c:extLst>
          </c:dPt>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3-606C-4D79-AB94-BA9EE9223CE5}"/>
              </c:ext>
            </c:extLst>
          </c:dPt>
          <c:dPt>
            <c:idx val="2"/>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5-606C-4D79-AB94-BA9EE9223CE5}"/>
              </c:ext>
            </c:extLst>
          </c:dPt>
          <c:dPt>
            <c:idx val="3"/>
            <c:invertIfNegative val="0"/>
            <c:bubble3D val="0"/>
            <c:spPr>
              <a:solidFill>
                <a:srgbClr val="CD1F45"/>
              </a:solidFill>
              <a:ln w="3175">
                <a:solidFill>
                  <a:schemeClr val="tx1"/>
                </a:solidFill>
              </a:ln>
              <a:effectLst/>
            </c:spPr>
            <c:extLst>
              <c:ext xmlns:c16="http://schemas.microsoft.com/office/drawing/2014/chart" uri="{C3380CC4-5D6E-409C-BE32-E72D297353CC}">
                <c16:uniqueId val="{00000007-606C-4D79-AB94-BA9EE9223CE5}"/>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606C-4D79-AB94-BA9EE9223C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5.1'!$C$29:$F$29</c:f>
              <c:strCache>
                <c:ptCount val="4"/>
                <c:pt idx="0">
                  <c:v>Good</c:v>
                </c:pt>
                <c:pt idx="1">
                  <c:v>Satisfactory</c:v>
                </c:pt>
                <c:pt idx="2">
                  <c:v>Weak</c:v>
                </c:pt>
                <c:pt idx="3">
                  <c:v>Unsatisfactory</c:v>
                </c:pt>
              </c:strCache>
            </c:strRef>
          </c:cat>
          <c:val>
            <c:numRef>
              <c:f>'Fig 5.1'!$C$31:$F$31</c:f>
              <c:numCache>
                <c:formatCode>General</c:formatCode>
                <c:ptCount val="4"/>
                <c:pt idx="0">
                  <c:v>0</c:v>
                </c:pt>
                <c:pt idx="1">
                  <c:v>4</c:v>
                </c:pt>
                <c:pt idx="2">
                  <c:v>6</c:v>
                </c:pt>
                <c:pt idx="3">
                  <c:v>1</c:v>
                </c:pt>
              </c:numCache>
            </c:numRef>
          </c:val>
          <c:extLst>
            <c:ext xmlns:c16="http://schemas.microsoft.com/office/drawing/2014/chart" uri="{C3380CC4-5D6E-409C-BE32-E72D297353CC}">
              <c16:uniqueId val="{00000008-606C-4D79-AB94-BA9EE9223CE5}"/>
            </c:ext>
          </c:extLst>
        </c:ser>
        <c:dLbls>
          <c:showLegendKey val="0"/>
          <c:showVal val="0"/>
          <c:showCatName val="0"/>
          <c:showSerName val="0"/>
          <c:showPercent val="0"/>
          <c:showBubbleSize val="0"/>
        </c:dLbls>
        <c:gapWidth val="50"/>
        <c:overlap val="-27"/>
        <c:axId val="180520384"/>
        <c:axId val="180517888"/>
      </c:barChart>
      <c:catAx>
        <c:axId val="180520384"/>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17888"/>
        <c:crosses val="autoZero"/>
        <c:auto val="1"/>
        <c:lblAlgn val="ctr"/>
        <c:lblOffset val="100"/>
        <c:noMultiLvlLbl val="0"/>
      </c:catAx>
      <c:valAx>
        <c:axId val="180517888"/>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Number of audits</a:t>
                </a:r>
              </a:p>
            </c:rich>
          </c:tx>
          <c:layout>
            <c:manualLayout>
              <c:xMode val="edge"/>
              <c:yMode val="edge"/>
              <c:x val="3.263403263403263E-3"/>
              <c:y val="8.31032251105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2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7521979333002"/>
          <c:y val="7.1270628842627554E-2"/>
          <c:w val="0.81600866325275756"/>
          <c:h val="0.5721910617337217"/>
        </c:manualLayout>
      </c:layout>
      <c:barChart>
        <c:barDir val="col"/>
        <c:grouping val="clustered"/>
        <c:varyColors val="0"/>
        <c:ser>
          <c:idx val="0"/>
          <c:order val="0"/>
          <c:tx>
            <c:strRef>
              <c:f>'Fig 5.1'!$B$32</c:f>
              <c:strCache>
                <c:ptCount val="1"/>
                <c:pt idx="0">
                  <c:v>Wales</c:v>
                </c:pt>
              </c:strCache>
            </c:strRef>
          </c:tx>
          <c:spPr>
            <a:solidFill>
              <a:schemeClr val="accent1"/>
            </a:solidFill>
            <a:ln w="3175">
              <a:solidFill>
                <a:schemeClr val="tx1"/>
              </a:solidFill>
            </a:ln>
            <a:effectLst/>
          </c:spPr>
          <c:invertIfNegative val="0"/>
          <c:dPt>
            <c:idx val="0"/>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01-4DF6-459E-8234-D51300FEBE48}"/>
              </c:ext>
            </c:extLst>
          </c:dPt>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3-4DF6-459E-8234-D51300FEBE48}"/>
              </c:ext>
            </c:extLst>
          </c:dPt>
          <c:dPt>
            <c:idx val="2"/>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5-4DF6-459E-8234-D51300FEBE48}"/>
              </c:ext>
            </c:extLst>
          </c:dPt>
          <c:dPt>
            <c:idx val="3"/>
            <c:invertIfNegative val="0"/>
            <c:bubble3D val="0"/>
            <c:spPr>
              <a:solidFill>
                <a:srgbClr val="CD1F45"/>
              </a:solidFill>
              <a:ln w="3175">
                <a:solidFill>
                  <a:schemeClr val="tx1"/>
                </a:solidFill>
              </a:ln>
              <a:effectLst/>
            </c:spPr>
            <c:extLst>
              <c:ext xmlns:c16="http://schemas.microsoft.com/office/drawing/2014/chart" uri="{C3380CC4-5D6E-409C-BE32-E72D297353CC}">
                <c16:uniqueId val="{00000007-4DF6-459E-8234-D51300FEBE48}"/>
              </c:ext>
            </c:extLst>
          </c:dPt>
          <c:dLbls>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4DF6-459E-8234-D51300FEBE4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5.1'!$C$29:$F$29</c:f>
              <c:strCache>
                <c:ptCount val="4"/>
                <c:pt idx="0">
                  <c:v>Good</c:v>
                </c:pt>
                <c:pt idx="1">
                  <c:v>Satisfactory</c:v>
                </c:pt>
                <c:pt idx="2">
                  <c:v>Weak</c:v>
                </c:pt>
                <c:pt idx="3">
                  <c:v>Unsatisfactory</c:v>
                </c:pt>
              </c:strCache>
            </c:strRef>
          </c:cat>
          <c:val>
            <c:numRef>
              <c:f>'Fig 5.1'!$C$32:$F$32</c:f>
              <c:numCache>
                <c:formatCode>General</c:formatCode>
                <c:ptCount val="4"/>
                <c:pt idx="0">
                  <c:v>1</c:v>
                </c:pt>
                <c:pt idx="1">
                  <c:v>0</c:v>
                </c:pt>
                <c:pt idx="2">
                  <c:v>2</c:v>
                </c:pt>
                <c:pt idx="3">
                  <c:v>1</c:v>
                </c:pt>
              </c:numCache>
            </c:numRef>
          </c:val>
          <c:extLst>
            <c:ext xmlns:c16="http://schemas.microsoft.com/office/drawing/2014/chart" uri="{C3380CC4-5D6E-409C-BE32-E72D297353CC}">
              <c16:uniqueId val="{00000008-4DF6-459E-8234-D51300FEBE48}"/>
            </c:ext>
          </c:extLst>
        </c:ser>
        <c:dLbls>
          <c:showLegendKey val="0"/>
          <c:showVal val="0"/>
          <c:showCatName val="0"/>
          <c:showSerName val="0"/>
          <c:showPercent val="0"/>
          <c:showBubbleSize val="0"/>
        </c:dLbls>
        <c:gapWidth val="50"/>
        <c:overlap val="-27"/>
        <c:axId val="180520384"/>
        <c:axId val="180517888"/>
      </c:barChart>
      <c:catAx>
        <c:axId val="180520384"/>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17888"/>
        <c:crosses val="autoZero"/>
        <c:auto val="1"/>
        <c:lblAlgn val="ctr"/>
        <c:lblOffset val="100"/>
        <c:noMultiLvlLbl val="0"/>
      </c:catAx>
      <c:valAx>
        <c:axId val="180517888"/>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Number of audits</a:t>
                </a:r>
              </a:p>
            </c:rich>
          </c:tx>
          <c:layout>
            <c:manualLayout>
              <c:xMode val="edge"/>
              <c:yMode val="edge"/>
              <c:x val="3.263403263403263E-3"/>
              <c:y val="8.31032251105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203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7521979333002"/>
          <c:y val="7.1270628842627554E-2"/>
          <c:w val="0.81600866325275756"/>
          <c:h val="0.5721910617337217"/>
        </c:manualLayout>
      </c:layout>
      <c:barChart>
        <c:barDir val="col"/>
        <c:grouping val="clustered"/>
        <c:varyColors val="0"/>
        <c:ser>
          <c:idx val="0"/>
          <c:order val="0"/>
          <c:tx>
            <c:strRef>
              <c:f>'Fig 5.1'!$B$33</c:f>
              <c:strCache>
                <c:ptCount val="1"/>
                <c:pt idx="0">
                  <c:v>Northern Ireland</c:v>
                </c:pt>
              </c:strCache>
            </c:strRef>
          </c:tx>
          <c:spPr>
            <a:solidFill>
              <a:schemeClr val="accent1"/>
            </a:solidFill>
            <a:ln w="3175">
              <a:solidFill>
                <a:schemeClr val="tx1"/>
              </a:solidFill>
            </a:ln>
            <a:effectLst/>
          </c:spPr>
          <c:invertIfNegative val="0"/>
          <c:dPt>
            <c:idx val="0"/>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01-F86B-4CEF-AD6B-698323CE38CE}"/>
              </c:ext>
            </c:extLst>
          </c:dPt>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3-F86B-4CEF-AD6B-698323CE38CE}"/>
              </c:ext>
            </c:extLst>
          </c:dPt>
          <c:dPt>
            <c:idx val="2"/>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5-F86B-4CEF-AD6B-698323CE38CE}"/>
              </c:ext>
            </c:extLst>
          </c:dPt>
          <c:dPt>
            <c:idx val="3"/>
            <c:invertIfNegative val="0"/>
            <c:bubble3D val="0"/>
            <c:spPr>
              <a:solidFill>
                <a:srgbClr val="CD1F45"/>
              </a:solidFill>
              <a:ln w="3175">
                <a:solidFill>
                  <a:schemeClr val="tx1"/>
                </a:solidFill>
              </a:ln>
              <a:effectLst/>
            </c:spPr>
            <c:extLst>
              <c:ext xmlns:c16="http://schemas.microsoft.com/office/drawing/2014/chart" uri="{C3380CC4-5D6E-409C-BE32-E72D297353CC}">
                <c16:uniqueId val="{00000007-F86B-4CEF-AD6B-698323CE38CE}"/>
              </c:ext>
            </c:extLst>
          </c:dPt>
          <c:dLbls>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86B-4CEF-AD6B-698323CE38CE}"/>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86B-4CEF-AD6B-698323CE38CE}"/>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F86B-4CEF-AD6B-698323CE38C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5.1'!$C$29:$F$29</c:f>
              <c:strCache>
                <c:ptCount val="4"/>
                <c:pt idx="0">
                  <c:v>Good</c:v>
                </c:pt>
                <c:pt idx="1">
                  <c:v>Satisfactory</c:v>
                </c:pt>
                <c:pt idx="2">
                  <c:v>Weak</c:v>
                </c:pt>
                <c:pt idx="3">
                  <c:v>Unsatisfactory</c:v>
                </c:pt>
              </c:strCache>
            </c:strRef>
          </c:cat>
          <c:val>
            <c:numRef>
              <c:f>'Fig 5.1'!$C$33:$F$33</c:f>
              <c:numCache>
                <c:formatCode>General</c:formatCode>
                <c:ptCount val="4"/>
                <c:pt idx="0">
                  <c:v>0</c:v>
                </c:pt>
                <c:pt idx="1">
                  <c:v>9</c:v>
                </c:pt>
                <c:pt idx="2">
                  <c:v>12</c:v>
                </c:pt>
                <c:pt idx="3">
                  <c:v>2</c:v>
                </c:pt>
              </c:numCache>
            </c:numRef>
          </c:val>
          <c:extLst>
            <c:ext xmlns:c16="http://schemas.microsoft.com/office/drawing/2014/chart" uri="{C3380CC4-5D6E-409C-BE32-E72D297353CC}">
              <c16:uniqueId val="{00000008-F86B-4CEF-AD6B-698323CE38CE}"/>
            </c:ext>
          </c:extLst>
        </c:ser>
        <c:dLbls>
          <c:showLegendKey val="0"/>
          <c:showVal val="0"/>
          <c:showCatName val="0"/>
          <c:showSerName val="0"/>
          <c:showPercent val="0"/>
          <c:showBubbleSize val="0"/>
        </c:dLbls>
        <c:gapWidth val="50"/>
        <c:overlap val="-27"/>
        <c:axId val="180520384"/>
        <c:axId val="180517888"/>
      </c:barChart>
      <c:catAx>
        <c:axId val="180520384"/>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17888"/>
        <c:crosses val="autoZero"/>
        <c:auto val="1"/>
        <c:lblAlgn val="ctr"/>
        <c:lblOffset val="100"/>
        <c:noMultiLvlLbl val="0"/>
      </c:catAx>
      <c:valAx>
        <c:axId val="180517888"/>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Number of audits</a:t>
                </a:r>
              </a:p>
            </c:rich>
          </c:tx>
          <c:layout>
            <c:manualLayout>
              <c:xMode val="edge"/>
              <c:yMode val="edge"/>
              <c:x val="3.263403263403263E-3"/>
              <c:y val="8.31032251105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2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7521979333002"/>
          <c:y val="7.1270628842627554E-2"/>
          <c:w val="0.81600866325275756"/>
          <c:h val="0.5721910617337217"/>
        </c:manualLayout>
      </c:layout>
      <c:barChart>
        <c:barDir val="col"/>
        <c:grouping val="clustered"/>
        <c:varyColors val="0"/>
        <c:ser>
          <c:idx val="0"/>
          <c:order val="0"/>
          <c:tx>
            <c:strRef>
              <c:f>'Fig 5.1'!$B$34</c:f>
              <c:strCache>
                <c:ptCount val="1"/>
                <c:pt idx="0">
                  <c:v>Total</c:v>
                </c:pt>
              </c:strCache>
            </c:strRef>
          </c:tx>
          <c:spPr>
            <a:solidFill>
              <a:schemeClr val="accent1"/>
            </a:solidFill>
            <a:ln w="3175">
              <a:solidFill>
                <a:schemeClr val="tx1"/>
              </a:solidFill>
            </a:ln>
            <a:effectLst/>
          </c:spPr>
          <c:invertIfNegative val="0"/>
          <c:dPt>
            <c:idx val="0"/>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01-B98E-4899-897A-ECF9F144CD50}"/>
              </c:ext>
            </c:extLst>
          </c:dPt>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3-B98E-4899-897A-ECF9F144CD50}"/>
              </c:ext>
            </c:extLst>
          </c:dPt>
          <c:dPt>
            <c:idx val="2"/>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5-B98E-4899-897A-ECF9F144CD50}"/>
              </c:ext>
            </c:extLst>
          </c:dPt>
          <c:dPt>
            <c:idx val="3"/>
            <c:invertIfNegative val="0"/>
            <c:bubble3D val="0"/>
            <c:spPr>
              <a:solidFill>
                <a:srgbClr val="CD1F45"/>
              </a:solidFill>
              <a:ln w="3175">
                <a:solidFill>
                  <a:schemeClr val="tx1"/>
                </a:solidFill>
              </a:ln>
              <a:effectLst/>
            </c:spPr>
            <c:extLst>
              <c:ext xmlns:c16="http://schemas.microsoft.com/office/drawing/2014/chart" uri="{C3380CC4-5D6E-409C-BE32-E72D297353CC}">
                <c16:uniqueId val="{00000007-B98E-4899-897A-ECF9F144CD50}"/>
              </c:ext>
            </c:extLst>
          </c:dPt>
          <c:dLbls>
            <c:dLbl>
              <c:idx val="0"/>
              <c:layout>
                <c:manualLayout>
                  <c:x val="-3.8792047286391855E-17"/>
                  <c:y val="1.150046740732740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8E-4899-897A-ECF9F144CD5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5.1'!$C$29:$F$29</c:f>
              <c:strCache>
                <c:ptCount val="4"/>
                <c:pt idx="0">
                  <c:v>Good</c:v>
                </c:pt>
                <c:pt idx="1">
                  <c:v>Satisfactory</c:v>
                </c:pt>
                <c:pt idx="2">
                  <c:v>Weak</c:v>
                </c:pt>
                <c:pt idx="3">
                  <c:v>Unsatisfactory</c:v>
                </c:pt>
              </c:strCache>
            </c:strRef>
          </c:cat>
          <c:val>
            <c:numRef>
              <c:f>'Fig 5.1'!$C$34:$F$34</c:f>
              <c:numCache>
                <c:formatCode>General</c:formatCode>
                <c:ptCount val="4"/>
                <c:pt idx="0">
                  <c:v>3</c:v>
                </c:pt>
                <c:pt idx="1">
                  <c:v>27</c:v>
                </c:pt>
                <c:pt idx="2">
                  <c:v>44</c:v>
                </c:pt>
                <c:pt idx="3">
                  <c:v>9</c:v>
                </c:pt>
              </c:numCache>
            </c:numRef>
          </c:val>
          <c:extLst>
            <c:ext xmlns:c16="http://schemas.microsoft.com/office/drawing/2014/chart" uri="{C3380CC4-5D6E-409C-BE32-E72D297353CC}">
              <c16:uniqueId val="{00000008-B98E-4899-897A-ECF9F144CD50}"/>
            </c:ext>
          </c:extLst>
        </c:ser>
        <c:dLbls>
          <c:showLegendKey val="0"/>
          <c:showVal val="0"/>
          <c:showCatName val="0"/>
          <c:showSerName val="0"/>
          <c:showPercent val="0"/>
          <c:showBubbleSize val="0"/>
        </c:dLbls>
        <c:gapWidth val="50"/>
        <c:overlap val="-27"/>
        <c:axId val="180520384"/>
        <c:axId val="180517888"/>
      </c:barChart>
      <c:catAx>
        <c:axId val="180520384"/>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17888"/>
        <c:crosses val="autoZero"/>
        <c:auto val="1"/>
        <c:lblAlgn val="ctr"/>
        <c:lblOffset val="100"/>
        <c:noMultiLvlLbl val="0"/>
      </c:catAx>
      <c:valAx>
        <c:axId val="180517888"/>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latin typeface="Verdana" panose="020B0604030504040204" pitchFamily="34" charset="0"/>
                    <a:ea typeface="Verdana" panose="020B0604030504040204" pitchFamily="34" charset="0"/>
                  </a:rPr>
                  <a:t>Number of audits</a:t>
                </a:r>
              </a:p>
            </c:rich>
          </c:tx>
          <c:layout>
            <c:manualLayout>
              <c:xMode val="edge"/>
              <c:yMode val="edge"/>
              <c:x val="3.263403263403263E-3"/>
              <c:y val="8.31032251105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8052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5.2'!$B$33</c:f>
              <c:strCache>
                <c:ptCount val="1"/>
                <c:pt idx="0">
                  <c:v>Fuelled</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01-6C5D-4B42-85DC-E5DCD69DA02C}"/>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3-6C5D-4B42-85DC-E5DCD69DA02C}"/>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5-6C5D-4B42-85DC-E5DCD69DA02C}"/>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7-6C5D-4B42-85DC-E5DCD69DA02C}"/>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5D-4B42-85DC-E5DCD69DA02C}"/>
                </c:ext>
              </c:extLst>
            </c:dLbl>
            <c:dLbl>
              <c:idx val="1"/>
              <c:layout>
                <c:manualLayout>
                  <c:x val="0"/>
                  <c:y val="-5.13845275478161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5D-4B42-85DC-E5DCD69DA02C}"/>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6C5D-4B42-85DC-E5DCD69DA02C}"/>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6C5D-4B42-85DC-E5DCD69DA02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5.2'!$C$33:$F$33</c:f>
              <c:numCache>
                <c:formatCode>General</c:formatCode>
                <c:ptCount val="4"/>
                <c:pt idx="0">
                  <c:v>0</c:v>
                </c:pt>
                <c:pt idx="1">
                  <c:v>1</c:v>
                </c:pt>
                <c:pt idx="2">
                  <c:v>14</c:v>
                </c:pt>
                <c:pt idx="3">
                  <c:v>4</c:v>
                </c:pt>
              </c:numCache>
            </c:numRef>
          </c:val>
          <c:extLst>
            <c:ext xmlns:c16="http://schemas.microsoft.com/office/drawing/2014/chart" uri="{C3380CC4-5D6E-409C-BE32-E72D297353CC}">
              <c16:uniqueId val="{00000008-6C5D-4B42-85DC-E5DCD69DA02C}"/>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5.2'!$B$34</c:f>
              <c:strCache>
                <c:ptCount val="1"/>
                <c:pt idx="0">
                  <c:v>Hydro</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01-71F0-4C8E-AA39-36E42EAED362}"/>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3-71F0-4C8E-AA39-36E42EAED362}"/>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5-71F0-4C8E-AA39-36E42EAED362}"/>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7-71F0-4C8E-AA39-36E42EAED362}"/>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F0-4C8E-AA39-36E42EAED362}"/>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71F0-4C8E-AA39-36E42EAED362}"/>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71F0-4C8E-AA39-36E42EAED362}"/>
                </c:ext>
              </c:extLst>
            </c:dLbl>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F0-4C8E-AA39-36E42EAED36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5.2'!$C$34:$F$34</c:f>
              <c:numCache>
                <c:formatCode>General</c:formatCode>
                <c:ptCount val="4"/>
                <c:pt idx="0">
                  <c:v>0</c:v>
                </c:pt>
                <c:pt idx="1">
                  <c:v>1</c:v>
                </c:pt>
                <c:pt idx="2">
                  <c:v>1</c:v>
                </c:pt>
                <c:pt idx="3">
                  <c:v>0</c:v>
                </c:pt>
              </c:numCache>
            </c:numRef>
          </c:val>
          <c:extLst>
            <c:ext xmlns:c16="http://schemas.microsoft.com/office/drawing/2014/chart" uri="{C3380CC4-5D6E-409C-BE32-E72D297353CC}">
              <c16:uniqueId val="{00000008-71F0-4C8E-AA39-36E42EAED362}"/>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majorUnit val="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5.2'!$B$35</c:f>
              <c:strCache>
                <c:ptCount val="1"/>
                <c:pt idx="0">
                  <c:v>Landfill gas</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01-F368-4A9A-8455-6E94B35D8383}"/>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3-F368-4A9A-8455-6E94B35D8383}"/>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5-F368-4A9A-8455-6E94B35D8383}"/>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7-F368-4A9A-8455-6E94B35D8383}"/>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68-4A9A-8455-6E94B35D8383}"/>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368-4A9A-8455-6E94B35D8383}"/>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368-4A9A-8455-6E94B35D8383}"/>
                </c:ext>
              </c:extLst>
            </c:dLbl>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68-4A9A-8455-6E94B35D838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5.2'!$C$35:$F$35</c:f>
              <c:numCache>
                <c:formatCode>General</c:formatCode>
                <c:ptCount val="4"/>
                <c:pt idx="0">
                  <c:v>0</c:v>
                </c:pt>
                <c:pt idx="1">
                  <c:v>1</c:v>
                </c:pt>
                <c:pt idx="2">
                  <c:v>4</c:v>
                </c:pt>
                <c:pt idx="3">
                  <c:v>0</c:v>
                </c:pt>
              </c:numCache>
            </c:numRef>
          </c:val>
          <c:extLst>
            <c:ext xmlns:c16="http://schemas.microsoft.com/office/drawing/2014/chart" uri="{C3380CC4-5D6E-409C-BE32-E72D297353CC}">
              <c16:uniqueId val="{00000008-F368-4A9A-8455-6E94B35D8383}"/>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majorUnit val="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6642321883678"/>
          <c:y val="9.6779665366984458E-2"/>
          <c:w val="0.83619308456008212"/>
          <c:h val="0.59976700710926267"/>
        </c:manualLayout>
      </c:layout>
      <c:barChart>
        <c:barDir val="col"/>
        <c:grouping val="stacked"/>
        <c:varyColors val="0"/>
        <c:ser>
          <c:idx val="2"/>
          <c:order val="2"/>
          <c:tx>
            <c:strRef>
              <c:f>'Fig 2.1 &amp; 2.2'!$E$50</c:f>
              <c:strCache>
                <c:ptCount val="1"/>
                <c:pt idx="0">
                  <c:v>Wales</c:v>
                </c:pt>
              </c:strCache>
              <c:extLst xmlns:c15="http://schemas.microsoft.com/office/drawing/2012/chart"/>
            </c:strRef>
          </c:tx>
          <c:spPr>
            <a:solidFill>
              <a:srgbClr val="CD1F45"/>
            </a:solidFill>
            <a:ln w="3175">
              <a:solidFill>
                <a:schemeClr val="tx1"/>
              </a:solidFill>
            </a:ln>
            <a:effectLst/>
          </c:spPr>
          <c:invertIfNegative val="0"/>
          <c:dLbls>
            <c:dLbl>
              <c:idx val="0"/>
              <c:layout>
                <c:manualLayout>
                  <c:x val="3.8647342995168903E-3"/>
                  <c:y val="-8.487557776739095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34-4D2E-B26D-8973DEC2CDF7}"/>
                </c:ext>
              </c:extLst>
            </c:dLbl>
            <c:dLbl>
              <c:idx val="1"/>
              <c:layout>
                <c:manualLayout>
                  <c:x val="0"/>
                  <c:y val="-8.7652856178365837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4-4D2E-B26D-8973DEC2CDF7}"/>
                </c:ext>
              </c:extLst>
            </c:dLbl>
            <c:dLbl>
              <c:idx val="2"/>
              <c:layout>
                <c:manualLayout>
                  <c:x val="0"/>
                  <c:y val="-9.8934151495903191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34-4D2E-B26D-8973DEC2CDF7}"/>
                </c:ext>
              </c:extLst>
            </c:dLbl>
            <c:dLbl>
              <c:idx val="3"/>
              <c:layout>
                <c:manualLayout>
                  <c:x val="0"/>
                  <c:y val="-0.10138384528417967"/>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4-4D2E-B26D-8973DEC2CDF7}"/>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2.1 &amp; 2.2'!$E$51:$E$64</c:f>
              <c:numCache>
                <c:formatCode>_-* #,##0_-;\-* #,##0_-;_-* "-"??_-;_-@_-</c:formatCode>
                <c:ptCount val="14"/>
                <c:pt idx="0">
                  <c:v>1353224</c:v>
                </c:pt>
                <c:pt idx="1">
                  <c:v>1429788</c:v>
                </c:pt>
                <c:pt idx="2">
                  <c:v>1730347</c:v>
                </c:pt>
                <c:pt idx="3">
                  <c:v>1817838</c:v>
                </c:pt>
                <c:pt idx="4">
                  <c:v>2352685</c:v>
                </c:pt>
                <c:pt idx="5">
                  <c:v>2203328</c:v>
                </c:pt>
                <c:pt idx="6">
                  <c:v>2596267</c:v>
                </c:pt>
                <c:pt idx="7">
                  <c:v>3847685</c:v>
                </c:pt>
                <c:pt idx="8">
                  <c:v>6506156</c:v>
                </c:pt>
                <c:pt idx="9">
                  <c:v>6432021</c:v>
                </c:pt>
                <c:pt idx="10">
                  <c:v>8373083</c:v>
                </c:pt>
                <c:pt idx="11">
                  <c:v>7606217</c:v>
                </c:pt>
                <c:pt idx="12">
                  <c:v>8799234</c:v>
                </c:pt>
                <c:pt idx="13">
                  <c:v>8140214</c:v>
                </c:pt>
              </c:numCache>
              <c:extLst xmlns:c15="http://schemas.microsoft.com/office/drawing/2012/chart"/>
            </c:numRef>
          </c:val>
          <c:extLst xmlns:c15="http://schemas.microsoft.com/office/drawing/2012/chart">
            <c:ext xmlns:c16="http://schemas.microsoft.com/office/drawing/2014/chart" uri="{C3380CC4-5D6E-409C-BE32-E72D297353CC}">
              <c16:uniqueId val="{00000004-1734-4D2E-B26D-8973DEC2CDF7}"/>
            </c:ext>
          </c:extLst>
        </c:ser>
        <c:dLbls>
          <c:showLegendKey val="0"/>
          <c:showVal val="1"/>
          <c:showCatName val="0"/>
          <c:showSerName val="0"/>
          <c:showPercent val="0"/>
          <c:showBubbleSize val="0"/>
        </c:dLbls>
        <c:gapWidth val="50"/>
        <c:overlap val="100"/>
        <c:axId val="991727256"/>
        <c:axId val="991722664"/>
        <c:extLst>
          <c:ext xmlns:c15="http://schemas.microsoft.com/office/drawing/2012/chart" uri="{02D57815-91ED-43cb-92C2-25804820EDAC}">
            <c15:filteredBarSeries>
              <c15:ser>
                <c:idx val="0"/>
                <c:order val="0"/>
                <c:tx>
                  <c:strRef>
                    <c:extLst>
                      <c:ext uri="{02D57815-91ED-43cb-92C2-25804820EDAC}">
                        <c15:formulaRef>
                          <c15:sqref>'Fig 2.1 &amp; 2.2'!$C$50</c15:sqref>
                        </c15:formulaRef>
                      </c:ext>
                    </c:extLst>
                    <c:strCache>
                      <c:ptCount val="1"/>
                      <c:pt idx="0">
                        <c:v>England</c:v>
                      </c:pt>
                    </c:strCache>
                  </c:strRef>
                </c:tx>
                <c:spPr>
                  <a:solidFill>
                    <a:srgbClr val="0794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2.2'!$C$51:$C$64</c15:sqref>
                        </c15:formulaRef>
                      </c:ext>
                    </c:extLst>
                    <c:numCache>
                      <c:formatCode>_-* #,##0_-;\-* #,##0_-;_-* "-"??_-;_-@_-</c:formatCode>
                      <c:ptCount val="14"/>
                      <c:pt idx="0">
                        <c:v>8573690</c:v>
                      </c:pt>
                      <c:pt idx="1">
                        <c:v>10174435</c:v>
                      </c:pt>
                      <c:pt idx="2">
                        <c:v>11091849</c:v>
                      </c:pt>
                      <c:pt idx="3">
                        <c:v>13487804</c:v>
                      </c:pt>
                      <c:pt idx="4">
                        <c:v>18602423</c:v>
                      </c:pt>
                      <c:pt idx="5">
                        <c:v>28567045</c:v>
                      </c:pt>
                      <c:pt idx="6">
                        <c:v>41509011</c:v>
                      </c:pt>
                      <c:pt idx="7">
                        <c:v>48996897</c:v>
                      </c:pt>
                      <c:pt idx="8">
                        <c:v>63595494</c:v>
                      </c:pt>
                      <c:pt idx="9">
                        <c:v>59162570</c:v>
                      </c:pt>
                      <c:pt idx="10">
                        <c:v>65336694</c:v>
                      </c:pt>
                      <c:pt idx="11">
                        <c:v>69094995</c:v>
                      </c:pt>
                      <c:pt idx="12">
                        <c:v>74550247</c:v>
                      </c:pt>
                      <c:pt idx="13">
                        <c:v>72558007</c:v>
                      </c:pt>
                    </c:numCache>
                  </c:numRef>
                </c:val>
                <c:extLst>
                  <c:ext xmlns:c16="http://schemas.microsoft.com/office/drawing/2014/chart" uri="{C3380CC4-5D6E-409C-BE32-E72D297353CC}">
                    <c16:uniqueId val="{00000005-1734-4D2E-B26D-8973DEC2CDF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'Fig 2.1 &amp; 2.2'!$D$50</c15:sqref>
                        </c15:formulaRef>
                      </c:ext>
                    </c:extLst>
                    <c:strCache>
                      <c:ptCount val="1"/>
                      <c:pt idx="0">
                        <c:v>Scotland</c:v>
                      </c:pt>
                    </c:strCache>
                  </c:strRef>
                </c:tx>
                <c:spPr>
                  <a:pattFill prst="pct90">
                    <a:fgClr>
                      <a:srgbClr val="2363AF"/>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2.2'!$D$51:$D$64</c15:sqref>
                        </c15:formulaRef>
                      </c:ext>
                    </c:extLst>
                    <c:numCache>
                      <c:formatCode>_-* #,##0_-;\-* #,##0_-;_-* "-"??_-;_-@_-</c:formatCode>
                      <c:ptCount val="14"/>
                      <c:pt idx="0">
                        <c:v>5806454</c:v>
                      </c:pt>
                      <c:pt idx="1">
                        <c:v>6824674</c:v>
                      </c:pt>
                      <c:pt idx="2">
                        <c:v>7739201</c:v>
                      </c:pt>
                      <c:pt idx="3">
                        <c:v>8868936</c:v>
                      </c:pt>
                      <c:pt idx="4">
                        <c:v>12772905</c:v>
                      </c:pt>
                      <c:pt idx="5">
                        <c:v>12384987</c:v>
                      </c:pt>
                      <c:pt idx="6">
                        <c:v>17046916</c:v>
                      </c:pt>
                      <c:pt idx="7">
                        <c:v>16466006</c:v>
                      </c:pt>
                      <c:pt idx="8">
                        <c:v>17437039</c:v>
                      </c:pt>
                      <c:pt idx="9">
                        <c:v>17029872</c:v>
                      </c:pt>
                      <c:pt idx="10">
                        <c:v>21838223</c:v>
                      </c:pt>
                      <c:pt idx="11">
                        <c:v>23530224</c:v>
                      </c:pt>
                      <c:pt idx="12">
                        <c:v>25208643</c:v>
                      </c:pt>
                      <c:pt idx="13">
                        <c:v>22573854</c:v>
                      </c:pt>
                    </c:numCache>
                  </c:numRef>
                </c:val>
                <c:extLst xmlns:c15="http://schemas.microsoft.com/office/drawing/2012/chart">
                  <c:ext xmlns:c16="http://schemas.microsoft.com/office/drawing/2014/chart" uri="{C3380CC4-5D6E-409C-BE32-E72D297353CC}">
                    <c16:uniqueId val="{00000006-1734-4D2E-B26D-8973DEC2CDF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'Fig 2.1 &amp; 2.2'!$F$50</c15:sqref>
                        </c15:formulaRef>
                      </c:ext>
                    </c:extLst>
                    <c:strCache>
                      <c:ptCount val="1"/>
                      <c:pt idx="0">
                        <c:v>Northern Ireland</c:v>
                      </c:pt>
                    </c:strCache>
                  </c:strRef>
                </c:tx>
                <c:spPr>
                  <a:pattFill prst="pct20">
                    <a:fgClr>
                      <a:srgbClr val="FFFFFF"/>
                    </a:fgClr>
                    <a:bgClr>
                      <a:srgbClr val="9E712A"/>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2.2'!$F$51:$F$64</c15:sqref>
                        </c15:formulaRef>
                      </c:ext>
                    </c:extLst>
                    <c:numCache>
                      <c:formatCode>_-* #,##0_-;\-* #,##0_-;_-* "-"??_-;_-@_-</c:formatCode>
                      <c:ptCount val="14"/>
                      <c:pt idx="0">
                        <c:v>431052</c:v>
                      </c:pt>
                      <c:pt idx="1">
                        <c:v>620857</c:v>
                      </c:pt>
                      <c:pt idx="2">
                        <c:v>800362</c:v>
                      </c:pt>
                      <c:pt idx="3">
                        <c:v>787823</c:v>
                      </c:pt>
                      <c:pt idx="4">
                        <c:v>1244624</c:v>
                      </c:pt>
                      <c:pt idx="5">
                        <c:v>1247219</c:v>
                      </c:pt>
                      <c:pt idx="6">
                        <c:v>1861519</c:v>
                      </c:pt>
                      <c:pt idx="7">
                        <c:v>2151967</c:v>
                      </c:pt>
                      <c:pt idx="8">
                        <c:v>3024989</c:v>
                      </c:pt>
                      <c:pt idx="9">
                        <c:v>3545888</c:v>
                      </c:pt>
                      <c:pt idx="10">
                        <c:v>5033303</c:v>
                      </c:pt>
                      <c:pt idx="11">
                        <c:v>5716567</c:v>
                      </c:pt>
                      <c:pt idx="12">
                        <c:v>6148834</c:v>
                      </c:pt>
                      <c:pt idx="13">
                        <c:v>5980807</c:v>
                      </c:pt>
                    </c:numCache>
                  </c:numRef>
                </c:val>
                <c:extLst xmlns:c15="http://schemas.microsoft.com/office/drawing/2012/chart">
                  <c:ext xmlns:c16="http://schemas.microsoft.com/office/drawing/2014/chart" uri="{C3380CC4-5D6E-409C-BE32-E72D297353CC}">
                    <c16:uniqueId val="{00000007-1734-4D2E-B26D-8973DEC2CDF7}"/>
                  </c:ext>
                </c:extLst>
              </c15:ser>
            </c15:filteredBarSeries>
          </c:ext>
        </c:extLst>
      </c:barChart>
      <c:lineChart>
        <c:grouping val="standard"/>
        <c:varyColors val="0"/>
        <c:dLbls>
          <c:showLegendKey val="0"/>
          <c:showVal val="1"/>
          <c:showCatName val="0"/>
          <c:showSerName val="0"/>
          <c:showPercent val="0"/>
          <c:showBubbleSize val="0"/>
        </c:dLbls>
        <c:marker val="1"/>
        <c:smooth val="0"/>
        <c:axId val="991727256"/>
        <c:axId val="991722664"/>
        <c:extLst>
          <c:ext xmlns:c15="http://schemas.microsoft.com/office/drawing/2012/chart" uri="{02D57815-91ED-43cb-92C2-25804820EDAC}">
            <c15:filteredLineSeries>
              <c15:ser>
                <c:idx val="4"/>
                <c:order val="4"/>
                <c:tx>
                  <c:strRef>
                    <c:extLst>
                      <c:ext uri="{02D57815-91ED-43cb-92C2-25804820EDAC}">
                        <c15:formulaRef>
                          <c15:sqref>'Fig 2.1 &amp; 2.2'!$G$50</c15:sqref>
                        </c15:formulaRef>
                      </c:ext>
                    </c:extLst>
                    <c:strCache>
                      <c:ptCount val="1"/>
                      <c:pt idx="0">
                        <c:v>RO generation (TWh)</c:v>
                      </c:pt>
                    </c:strCache>
                  </c:strRef>
                </c:tx>
                <c:spPr>
                  <a:ln w="28575" cap="rnd">
                    <a:solidFill>
                      <a:srgbClr val="E86E1E"/>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2.2'!$G$51:$G$64</c15:sqref>
                        </c15:formulaRef>
                      </c:ext>
                    </c:extLst>
                    <c:numCache>
                      <c:formatCode>_-* #,##0_-;\-* #,##0_-;_-* "-"??_-;_-@_-</c:formatCode>
                      <c:ptCount val="14"/>
                      <c:pt idx="0">
                        <c:v>16164420</c:v>
                      </c:pt>
                      <c:pt idx="1">
                        <c:v>19049754</c:v>
                      </c:pt>
                      <c:pt idx="2">
                        <c:v>20466190.999997403</c:v>
                      </c:pt>
                      <c:pt idx="3">
                        <c:v>23289739.416663691</c:v>
                      </c:pt>
                      <c:pt idx="4">
                        <c:v>31266240.899996206</c:v>
                      </c:pt>
                      <c:pt idx="5">
                        <c:v>35098127.783327565</c:v>
                      </c:pt>
                      <c:pt idx="6">
                        <c:v>49733554.545935087</c:v>
                      </c:pt>
                      <c:pt idx="7">
                        <c:v>55877518.95800291</c:v>
                      </c:pt>
                      <c:pt idx="8">
                        <c:v>69180692.447682679</c:v>
                      </c:pt>
                      <c:pt idx="9">
                        <c:v>65232940.377441831</c:v>
                      </c:pt>
                      <c:pt idx="10">
                        <c:v>75161322.997715786</c:v>
                      </c:pt>
                      <c:pt idx="11">
                        <c:v>79102225.020451128</c:v>
                      </c:pt>
                      <c:pt idx="12">
                        <c:v>84920897.264358833</c:v>
                      </c:pt>
                      <c:pt idx="13">
                        <c:v>80348926.404663816</c:v>
                      </c:pt>
                    </c:numCache>
                  </c:numRef>
                </c:val>
                <c:smooth val="0"/>
                <c:extLst>
                  <c:ext xmlns:c16="http://schemas.microsoft.com/office/drawing/2014/chart" uri="{C3380CC4-5D6E-409C-BE32-E72D297353CC}">
                    <c16:uniqueId val="{00000008-1734-4D2E-B26D-8973DEC2CDF7}"/>
                  </c:ext>
                </c:extLst>
              </c15:ser>
            </c15:filteredLineSeries>
          </c:ext>
        </c:extLst>
      </c:lineChart>
      <c:scatterChart>
        <c:scatterStyle val="lineMarker"/>
        <c:varyColors val="0"/>
        <c:dLbls>
          <c:showLegendKey val="0"/>
          <c:showVal val="1"/>
          <c:showCatName val="0"/>
          <c:showSerName val="0"/>
          <c:showPercent val="0"/>
          <c:showBubbleSize val="0"/>
        </c:dLbls>
        <c:axId val="991727256"/>
        <c:axId val="991722664"/>
        <c:extLst>
          <c:ext xmlns:c15="http://schemas.microsoft.com/office/drawing/2012/chart" uri="{02D57815-91ED-43cb-92C2-25804820EDAC}">
            <c15:filteredScatterSeries>
              <c15:ser>
                <c:idx val="5"/>
                <c:order val="5"/>
                <c:tx>
                  <c:strRef>
                    <c:extLst>
                      <c:ext uri="{02D57815-91ED-43cb-92C2-25804820EDAC}">
                        <c15:formulaRef>
                          <c15:sqref>'Fig 2.1 &amp; 2.2'!$H$50</c15:sqref>
                        </c15:formulaRef>
                      </c:ext>
                    </c:extLst>
                    <c:strCache>
                      <c:ptCount val="1"/>
                      <c:pt idx="0">
                        <c:v>UK obligation (ROCs)</c:v>
                      </c:pt>
                    </c:strCache>
                  </c:strRef>
                </c:tx>
                <c:spPr>
                  <a:ln w="25400" cap="rnd">
                    <a:noFill/>
                    <a:round/>
                  </a:ln>
                  <a:effectLst/>
                </c:spPr>
                <c:marker>
                  <c:symbol val="dash"/>
                  <c:size val="13"/>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xVal>
                <c:yVal>
                  <c:numRef>
                    <c:extLst>
                      <c:ext uri="{02D57815-91ED-43cb-92C2-25804820EDAC}">
                        <c15:formulaRef>
                          <c15:sqref>'Fig 2.1 &amp; 2.2'!$H$51:$H$64</c15:sqref>
                        </c15:formulaRef>
                      </c:ext>
                    </c:extLst>
                    <c:numCache>
                      <c:formatCode>_-* #,##0_-;\-* #,##0_-;_-* "-"??_-;_-@_-</c:formatCode>
                      <c:ptCount val="14"/>
                      <c:pt idx="0">
                        <c:v>25551357</c:v>
                      </c:pt>
                      <c:pt idx="1">
                        <c:v>28975678</c:v>
                      </c:pt>
                      <c:pt idx="2">
                        <c:v>30101092</c:v>
                      </c:pt>
                      <c:pt idx="3">
                        <c:v>34749941</c:v>
                      </c:pt>
                      <c:pt idx="4">
                        <c:v>37676829</c:v>
                      </c:pt>
                      <c:pt idx="5">
                        <c:v>48915432</c:v>
                      </c:pt>
                      <c:pt idx="6">
                        <c:v>61858174</c:v>
                      </c:pt>
                      <c:pt idx="7">
                        <c:v>71922000</c:v>
                      </c:pt>
                      <c:pt idx="8">
                        <c:v>84439465</c:v>
                      </c:pt>
                      <c:pt idx="9">
                        <c:v>100748885</c:v>
                      </c:pt>
                      <c:pt idx="10">
                        <c:v>117842123</c:v>
                      </c:pt>
                      <c:pt idx="11">
                        <c:v>127623995</c:v>
                      </c:pt>
                      <c:pt idx="12">
                        <c:v>130183968</c:v>
                      </c:pt>
                      <c:pt idx="13">
                        <c:v>119090744</c:v>
                      </c:pt>
                    </c:numCache>
                  </c:numRef>
                </c:yVal>
                <c:smooth val="0"/>
                <c:extLst>
                  <c:ext xmlns:c16="http://schemas.microsoft.com/office/drawing/2014/chart" uri="{C3380CC4-5D6E-409C-BE32-E72D297353CC}">
                    <c16:uniqueId val="{00000009-1734-4D2E-B26D-8973DEC2CDF7}"/>
                  </c:ext>
                </c:extLst>
              </c15:ser>
            </c15:filteredScatterSeries>
          </c:ext>
        </c:extLst>
      </c:scatterChart>
      <c:catAx>
        <c:axId val="991727256"/>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2664"/>
        <c:crosses val="autoZero"/>
        <c:auto val="1"/>
        <c:lblAlgn val="ctr"/>
        <c:lblOffset val="100"/>
        <c:noMultiLvlLbl val="0"/>
      </c:catAx>
      <c:valAx>
        <c:axId val="99172266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a:t>ROCs issued (millions)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7256"/>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5.2'!$B$36</c:f>
              <c:strCache>
                <c:ptCount val="1"/>
                <c:pt idx="0">
                  <c:v>Onshore wind</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01-E0B8-40B7-8539-600896D9E083}"/>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3-E0B8-40B7-8539-600896D9E083}"/>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5-E0B8-40B7-8539-600896D9E083}"/>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7-E0B8-40B7-8539-600896D9E083}"/>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B8-40B7-8539-600896D9E083}"/>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0B8-40B7-8539-600896D9E083}"/>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E0B8-40B7-8539-600896D9E083}"/>
                </c:ext>
              </c:extLst>
            </c:dLbl>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B8-40B7-8539-600896D9E08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5.2'!$C$36:$F$36</c:f>
              <c:numCache>
                <c:formatCode>General</c:formatCode>
                <c:ptCount val="4"/>
                <c:pt idx="0">
                  <c:v>0</c:v>
                </c:pt>
                <c:pt idx="1">
                  <c:v>11</c:v>
                </c:pt>
                <c:pt idx="2">
                  <c:v>9</c:v>
                </c:pt>
                <c:pt idx="3">
                  <c:v>0</c:v>
                </c:pt>
              </c:numCache>
            </c:numRef>
          </c:val>
          <c:extLst>
            <c:ext xmlns:c16="http://schemas.microsoft.com/office/drawing/2014/chart" uri="{C3380CC4-5D6E-409C-BE32-E72D297353CC}">
              <c16:uniqueId val="{00000008-E0B8-40B7-8539-600896D9E083}"/>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majorUnit val="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5.2'!$B$37</c:f>
              <c:strCache>
                <c:ptCount val="1"/>
                <c:pt idx="0">
                  <c:v>Photovoltaic</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19-0CCD-4848-AEB2-49381EAFFB78}"/>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1A-0CCD-4848-AEB2-49381EAFFB78}"/>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17-0CCD-4848-AEB2-49381EAFFB78}"/>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18-0CCD-4848-AEB2-49381EAFFB78}"/>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5.2'!$C$37:$F$37</c:f>
              <c:numCache>
                <c:formatCode>General</c:formatCode>
                <c:ptCount val="4"/>
                <c:pt idx="0">
                  <c:v>3</c:v>
                </c:pt>
                <c:pt idx="1">
                  <c:v>12</c:v>
                </c:pt>
                <c:pt idx="2">
                  <c:v>16</c:v>
                </c:pt>
                <c:pt idx="3">
                  <c:v>5</c:v>
                </c:pt>
              </c:numCache>
            </c:numRef>
          </c:val>
          <c:extLst>
            <c:ext xmlns:c16="http://schemas.microsoft.com/office/drawing/2014/chart" uri="{C3380CC4-5D6E-409C-BE32-E72D297353CC}">
              <c16:uniqueId val="{00000000-0CCD-4848-AEB2-49381EAFFB78}"/>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'Fig 5.2'!$B$38</c:f>
              <c:strCache>
                <c:ptCount val="1"/>
                <c:pt idx="0">
                  <c:v>Sewage gas</c:v>
                </c:pt>
              </c:strCache>
            </c:strRef>
          </c:tx>
          <c:spPr>
            <a:solidFill>
              <a:srgbClr val="109DC1"/>
            </a:solidFill>
            <a:ln w="3175">
              <a:solidFill>
                <a:sysClr val="windowText" lastClr="000000"/>
              </a:solidFill>
            </a:ln>
            <a:effectLst/>
          </c:spPr>
          <c:invertIfNegative val="0"/>
          <c:dPt>
            <c:idx val="0"/>
            <c:invertIfNegative val="0"/>
            <c:bubble3D val="0"/>
            <c:spPr>
              <a:solidFill>
                <a:srgbClr val="079448"/>
              </a:solidFill>
              <a:ln w="3175">
                <a:solidFill>
                  <a:sysClr val="windowText" lastClr="000000"/>
                </a:solidFill>
              </a:ln>
              <a:effectLst/>
            </c:spPr>
            <c:extLst>
              <c:ext xmlns:c16="http://schemas.microsoft.com/office/drawing/2014/chart" uri="{C3380CC4-5D6E-409C-BE32-E72D297353CC}">
                <c16:uniqueId val="{00000001-5F7C-4074-8A13-E3F660A34035}"/>
              </c:ext>
            </c:extLst>
          </c:dPt>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3-5F7C-4074-8A13-E3F660A34035}"/>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5-5F7C-4074-8A13-E3F660A34035}"/>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7-5F7C-4074-8A13-E3F660A34035}"/>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7C-4074-8A13-E3F660A34035}"/>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5F7C-4074-8A13-E3F660A34035}"/>
                </c:ext>
              </c:extLst>
            </c:dLbl>
            <c:dLbl>
              <c:idx val="2"/>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7C-4074-8A13-E3F660A34035}"/>
                </c:ext>
              </c:extLst>
            </c:dLbl>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7C-4074-8A13-E3F660A3403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5.2'!$C$32:$F$32</c:f>
              <c:strCache>
                <c:ptCount val="4"/>
                <c:pt idx="0">
                  <c:v>Good</c:v>
                </c:pt>
                <c:pt idx="1">
                  <c:v>Satisfactory</c:v>
                </c:pt>
                <c:pt idx="2">
                  <c:v>Weak</c:v>
                </c:pt>
                <c:pt idx="3">
                  <c:v>Unsatisfactory</c:v>
                </c:pt>
              </c:strCache>
            </c:strRef>
          </c:cat>
          <c:val>
            <c:numRef>
              <c:f>'Fig 5.2'!$C$38:$F$38</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8-5F7C-4074-8A13-E3F660A34035}"/>
            </c:ext>
          </c:extLst>
        </c:ser>
        <c:dLbls>
          <c:dLblPos val="ctr"/>
          <c:showLegendKey val="0"/>
          <c:showVal val="1"/>
          <c:showCatName val="0"/>
          <c:showSerName val="0"/>
          <c:showPercent val="0"/>
          <c:showBubbleSize val="0"/>
        </c:dLbls>
        <c:gapWidth val="50"/>
        <c:overlap val="100"/>
        <c:axId val="1262802992"/>
        <c:axId val="1262811312"/>
        <c:extLst/>
      </c:barChart>
      <c:catAx>
        <c:axId val="1262802992"/>
        <c:scaling>
          <c:orientation val="minMax"/>
        </c:scaling>
        <c:delete val="0"/>
        <c:axPos val="b"/>
        <c:numFmt formatCode="General" sourceLinked="1"/>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11312"/>
        <c:crosses val="autoZero"/>
        <c:auto val="1"/>
        <c:lblAlgn val="ctr"/>
        <c:lblOffset val="100"/>
        <c:noMultiLvlLbl val="0"/>
      </c:catAx>
      <c:valAx>
        <c:axId val="1262811312"/>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a:t>
                </a:r>
                <a:r>
                  <a:rPr lang="en-GB" baseline="0"/>
                  <a:t> of audits</a:t>
                </a:r>
                <a:endParaRPr lang="en-GB"/>
              </a:p>
            </c:rich>
          </c:tx>
          <c:layout>
            <c:manualLayout>
              <c:xMode val="edge"/>
              <c:yMode val="edge"/>
              <c:x val="1.3901894020004257E-2"/>
              <c:y val="6.7677318545298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1262802992"/>
        <c:crosses val="autoZero"/>
        <c:crossBetween val="between"/>
        <c:majorUnit val="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049033272169"/>
          <c:y val="6.3429137760158572E-2"/>
          <c:w val="0.84646878415981364"/>
          <c:h val="0.84338278329678562"/>
        </c:manualLayout>
      </c:layout>
      <c:barChart>
        <c:barDir val="col"/>
        <c:grouping val="percentStacked"/>
        <c:varyColors val="0"/>
        <c:ser>
          <c:idx val="3"/>
          <c:order val="0"/>
          <c:tx>
            <c:strRef>
              <c:f>'Fig 5.3'!$F$40</c:f>
              <c:strCache>
                <c:ptCount val="1"/>
                <c:pt idx="0">
                  <c:v>Unsatisfactory</c:v>
                </c:pt>
              </c:strCache>
            </c:strRef>
          </c:tx>
          <c:spPr>
            <a:solidFill>
              <a:srgbClr val="CD1F45"/>
            </a:solidFill>
            <a:ln w="6350">
              <a:solidFill>
                <a:schemeClr val="tx1"/>
              </a:solidFill>
            </a:ln>
            <a:effectLst/>
          </c:spPr>
          <c:invertIfNegative val="0"/>
          <c:dPt>
            <c:idx val="1"/>
            <c:invertIfNegative val="0"/>
            <c:bubble3D val="0"/>
            <c:spPr>
              <a:solidFill>
                <a:srgbClr val="CD1F45"/>
              </a:solidFill>
              <a:ln w="6350">
                <a:solidFill>
                  <a:schemeClr val="tx1"/>
                </a:solidFill>
              </a:ln>
              <a:effectLst/>
            </c:spPr>
            <c:extLst>
              <c:ext xmlns:c16="http://schemas.microsoft.com/office/drawing/2014/chart" uri="{C3380CC4-5D6E-409C-BE32-E72D297353CC}">
                <c16:uniqueId val="{00000001-56B4-4D3F-B996-AD9BFB03D6E9}"/>
              </c:ext>
            </c:extLst>
          </c:dPt>
          <c:dLbls>
            <c:dLbl>
              <c:idx val="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202696674743837"/>
                      <c:h val="0.1139648673747298"/>
                    </c:manualLayout>
                  </c15:layout>
                </c:ext>
                <c:ext xmlns:c16="http://schemas.microsoft.com/office/drawing/2014/chart" uri="{C3380CC4-5D6E-409C-BE32-E72D297353CC}">
                  <c16:uniqueId val="{00000002-56B4-4D3F-B996-AD9BFB03D6E9}"/>
                </c:ext>
              </c:extLst>
            </c:dLbl>
            <c:dLbl>
              <c:idx val="1"/>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2426615120920634"/>
                      <c:h val="0.12143527153258467"/>
                    </c:manualLayout>
                  </c15:layout>
                </c:ext>
                <c:ext xmlns:c16="http://schemas.microsoft.com/office/drawing/2014/chart" uri="{C3380CC4-5D6E-409C-BE32-E72D297353CC}">
                  <c16:uniqueId val="{00000001-56B4-4D3F-B996-AD9BFB03D6E9}"/>
                </c:ext>
              </c:extLst>
            </c:dLbl>
            <c:dLbl>
              <c:idx val="2"/>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202696674743837"/>
                      <c:h val="0.11770006945365723"/>
                    </c:manualLayout>
                  </c15:layout>
                </c:ext>
                <c:ext xmlns:c16="http://schemas.microsoft.com/office/drawing/2014/chart" uri="{C3380CC4-5D6E-409C-BE32-E72D297353CC}">
                  <c16:uniqueId val="{00000003-56B4-4D3F-B996-AD9BFB03D6E9}"/>
                </c:ext>
              </c:extLst>
            </c:dLbl>
            <c:dLbl>
              <c:idx val="3"/>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2441990611310542"/>
                      <c:h val="0.12517078576278065"/>
                    </c:manualLayout>
                  </c15:layout>
                </c:ext>
                <c:ext xmlns:c16="http://schemas.microsoft.com/office/drawing/2014/chart" uri="{C3380CC4-5D6E-409C-BE32-E72D297353CC}">
                  <c16:uniqueId val="{00000004-56B4-4D3F-B996-AD9BFB03D6E9}"/>
                </c:ext>
              </c:extLst>
            </c:dLbl>
            <c:dLbl>
              <c:idx val="4"/>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 lastClr="FFFFFF"/>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2857014475182715"/>
                      <c:h val="8.0346800059308734E-2"/>
                    </c:manualLayout>
                  </c15:layout>
                </c:ext>
                <c:ext xmlns:c16="http://schemas.microsoft.com/office/drawing/2014/chart" uri="{C3380CC4-5D6E-409C-BE32-E72D297353CC}">
                  <c16:uniqueId val="{00000005-56B4-4D3F-B996-AD9BFB03D6E9}"/>
                </c:ext>
              </c:extLst>
            </c:dLbl>
            <c:spPr>
              <a:solidFill>
                <a:srgbClr val="CD1F45"/>
              </a:solid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5.3'!$B$41:$B$45</c:f>
              <c:strCache>
                <c:ptCount val="5"/>
                <c:pt idx="0">
                  <c:v>2016-17</c:v>
                </c:pt>
                <c:pt idx="1">
                  <c:v>2017-18</c:v>
                </c:pt>
                <c:pt idx="2">
                  <c:v>2018-19</c:v>
                </c:pt>
                <c:pt idx="3">
                  <c:v>2019-20</c:v>
                </c:pt>
                <c:pt idx="4">
                  <c:v>2020-21</c:v>
                </c:pt>
              </c:strCache>
            </c:strRef>
          </c:cat>
          <c:val>
            <c:numRef>
              <c:f>'Fig 5.3'!$F$41:$F$45</c:f>
              <c:numCache>
                <c:formatCode>0.00%</c:formatCode>
                <c:ptCount val="5"/>
                <c:pt idx="0">
                  <c:v>0.23404255319148937</c:v>
                </c:pt>
                <c:pt idx="1">
                  <c:v>0.23571428571428571</c:v>
                </c:pt>
                <c:pt idx="2">
                  <c:v>0.28104575163398693</c:v>
                </c:pt>
                <c:pt idx="3">
                  <c:v>0.25925925925925924</c:v>
                </c:pt>
                <c:pt idx="4">
                  <c:v>0.10843373493975904</c:v>
                </c:pt>
              </c:numCache>
            </c:numRef>
          </c:val>
          <c:extLst>
            <c:ext xmlns:c16="http://schemas.microsoft.com/office/drawing/2014/chart" uri="{C3380CC4-5D6E-409C-BE32-E72D297353CC}">
              <c16:uniqueId val="{00000006-56B4-4D3F-B996-AD9BFB03D6E9}"/>
            </c:ext>
          </c:extLst>
        </c:ser>
        <c:ser>
          <c:idx val="2"/>
          <c:order val="1"/>
          <c:tx>
            <c:strRef>
              <c:f>'Fig 5.3'!$E$40</c:f>
              <c:strCache>
                <c:ptCount val="1"/>
                <c:pt idx="0">
                  <c:v>Weak</c:v>
                </c:pt>
              </c:strCache>
            </c:strRef>
          </c:tx>
          <c:spPr>
            <a:solidFill>
              <a:srgbClr val="9E712A"/>
            </a:solidFill>
            <a:ln w="3175">
              <a:solidFill>
                <a:schemeClr val="tx1"/>
              </a:solidFill>
            </a:ln>
            <a:effectLst/>
          </c:spPr>
          <c:invertIfNegative val="0"/>
          <c:dPt>
            <c:idx val="1"/>
            <c:invertIfNegative val="0"/>
            <c:bubble3D val="0"/>
            <c:spPr>
              <a:solidFill>
                <a:srgbClr val="9E712A"/>
              </a:solidFill>
              <a:ln w="3175">
                <a:solidFill>
                  <a:schemeClr val="tx1"/>
                </a:solidFill>
              </a:ln>
              <a:effectLst/>
            </c:spPr>
            <c:extLst>
              <c:ext xmlns:c16="http://schemas.microsoft.com/office/drawing/2014/chart" uri="{C3380CC4-5D6E-409C-BE32-E72D297353CC}">
                <c16:uniqueId val="{00000008-56B4-4D3F-B996-AD9BFB03D6E9}"/>
              </c:ext>
            </c:extLst>
          </c:dPt>
          <c:dLbls>
            <c:dLbl>
              <c:idx val="0"/>
              <c:spPr>
                <a:solidFill>
                  <a:srgbClr val="9E712A"/>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0024975984630163"/>
                      <c:h val="8.4082163029577869E-2"/>
                    </c:manualLayout>
                  </c15:layout>
                </c:ext>
                <c:ext xmlns:c16="http://schemas.microsoft.com/office/drawing/2014/chart" uri="{C3380CC4-5D6E-409C-BE32-E72D297353CC}">
                  <c16:uniqueId val="{00000009-56B4-4D3F-B996-AD9BFB03D6E9}"/>
                </c:ext>
              </c:extLst>
            </c:dLbl>
            <c:dLbl>
              <c:idx val="1"/>
              <c:spPr>
                <a:solidFill>
                  <a:srgbClr val="9E712A"/>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9.4486071085494699E-2"/>
                      <c:h val="0.10649411230445426"/>
                    </c:manualLayout>
                  </c15:layout>
                </c:ext>
                <c:ext xmlns:c16="http://schemas.microsoft.com/office/drawing/2014/chart" uri="{C3380CC4-5D6E-409C-BE32-E72D297353CC}">
                  <c16:uniqueId val="{00000008-56B4-4D3F-B996-AD9BFB03D6E9}"/>
                </c:ext>
              </c:extLst>
            </c:dLbl>
            <c:dLbl>
              <c:idx val="2"/>
              <c:spPr>
                <a:solidFill>
                  <a:srgbClr val="9E712A"/>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0024975984630162"/>
                      <c:h val="9.902346254616215E-2"/>
                    </c:manualLayout>
                  </c15:layout>
                </c:ext>
                <c:ext xmlns:c16="http://schemas.microsoft.com/office/drawing/2014/chart" uri="{C3380CC4-5D6E-409C-BE32-E72D297353CC}">
                  <c16:uniqueId val="{0000000A-56B4-4D3F-B996-AD9BFB03D6E9}"/>
                </c:ext>
              </c:extLst>
            </c:dLbl>
            <c:dLbl>
              <c:idx val="3"/>
              <c:spPr>
                <a:solidFill>
                  <a:srgbClr val="9E712A"/>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0217098943323727"/>
                      <c:h val="0.14384736109591489"/>
                    </c:manualLayout>
                  </c15:layout>
                </c:ext>
                <c:ext xmlns:c16="http://schemas.microsoft.com/office/drawing/2014/chart" uri="{C3380CC4-5D6E-409C-BE32-E72D297353CC}">
                  <c16:uniqueId val="{0000000B-56B4-4D3F-B996-AD9BFB03D6E9}"/>
                </c:ext>
              </c:extLst>
            </c:dLbl>
            <c:dLbl>
              <c:idx val="4"/>
              <c:spPr>
                <a:solidFill>
                  <a:srgbClr val="9E712A"/>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0217098943323726"/>
                      <c:h val="8.7817487908723957E-2"/>
                    </c:manualLayout>
                  </c15:layout>
                </c:ext>
                <c:ext xmlns:c16="http://schemas.microsoft.com/office/drawing/2014/chart" uri="{C3380CC4-5D6E-409C-BE32-E72D297353CC}">
                  <c16:uniqueId val="{0000000C-56B4-4D3F-B996-AD9BFB03D6E9}"/>
                </c:ext>
              </c:extLst>
            </c:dLbl>
            <c:spPr>
              <a:solidFill>
                <a:srgbClr val="9E712A"/>
              </a:solid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5.3'!$B$41:$B$45</c:f>
              <c:strCache>
                <c:ptCount val="5"/>
                <c:pt idx="0">
                  <c:v>2016-17</c:v>
                </c:pt>
                <c:pt idx="1">
                  <c:v>2017-18</c:v>
                </c:pt>
                <c:pt idx="2">
                  <c:v>2018-19</c:v>
                </c:pt>
                <c:pt idx="3">
                  <c:v>2019-20</c:v>
                </c:pt>
                <c:pt idx="4">
                  <c:v>2020-21</c:v>
                </c:pt>
              </c:strCache>
            </c:strRef>
          </c:cat>
          <c:val>
            <c:numRef>
              <c:f>'Fig 5.3'!$E$41:$E$45</c:f>
              <c:numCache>
                <c:formatCode>0.00%</c:formatCode>
                <c:ptCount val="5"/>
                <c:pt idx="0">
                  <c:v>0.1702127659574468</c:v>
                </c:pt>
                <c:pt idx="1">
                  <c:v>0.32142857142857145</c:v>
                </c:pt>
                <c:pt idx="2">
                  <c:v>0.47712418300653597</c:v>
                </c:pt>
                <c:pt idx="3">
                  <c:v>0.44444444444444442</c:v>
                </c:pt>
                <c:pt idx="4">
                  <c:v>0.53012048192771088</c:v>
                </c:pt>
              </c:numCache>
            </c:numRef>
          </c:val>
          <c:extLst>
            <c:ext xmlns:c16="http://schemas.microsoft.com/office/drawing/2014/chart" uri="{C3380CC4-5D6E-409C-BE32-E72D297353CC}">
              <c16:uniqueId val="{0000000D-56B4-4D3F-B996-AD9BFB03D6E9}"/>
            </c:ext>
          </c:extLst>
        </c:ser>
        <c:ser>
          <c:idx val="1"/>
          <c:order val="2"/>
          <c:tx>
            <c:strRef>
              <c:f>'Fig 5.3'!$D$40</c:f>
              <c:strCache>
                <c:ptCount val="1"/>
                <c:pt idx="0">
                  <c:v>Satisfactory</c:v>
                </c:pt>
              </c:strCache>
            </c:strRef>
          </c:tx>
          <c:spPr>
            <a:solidFill>
              <a:srgbClr val="2363AF"/>
            </a:solidFill>
            <a:ln w="3175">
              <a:solidFill>
                <a:schemeClr val="tx1"/>
              </a:solidFill>
            </a:ln>
            <a:effectLst/>
          </c:spPr>
          <c:invertIfNegative val="0"/>
          <c:dPt>
            <c:idx val="1"/>
            <c:invertIfNegative val="0"/>
            <c:bubble3D val="0"/>
            <c:spPr>
              <a:solidFill>
                <a:srgbClr val="2363AF"/>
              </a:solidFill>
              <a:ln w="3175">
                <a:solidFill>
                  <a:schemeClr val="tx1"/>
                </a:solidFill>
              </a:ln>
              <a:effectLst/>
            </c:spPr>
            <c:extLst>
              <c:ext xmlns:c16="http://schemas.microsoft.com/office/drawing/2014/chart" uri="{C3380CC4-5D6E-409C-BE32-E72D297353CC}">
                <c16:uniqueId val="{0000000F-56B4-4D3F-B996-AD9BFB03D6E9}"/>
              </c:ext>
            </c:extLst>
          </c:dPt>
          <c:dLbls>
            <c:dLbl>
              <c:idx val="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1225744476464937"/>
                      <c:h val="9.902346254616215E-2"/>
                    </c:manualLayout>
                  </c15:layout>
                </c:ext>
                <c:ext xmlns:c16="http://schemas.microsoft.com/office/drawing/2014/chart" uri="{C3380CC4-5D6E-409C-BE32-E72D297353CC}">
                  <c16:uniqueId val="{00000010-56B4-4D3F-B996-AD9BFB03D6E9}"/>
                </c:ext>
              </c:extLst>
            </c:dLbl>
            <c:dLbl>
              <c:idx val="1"/>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084149855907781"/>
                      <c:h val="0.10275878742530821"/>
                    </c:manualLayout>
                  </c15:layout>
                </c:ext>
                <c:ext xmlns:c16="http://schemas.microsoft.com/office/drawing/2014/chart" uri="{C3380CC4-5D6E-409C-BE32-E72D297353CC}">
                  <c16:uniqueId val="{0000000F-56B4-4D3F-B996-AD9BFB03D6E9}"/>
                </c:ext>
              </c:extLst>
            </c:dLbl>
            <c:dLbl>
              <c:idx val="2"/>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1417867435158499"/>
                      <c:h val="9.1552812787870017E-2"/>
                    </c:manualLayout>
                  </c15:layout>
                </c:ext>
                <c:ext xmlns:c16="http://schemas.microsoft.com/office/drawing/2014/chart" uri="{C3380CC4-5D6E-409C-BE32-E72D297353CC}">
                  <c16:uniqueId val="{00000011-56B4-4D3F-B996-AD9BFB03D6E9}"/>
                </c:ext>
              </c:extLst>
            </c:dLbl>
            <c:dLbl>
              <c:idx val="3"/>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1225744476464937"/>
                      <c:h val="0.11770008694189245"/>
                    </c:manualLayout>
                  </c15:layout>
                </c:ext>
                <c:ext xmlns:c16="http://schemas.microsoft.com/office/drawing/2014/chart" uri="{C3380CC4-5D6E-409C-BE32-E72D297353CC}">
                  <c16:uniqueId val="{00000012-56B4-4D3F-B996-AD9BFB03D6E9}"/>
                </c:ext>
              </c:extLst>
            </c:dLbl>
            <c:dLbl>
              <c:idx val="4"/>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11033621517771372"/>
                      <c:h val="0.15131801085420704"/>
                    </c:manualLayout>
                  </c15:layout>
                </c:ext>
                <c:ext xmlns:c16="http://schemas.microsoft.com/office/drawing/2014/chart" uri="{C3380CC4-5D6E-409C-BE32-E72D297353CC}">
                  <c16:uniqueId val="{00000013-56B4-4D3F-B996-AD9BFB03D6E9}"/>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5.3'!$B$41:$B$45</c:f>
              <c:strCache>
                <c:ptCount val="5"/>
                <c:pt idx="0">
                  <c:v>2016-17</c:v>
                </c:pt>
                <c:pt idx="1">
                  <c:v>2017-18</c:v>
                </c:pt>
                <c:pt idx="2">
                  <c:v>2018-19</c:v>
                </c:pt>
                <c:pt idx="3">
                  <c:v>2019-20</c:v>
                </c:pt>
                <c:pt idx="4">
                  <c:v>2020-21</c:v>
                </c:pt>
              </c:strCache>
            </c:strRef>
          </c:cat>
          <c:val>
            <c:numRef>
              <c:f>'Fig 5.3'!$D$41:$D$45</c:f>
              <c:numCache>
                <c:formatCode>0.00%</c:formatCode>
                <c:ptCount val="5"/>
                <c:pt idx="0">
                  <c:v>0.57446808510638303</c:v>
                </c:pt>
                <c:pt idx="1">
                  <c:v>0.42142857142857143</c:v>
                </c:pt>
                <c:pt idx="2">
                  <c:v>0.23529411764705882</c:v>
                </c:pt>
                <c:pt idx="3">
                  <c:v>0.29629629629629628</c:v>
                </c:pt>
                <c:pt idx="4">
                  <c:v>0.3253012048192771</c:v>
                </c:pt>
              </c:numCache>
            </c:numRef>
          </c:val>
          <c:extLst>
            <c:ext xmlns:c16="http://schemas.microsoft.com/office/drawing/2014/chart" uri="{C3380CC4-5D6E-409C-BE32-E72D297353CC}">
              <c16:uniqueId val="{00000014-56B4-4D3F-B996-AD9BFB03D6E9}"/>
            </c:ext>
          </c:extLst>
        </c:ser>
        <c:ser>
          <c:idx val="0"/>
          <c:order val="3"/>
          <c:tx>
            <c:strRef>
              <c:f>'Fig 5.3'!$C$40</c:f>
              <c:strCache>
                <c:ptCount val="1"/>
                <c:pt idx="0">
                  <c:v>Good</c:v>
                </c:pt>
              </c:strCache>
            </c:strRef>
          </c:tx>
          <c:spPr>
            <a:solidFill>
              <a:srgbClr val="079448"/>
            </a:solidFill>
            <a:ln w="3175">
              <a:solidFill>
                <a:schemeClr val="tx1"/>
              </a:solidFill>
            </a:ln>
            <a:effectLst/>
          </c:spPr>
          <c:invertIfNegative val="0"/>
          <c:dPt>
            <c:idx val="1"/>
            <c:invertIfNegative val="0"/>
            <c:bubble3D val="0"/>
            <c:spPr>
              <a:solidFill>
                <a:srgbClr val="079448"/>
              </a:solidFill>
              <a:ln w="3175">
                <a:solidFill>
                  <a:schemeClr val="tx1"/>
                </a:solidFill>
              </a:ln>
              <a:effectLst/>
            </c:spPr>
            <c:extLst>
              <c:ext xmlns:c16="http://schemas.microsoft.com/office/drawing/2014/chart" uri="{C3380CC4-5D6E-409C-BE32-E72D297353CC}">
                <c16:uniqueId val="{00000016-56B4-4D3F-B996-AD9BFB03D6E9}"/>
              </c:ext>
            </c:extLst>
          </c:dPt>
          <c:dLbls>
            <c:dLbl>
              <c:idx val="0"/>
              <c:layout>
                <c:manualLayout>
                  <c:x val="4.1502386387217262E-3"/>
                  <c:y val="-4.995856191910599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56B4-4D3F-B996-AD9BFB03D6E9}"/>
                </c:ext>
              </c:extLst>
            </c:dLbl>
            <c:dLbl>
              <c:idx val="1"/>
              <c:layout>
                <c:manualLayout>
                  <c:x val="1.0375596596804317E-2"/>
                  <c:y val="-4.757185332011892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56B4-4D3F-B996-AD9BFB03D6E9}"/>
                </c:ext>
              </c:extLst>
            </c:dLbl>
            <c:dLbl>
              <c:idx val="2"/>
              <c:layout>
                <c:manualLayout>
                  <c:x val="6.2253579580825898E-3"/>
                  <c:y val="-4.360753221010901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B-56B4-4D3F-B996-AD9BFB03D6E9}"/>
                </c:ext>
              </c:extLst>
            </c:dLbl>
            <c:dLbl>
              <c:idx val="3"/>
              <c:delete val="1"/>
              <c:extLst>
                <c:ext xmlns:c15="http://schemas.microsoft.com/office/drawing/2012/chart" uri="{CE6537A1-D6FC-4f65-9D91-7224C49458BB}"/>
                <c:ext xmlns:c16="http://schemas.microsoft.com/office/drawing/2014/chart" uri="{C3380CC4-5D6E-409C-BE32-E72D297353CC}">
                  <c16:uniqueId val="{00000018-56B4-4D3F-B996-AD9BFB03D6E9}"/>
                </c:ext>
              </c:extLst>
            </c:dLbl>
            <c:dLbl>
              <c:idx val="4"/>
              <c:layout>
                <c:manualLayout>
                  <c:x val="4.1502386387217262E-3"/>
                  <c:y val="-5.550049554013875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56B4-4D3F-B996-AD9BFB03D6E9}"/>
                </c:ext>
              </c:extLst>
            </c:dLbl>
            <c:spPr>
              <a:solidFill>
                <a:srgbClr val="079448">
                  <a:alpha val="95000"/>
                </a:srgbClr>
              </a:solid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5.3'!$B$41:$B$45</c:f>
              <c:strCache>
                <c:ptCount val="5"/>
                <c:pt idx="0">
                  <c:v>2016-17</c:v>
                </c:pt>
                <c:pt idx="1">
                  <c:v>2017-18</c:v>
                </c:pt>
                <c:pt idx="2">
                  <c:v>2018-19</c:v>
                </c:pt>
                <c:pt idx="3">
                  <c:v>2019-20</c:v>
                </c:pt>
                <c:pt idx="4">
                  <c:v>2020-21</c:v>
                </c:pt>
              </c:strCache>
            </c:strRef>
          </c:cat>
          <c:val>
            <c:numRef>
              <c:f>'Fig 5.3'!$C$41:$C$45</c:f>
              <c:numCache>
                <c:formatCode>0.00%</c:formatCode>
                <c:ptCount val="5"/>
                <c:pt idx="0">
                  <c:v>2.1276595744680851E-2</c:v>
                </c:pt>
                <c:pt idx="1">
                  <c:v>2.1428571428571429E-2</c:v>
                </c:pt>
                <c:pt idx="2">
                  <c:v>6.5359477124183009E-3</c:v>
                </c:pt>
                <c:pt idx="3">
                  <c:v>0</c:v>
                </c:pt>
                <c:pt idx="4">
                  <c:v>3.614457831325301E-2</c:v>
                </c:pt>
              </c:numCache>
            </c:numRef>
          </c:val>
          <c:extLst>
            <c:ext xmlns:c16="http://schemas.microsoft.com/office/drawing/2014/chart" uri="{C3380CC4-5D6E-409C-BE32-E72D297353CC}">
              <c16:uniqueId val="{00000019-56B4-4D3F-B996-AD9BFB03D6E9}"/>
            </c:ext>
          </c:extLst>
        </c:ser>
        <c:dLbls>
          <c:dLblPos val="ctr"/>
          <c:showLegendKey val="0"/>
          <c:showVal val="1"/>
          <c:showCatName val="0"/>
          <c:showSerName val="0"/>
          <c:showPercent val="0"/>
          <c:showBubbleSize val="0"/>
        </c:dLbls>
        <c:gapWidth val="50"/>
        <c:overlap val="100"/>
        <c:axId val="795599840"/>
        <c:axId val="795605248"/>
      </c:barChart>
      <c:catAx>
        <c:axId val="795599840"/>
        <c:scaling>
          <c:orientation val="minMax"/>
        </c:scaling>
        <c:delete val="0"/>
        <c:axPos val="b"/>
        <c:numFmt formatCode="General" sourceLinked="0"/>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795605248"/>
        <c:crosses val="autoZero"/>
        <c:auto val="1"/>
        <c:lblAlgn val="ctr"/>
        <c:lblOffset val="100"/>
        <c:noMultiLvlLbl val="0"/>
      </c:catAx>
      <c:valAx>
        <c:axId val="795605248"/>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Percentage of audits</a:t>
                </a:r>
              </a:p>
            </c:rich>
          </c:tx>
          <c:layout>
            <c:manualLayout>
              <c:xMode val="edge"/>
              <c:yMode val="edge"/>
              <c:x val="1.7730160193959E-2"/>
              <c:y val="0.1940015427466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79559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794089825067"/>
          <c:y val="3.1328827259424423E-2"/>
          <c:w val="0.77711705770281247"/>
          <c:h val="0.61771664782267621"/>
        </c:manualLayout>
      </c:layout>
      <c:barChart>
        <c:barDir val="col"/>
        <c:grouping val="stacked"/>
        <c:varyColors val="0"/>
        <c:ser>
          <c:idx val="0"/>
          <c:order val="0"/>
          <c:tx>
            <c:strRef>
              <c:f>'Fig 5.4'!$B$30</c:f>
              <c:strCache>
                <c:ptCount val="1"/>
                <c:pt idx="0">
                  <c:v>England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C229-46EE-BD6E-EE5C09536901}"/>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C229-46EE-BD6E-EE5C09536901}"/>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C229-46EE-BD6E-EE5C09536901}"/>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29-46EE-BD6E-EE5C0953690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5.4'!$C$29:$F$29</c:f>
              <c:strCache>
                <c:ptCount val="4"/>
                <c:pt idx="0">
                  <c:v>Good</c:v>
                </c:pt>
                <c:pt idx="1">
                  <c:v>Satisfactory</c:v>
                </c:pt>
                <c:pt idx="2">
                  <c:v>Weak</c:v>
                </c:pt>
                <c:pt idx="3">
                  <c:v>Unsatisfactory</c:v>
                </c:pt>
              </c:strCache>
            </c:strRef>
          </c:cat>
          <c:val>
            <c:numRef>
              <c:f>'Fig 5.4'!$C$30:$F$30</c:f>
              <c:numCache>
                <c:formatCode>General</c:formatCode>
                <c:ptCount val="4"/>
                <c:pt idx="0">
                  <c:v>0</c:v>
                </c:pt>
                <c:pt idx="1">
                  <c:v>41</c:v>
                </c:pt>
                <c:pt idx="2">
                  <c:v>129</c:v>
                </c:pt>
                <c:pt idx="3">
                  <c:v>37</c:v>
                </c:pt>
              </c:numCache>
            </c:numRef>
          </c:val>
          <c:extLst>
            <c:ext xmlns:c16="http://schemas.microsoft.com/office/drawing/2014/chart" uri="{C3380CC4-5D6E-409C-BE32-E72D297353CC}">
              <c16:uniqueId val="{00000007-C229-46EE-BD6E-EE5C09536901}"/>
            </c:ext>
          </c:extLst>
        </c:ser>
        <c:dLbls>
          <c:dLblPos val="ctr"/>
          <c:showLegendKey val="0"/>
          <c:showVal val="1"/>
          <c:showCatName val="0"/>
          <c:showSerName val="0"/>
          <c:showPercent val="0"/>
          <c:showBubbleSize val="0"/>
        </c:dLbls>
        <c:gapWidth val="50"/>
        <c:overlap val="100"/>
        <c:axId val="1525914143"/>
        <c:axId val="1525927455"/>
        <c:extLst/>
      </c:barChart>
      <c:catAx>
        <c:axId val="1525914143"/>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27455"/>
        <c:crosses val="autoZero"/>
        <c:auto val="1"/>
        <c:lblAlgn val="ctr"/>
        <c:lblOffset val="100"/>
        <c:noMultiLvlLbl val="0"/>
      </c:catAx>
      <c:valAx>
        <c:axId val="1525927455"/>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rPr>
                  <a:t>Number of Audits</a:t>
                </a:r>
              </a:p>
              <a:p>
                <a:pPr>
                  <a:defRPr>
                    <a:solidFill>
                      <a:schemeClr val="tx1">
                        <a:lumMod val="95000"/>
                        <a:lumOff val="5000"/>
                      </a:schemeClr>
                    </a:solidFill>
                  </a:defRPr>
                </a:pPr>
                <a:endParaRPr lang="en-GB">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1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794089825067"/>
          <c:y val="3.1328827259424423E-2"/>
          <c:w val="0.77711705770281247"/>
          <c:h val="0.61771664782267621"/>
        </c:manualLayout>
      </c:layout>
      <c:barChart>
        <c:barDir val="col"/>
        <c:grouping val="stacked"/>
        <c:varyColors val="0"/>
        <c:ser>
          <c:idx val="0"/>
          <c:order val="0"/>
          <c:tx>
            <c:strRef>
              <c:f>'Fig 5.4'!$B$31</c:f>
              <c:strCache>
                <c:ptCount val="1"/>
                <c:pt idx="0">
                  <c:v>Scotland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9A4F-4307-A705-878EC1C9C5A4}"/>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9A4F-4307-A705-878EC1C9C5A4}"/>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9A4F-4307-A705-878EC1C9C5A4}"/>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4F-4307-A705-878EC1C9C5A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5.4'!$C$29:$F$29</c:f>
              <c:strCache>
                <c:ptCount val="4"/>
                <c:pt idx="0">
                  <c:v>Good</c:v>
                </c:pt>
                <c:pt idx="1">
                  <c:v>Satisfactory</c:v>
                </c:pt>
                <c:pt idx="2">
                  <c:v>Weak</c:v>
                </c:pt>
                <c:pt idx="3">
                  <c:v>Unsatisfactory</c:v>
                </c:pt>
              </c:strCache>
            </c:strRef>
          </c:cat>
          <c:val>
            <c:numRef>
              <c:f>'Fig 5.4'!$C$31:$F$31</c:f>
              <c:numCache>
                <c:formatCode>General</c:formatCode>
                <c:ptCount val="4"/>
                <c:pt idx="0">
                  <c:v>0</c:v>
                </c:pt>
                <c:pt idx="1">
                  <c:v>16</c:v>
                </c:pt>
                <c:pt idx="2">
                  <c:v>75</c:v>
                </c:pt>
                <c:pt idx="3">
                  <c:v>6</c:v>
                </c:pt>
              </c:numCache>
            </c:numRef>
          </c:val>
          <c:extLst>
            <c:ext xmlns:c16="http://schemas.microsoft.com/office/drawing/2014/chart" uri="{C3380CC4-5D6E-409C-BE32-E72D297353CC}">
              <c16:uniqueId val="{00000007-9A4F-4307-A705-878EC1C9C5A4}"/>
            </c:ext>
          </c:extLst>
        </c:ser>
        <c:dLbls>
          <c:dLblPos val="ctr"/>
          <c:showLegendKey val="0"/>
          <c:showVal val="1"/>
          <c:showCatName val="0"/>
          <c:showSerName val="0"/>
          <c:showPercent val="0"/>
          <c:showBubbleSize val="0"/>
        </c:dLbls>
        <c:gapWidth val="50"/>
        <c:overlap val="100"/>
        <c:axId val="1525914143"/>
        <c:axId val="1525927455"/>
        <c:extLst/>
      </c:barChart>
      <c:catAx>
        <c:axId val="1525914143"/>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27455"/>
        <c:crosses val="autoZero"/>
        <c:auto val="1"/>
        <c:lblAlgn val="ctr"/>
        <c:lblOffset val="100"/>
        <c:noMultiLvlLbl val="0"/>
      </c:catAx>
      <c:valAx>
        <c:axId val="1525927455"/>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rPr>
                  <a:t>Number of Audits</a:t>
                </a:r>
              </a:p>
              <a:p>
                <a:pPr>
                  <a:defRPr>
                    <a:solidFill>
                      <a:schemeClr val="tx1">
                        <a:lumMod val="95000"/>
                        <a:lumOff val="5000"/>
                      </a:schemeClr>
                    </a:solidFill>
                  </a:defRPr>
                </a:pPr>
                <a:endParaRPr lang="en-GB">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1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794089825067"/>
          <c:y val="3.1328827259424423E-2"/>
          <c:w val="0.77711705770281247"/>
          <c:h val="0.61771664782267621"/>
        </c:manualLayout>
      </c:layout>
      <c:barChart>
        <c:barDir val="col"/>
        <c:grouping val="stacked"/>
        <c:varyColors val="0"/>
        <c:ser>
          <c:idx val="0"/>
          <c:order val="0"/>
          <c:tx>
            <c:strRef>
              <c:f>'Fig 5.4'!$B$32</c:f>
              <c:strCache>
                <c:ptCount val="1"/>
                <c:pt idx="0">
                  <c:v>Wales</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92C3-4713-AFF0-4A7EDF13CEA2}"/>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92C3-4713-AFF0-4A7EDF13CEA2}"/>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92C3-4713-AFF0-4A7EDF13CEA2}"/>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C3-4713-AFF0-4A7EDF13CE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5.4'!$C$29:$F$29</c:f>
              <c:strCache>
                <c:ptCount val="4"/>
                <c:pt idx="0">
                  <c:v>Good</c:v>
                </c:pt>
                <c:pt idx="1">
                  <c:v>Satisfactory</c:v>
                </c:pt>
                <c:pt idx="2">
                  <c:v>Weak</c:v>
                </c:pt>
                <c:pt idx="3">
                  <c:v>Unsatisfactory</c:v>
                </c:pt>
              </c:strCache>
            </c:strRef>
          </c:cat>
          <c:val>
            <c:numRef>
              <c:f>'Fig 5.4'!$C$32:$F$32</c:f>
              <c:numCache>
                <c:formatCode>General</c:formatCode>
                <c:ptCount val="4"/>
                <c:pt idx="0">
                  <c:v>0</c:v>
                </c:pt>
                <c:pt idx="1">
                  <c:v>8</c:v>
                </c:pt>
                <c:pt idx="2">
                  <c:v>20</c:v>
                </c:pt>
                <c:pt idx="3">
                  <c:v>2</c:v>
                </c:pt>
              </c:numCache>
            </c:numRef>
          </c:val>
          <c:extLst>
            <c:ext xmlns:c16="http://schemas.microsoft.com/office/drawing/2014/chart" uri="{C3380CC4-5D6E-409C-BE32-E72D297353CC}">
              <c16:uniqueId val="{00000007-92C3-4713-AFF0-4A7EDF13CEA2}"/>
            </c:ext>
          </c:extLst>
        </c:ser>
        <c:dLbls>
          <c:dLblPos val="ctr"/>
          <c:showLegendKey val="0"/>
          <c:showVal val="1"/>
          <c:showCatName val="0"/>
          <c:showSerName val="0"/>
          <c:showPercent val="0"/>
          <c:showBubbleSize val="0"/>
        </c:dLbls>
        <c:gapWidth val="50"/>
        <c:overlap val="100"/>
        <c:axId val="1525914143"/>
        <c:axId val="1525927455"/>
        <c:extLst/>
      </c:barChart>
      <c:catAx>
        <c:axId val="1525914143"/>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27455"/>
        <c:crosses val="autoZero"/>
        <c:auto val="1"/>
        <c:lblAlgn val="ctr"/>
        <c:lblOffset val="100"/>
        <c:noMultiLvlLbl val="0"/>
      </c:catAx>
      <c:valAx>
        <c:axId val="1525927455"/>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rPr>
                  <a:t>Number of Audits</a:t>
                </a:r>
              </a:p>
              <a:p>
                <a:pPr>
                  <a:defRPr>
                    <a:solidFill>
                      <a:schemeClr val="tx1">
                        <a:lumMod val="95000"/>
                        <a:lumOff val="5000"/>
                      </a:schemeClr>
                    </a:solidFill>
                  </a:defRPr>
                </a:pPr>
                <a:endParaRPr lang="en-GB">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1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794089825067"/>
          <c:y val="3.1328827259424423E-2"/>
          <c:w val="0.77711705770281247"/>
          <c:h val="0.61771664782267621"/>
        </c:manualLayout>
      </c:layout>
      <c:barChart>
        <c:barDir val="col"/>
        <c:grouping val="stacked"/>
        <c:varyColors val="0"/>
        <c:ser>
          <c:idx val="0"/>
          <c:order val="0"/>
          <c:tx>
            <c:strRef>
              <c:f>'Fig 5.4'!$B$33</c:f>
              <c:strCache>
                <c:ptCount val="1"/>
                <c:pt idx="0">
                  <c:v>Northern Ireland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61E9-4F97-ABCF-C9D513D74BC4}"/>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61E9-4F97-ABCF-C9D513D74BC4}"/>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61E9-4F97-ABCF-C9D513D74BC4}"/>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E9-4F97-ABCF-C9D513D74BC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5.4'!$C$29:$F$29</c:f>
              <c:strCache>
                <c:ptCount val="4"/>
                <c:pt idx="0">
                  <c:v>Good</c:v>
                </c:pt>
                <c:pt idx="1">
                  <c:v>Satisfactory</c:v>
                </c:pt>
                <c:pt idx="2">
                  <c:v>Weak</c:v>
                </c:pt>
                <c:pt idx="3">
                  <c:v>Unsatisfactory</c:v>
                </c:pt>
              </c:strCache>
            </c:strRef>
          </c:cat>
          <c:val>
            <c:numRef>
              <c:f>'Fig 5.4'!$C$33:$F$33</c:f>
              <c:numCache>
                <c:formatCode>General</c:formatCode>
                <c:ptCount val="4"/>
                <c:pt idx="0">
                  <c:v>0</c:v>
                </c:pt>
                <c:pt idx="1">
                  <c:v>20</c:v>
                </c:pt>
                <c:pt idx="2">
                  <c:v>34</c:v>
                </c:pt>
                <c:pt idx="3">
                  <c:v>3</c:v>
                </c:pt>
              </c:numCache>
            </c:numRef>
          </c:val>
          <c:extLst>
            <c:ext xmlns:c16="http://schemas.microsoft.com/office/drawing/2014/chart" uri="{C3380CC4-5D6E-409C-BE32-E72D297353CC}">
              <c16:uniqueId val="{00000007-61E9-4F97-ABCF-C9D513D74BC4}"/>
            </c:ext>
          </c:extLst>
        </c:ser>
        <c:dLbls>
          <c:dLblPos val="ctr"/>
          <c:showLegendKey val="0"/>
          <c:showVal val="1"/>
          <c:showCatName val="0"/>
          <c:showSerName val="0"/>
          <c:showPercent val="0"/>
          <c:showBubbleSize val="0"/>
        </c:dLbls>
        <c:gapWidth val="50"/>
        <c:overlap val="100"/>
        <c:axId val="1525914143"/>
        <c:axId val="1525927455"/>
        <c:extLst/>
      </c:barChart>
      <c:catAx>
        <c:axId val="1525914143"/>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27455"/>
        <c:crosses val="autoZero"/>
        <c:auto val="1"/>
        <c:lblAlgn val="ctr"/>
        <c:lblOffset val="100"/>
        <c:noMultiLvlLbl val="0"/>
      </c:catAx>
      <c:valAx>
        <c:axId val="1525927455"/>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rPr>
                  <a:t>Number of Audits</a:t>
                </a:r>
              </a:p>
              <a:p>
                <a:pPr>
                  <a:defRPr>
                    <a:solidFill>
                      <a:schemeClr val="tx1">
                        <a:lumMod val="95000"/>
                        <a:lumOff val="5000"/>
                      </a:schemeClr>
                    </a:solidFill>
                  </a:defRPr>
                </a:pPr>
                <a:endParaRPr lang="en-GB">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1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794089825067"/>
          <c:y val="3.1328827259424423E-2"/>
          <c:w val="0.77711705770281247"/>
          <c:h val="0.61771664782267621"/>
        </c:manualLayout>
      </c:layout>
      <c:barChart>
        <c:barDir val="col"/>
        <c:grouping val="stacked"/>
        <c:varyColors val="0"/>
        <c:ser>
          <c:idx val="0"/>
          <c:order val="0"/>
          <c:tx>
            <c:strRef>
              <c:f>'Fig 5.4'!$B$34</c:f>
              <c:strCache>
                <c:ptCount val="1"/>
                <c:pt idx="0">
                  <c:v>Total</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8B22-4C2D-A935-9E9388236504}"/>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8B22-4C2D-A935-9E9388236504}"/>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8B22-4C2D-A935-9E9388236504}"/>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22-4C2D-A935-9E938823650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5.4'!$C$29:$F$29</c:f>
              <c:strCache>
                <c:ptCount val="4"/>
                <c:pt idx="0">
                  <c:v>Good</c:v>
                </c:pt>
                <c:pt idx="1">
                  <c:v>Satisfactory</c:v>
                </c:pt>
                <c:pt idx="2">
                  <c:v>Weak</c:v>
                </c:pt>
                <c:pt idx="3">
                  <c:v>Unsatisfactory</c:v>
                </c:pt>
              </c:strCache>
            </c:strRef>
          </c:cat>
          <c:val>
            <c:numRef>
              <c:f>'Fig 5.4'!$C$34:$F$34</c:f>
              <c:numCache>
                <c:formatCode>General</c:formatCode>
                <c:ptCount val="4"/>
                <c:pt idx="0">
                  <c:v>0</c:v>
                </c:pt>
                <c:pt idx="1">
                  <c:v>85</c:v>
                </c:pt>
                <c:pt idx="2">
                  <c:v>258</c:v>
                </c:pt>
                <c:pt idx="3">
                  <c:v>48</c:v>
                </c:pt>
              </c:numCache>
            </c:numRef>
          </c:val>
          <c:extLst>
            <c:ext xmlns:c16="http://schemas.microsoft.com/office/drawing/2014/chart" uri="{C3380CC4-5D6E-409C-BE32-E72D297353CC}">
              <c16:uniqueId val="{00000007-8B22-4C2D-A935-9E9388236504}"/>
            </c:ext>
          </c:extLst>
        </c:ser>
        <c:dLbls>
          <c:dLblPos val="ctr"/>
          <c:showLegendKey val="0"/>
          <c:showVal val="1"/>
          <c:showCatName val="0"/>
          <c:showSerName val="0"/>
          <c:showPercent val="0"/>
          <c:showBubbleSize val="0"/>
        </c:dLbls>
        <c:gapWidth val="50"/>
        <c:overlap val="100"/>
        <c:axId val="1525914143"/>
        <c:axId val="1525927455"/>
        <c:extLst/>
      </c:barChart>
      <c:catAx>
        <c:axId val="1525914143"/>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27455"/>
        <c:crosses val="autoZero"/>
        <c:auto val="1"/>
        <c:lblAlgn val="ctr"/>
        <c:lblOffset val="100"/>
        <c:noMultiLvlLbl val="0"/>
      </c:catAx>
      <c:valAx>
        <c:axId val="1525927455"/>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r>
                  <a:rPr lang="en-GB">
                    <a:solidFill>
                      <a:schemeClr val="tx1">
                        <a:lumMod val="95000"/>
                        <a:lumOff val="5000"/>
                      </a:schemeClr>
                    </a:solidFill>
                  </a:rPr>
                  <a:t>Number of Audits</a:t>
                </a:r>
              </a:p>
              <a:p>
                <a:pPr>
                  <a:defRPr>
                    <a:solidFill>
                      <a:schemeClr val="tx1">
                        <a:lumMod val="95000"/>
                        <a:lumOff val="5000"/>
                      </a:schemeClr>
                    </a:solidFill>
                  </a:defRPr>
                </a:pPr>
                <a:endParaRPr lang="en-GB">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591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5.5'!$B$50</c:f>
              <c:strCache>
                <c:ptCount val="1"/>
                <c:pt idx="0">
                  <c:v>Fuelled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3B02-40ED-8403-9185A77B66ED}"/>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3B02-40ED-8403-9185A77B66ED}"/>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3B02-40ED-8403-9185A77B66ED}"/>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02-40ED-8403-9185A77B66E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5.5'!$C$50:$F$50</c:f>
              <c:numCache>
                <c:formatCode>General</c:formatCode>
                <c:ptCount val="4"/>
                <c:pt idx="0">
                  <c:v>0</c:v>
                </c:pt>
                <c:pt idx="1">
                  <c:v>15</c:v>
                </c:pt>
                <c:pt idx="2">
                  <c:v>39</c:v>
                </c:pt>
                <c:pt idx="3">
                  <c:v>12</c:v>
                </c:pt>
              </c:numCache>
            </c:numRef>
          </c:val>
          <c:extLst>
            <c:ext xmlns:c16="http://schemas.microsoft.com/office/drawing/2014/chart" uri="{C3380CC4-5D6E-409C-BE32-E72D297353CC}">
              <c16:uniqueId val="{00000007-3B02-40ED-8403-9185A77B66ED}"/>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8544715987703"/>
          <c:y val="0.12058195740002368"/>
          <c:w val="0.82397443081979049"/>
          <c:h val="0.57596480171494746"/>
        </c:manualLayout>
      </c:layout>
      <c:barChart>
        <c:barDir val="col"/>
        <c:grouping val="stacked"/>
        <c:varyColors val="0"/>
        <c:ser>
          <c:idx val="3"/>
          <c:order val="3"/>
          <c:tx>
            <c:strRef>
              <c:f>'Fig 2.1 &amp; 2.2'!$F$50</c:f>
              <c:strCache>
                <c:ptCount val="1"/>
                <c:pt idx="0">
                  <c:v>Northern Ireland</c:v>
                </c:pt>
              </c:strCache>
              <c:extLst xmlns:c15="http://schemas.microsoft.com/office/drawing/2012/chart"/>
            </c:strRef>
          </c:tx>
          <c:spPr>
            <a:solidFill>
              <a:srgbClr val="9E712A"/>
            </a:solidFill>
            <a:ln w="3175">
              <a:solidFill>
                <a:schemeClr val="tx1"/>
              </a:solidFill>
            </a:ln>
            <a:effectLst/>
          </c:spPr>
          <c:invertIfNegative val="0"/>
          <c:dLbls>
            <c:dLbl>
              <c:idx val="0"/>
              <c:layout>
                <c:manualLayout>
                  <c:x val="0"/>
                  <c:y val="-7.9805610236220473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BB-47A3-BB22-8B81EBAEC0B3}"/>
                </c:ext>
              </c:extLst>
            </c:dLbl>
            <c:dLbl>
              <c:idx val="1"/>
              <c:layout>
                <c:manualLayout>
                  <c:x val="0"/>
                  <c:y val="-8.2413467847769026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BB-47A3-BB22-8B81EBAEC0B3}"/>
                </c:ext>
              </c:extLst>
            </c:dLbl>
            <c:dLbl>
              <c:idx val="2"/>
              <c:layout>
                <c:manualLayout>
                  <c:x val="0"/>
                  <c:y val="-9.0653707349081361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BB-47A3-BB22-8B81EBAEC0B3}"/>
                </c:ext>
              </c:extLst>
            </c:dLbl>
            <c:dLbl>
              <c:idx val="3"/>
              <c:layout>
                <c:manualLayout>
                  <c:x val="0"/>
                  <c:y val="-8.5960875984251964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BB-47A3-BB22-8B81EBAEC0B3}"/>
                </c:ext>
              </c:extLst>
            </c:dLbl>
            <c:dLbl>
              <c:idx val="4"/>
              <c:layout>
                <c:manualLayout>
                  <c:x val="0"/>
                  <c:y val="-9.8418225065616802E-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BB-47A3-BB22-8B81EBAEC0B3}"/>
                </c:ext>
              </c:extLst>
            </c:dLbl>
            <c:dLbl>
              <c:idx val="5"/>
              <c:layout>
                <c:manualLayout>
                  <c:x val="-7.3715808393843139E-17"/>
                  <c:y val="-0.10351952099737532"/>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BB-47A3-BB22-8B81EBAEC0B3}"/>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&amp; 2.2'!$B$51:$B$64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extLst xmlns:c15="http://schemas.microsoft.com/office/drawing/2012/chart"/>
            </c:strRef>
          </c:cat>
          <c:val>
            <c:numRef>
              <c:f>'Fig 2.1 &amp; 2.2'!$F$51:$F$64</c:f>
              <c:numCache>
                <c:formatCode>_-* #,##0_-;\-* #,##0_-;_-* "-"??_-;_-@_-</c:formatCode>
                <c:ptCount val="14"/>
                <c:pt idx="0">
                  <c:v>431052</c:v>
                </c:pt>
                <c:pt idx="1">
                  <c:v>620857</c:v>
                </c:pt>
                <c:pt idx="2">
                  <c:v>800362</c:v>
                </c:pt>
                <c:pt idx="3">
                  <c:v>787823</c:v>
                </c:pt>
                <c:pt idx="4">
                  <c:v>1244624</c:v>
                </c:pt>
                <c:pt idx="5">
                  <c:v>1247219</c:v>
                </c:pt>
                <c:pt idx="6">
                  <c:v>1861519</c:v>
                </c:pt>
                <c:pt idx="7">
                  <c:v>2151967</c:v>
                </c:pt>
                <c:pt idx="8">
                  <c:v>3024989</c:v>
                </c:pt>
                <c:pt idx="9">
                  <c:v>3545888</c:v>
                </c:pt>
                <c:pt idx="10">
                  <c:v>5033303</c:v>
                </c:pt>
                <c:pt idx="11">
                  <c:v>5716567</c:v>
                </c:pt>
                <c:pt idx="12">
                  <c:v>6148834</c:v>
                </c:pt>
                <c:pt idx="13">
                  <c:v>5980807</c:v>
                </c:pt>
              </c:numCache>
              <c:extLst xmlns:c15="http://schemas.microsoft.com/office/drawing/2012/chart"/>
            </c:numRef>
          </c:val>
          <c:extLst xmlns:c15="http://schemas.microsoft.com/office/drawing/2012/chart">
            <c:ext xmlns:c16="http://schemas.microsoft.com/office/drawing/2014/chart" uri="{C3380CC4-5D6E-409C-BE32-E72D297353CC}">
              <c16:uniqueId val="{00000006-BABB-47A3-BB22-8B81EBAEC0B3}"/>
            </c:ext>
          </c:extLst>
        </c:ser>
        <c:dLbls>
          <c:showLegendKey val="0"/>
          <c:showVal val="1"/>
          <c:showCatName val="0"/>
          <c:showSerName val="0"/>
          <c:showPercent val="0"/>
          <c:showBubbleSize val="0"/>
        </c:dLbls>
        <c:gapWidth val="50"/>
        <c:overlap val="100"/>
        <c:axId val="991727256"/>
        <c:axId val="991722664"/>
        <c:extLst>
          <c:ext xmlns:c15="http://schemas.microsoft.com/office/drawing/2012/chart" uri="{02D57815-91ED-43cb-92C2-25804820EDAC}">
            <c15:filteredBarSeries>
              <c15:ser>
                <c:idx val="0"/>
                <c:order val="0"/>
                <c:tx>
                  <c:strRef>
                    <c:extLst>
                      <c:ext uri="{02D57815-91ED-43cb-92C2-25804820EDAC}">
                        <c15:formulaRef>
                          <c15:sqref>'Fig 2.1 &amp; 2.2'!$C$50</c15:sqref>
                        </c15:formulaRef>
                      </c:ext>
                    </c:extLst>
                    <c:strCache>
                      <c:ptCount val="1"/>
                      <c:pt idx="0">
                        <c:v>England</c:v>
                      </c:pt>
                    </c:strCache>
                  </c:strRef>
                </c:tx>
                <c:spPr>
                  <a:solidFill>
                    <a:srgbClr val="0794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2.2'!$C$51:$C$64</c15:sqref>
                        </c15:formulaRef>
                      </c:ext>
                    </c:extLst>
                    <c:numCache>
                      <c:formatCode>_-* #,##0_-;\-* #,##0_-;_-* "-"??_-;_-@_-</c:formatCode>
                      <c:ptCount val="14"/>
                      <c:pt idx="0">
                        <c:v>8573690</c:v>
                      </c:pt>
                      <c:pt idx="1">
                        <c:v>10174435</c:v>
                      </c:pt>
                      <c:pt idx="2">
                        <c:v>11091849</c:v>
                      </c:pt>
                      <c:pt idx="3">
                        <c:v>13487804</c:v>
                      </c:pt>
                      <c:pt idx="4">
                        <c:v>18602423</c:v>
                      </c:pt>
                      <c:pt idx="5">
                        <c:v>28567045</c:v>
                      </c:pt>
                      <c:pt idx="6">
                        <c:v>41509011</c:v>
                      </c:pt>
                      <c:pt idx="7">
                        <c:v>48996897</c:v>
                      </c:pt>
                      <c:pt idx="8">
                        <c:v>63595494</c:v>
                      </c:pt>
                      <c:pt idx="9">
                        <c:v>59162570</c:v>
                      </c:pt>
                      <c:pt idx="10">
                        <c:v>65336694</c:v>
                      </c:pt>
                      <c:pt idx="11">
                        <c:v>69094995</c:v>
                      </c:pt>
                      <c:pt idx="12">
                        <c:v>74550247</c:v>
                      </c:pt>
                      <c:pt idx="13">
                        <c:v>72558007</c:v>
                      </c:pt>
                    </c:numCache>
                  </c:numRef>
                </c:val>
                <c:extLst>
                  <c:ext xmlns:c16="http://schemas.microsoft.com/office/drawing/2014/chart" uri="{C3380CC4-5D6E-409C-BE32-E72D297353CC}">
                    <c16:uniqueId val="{00000007-BABB-47A3-BB22-8B81EBAEC0B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'Fig 2.1 &amp; 2.2'!$D$50</c15:sqref>
                        </c15:formulaRef>
                      </c:ext>
                    </c:extLst>
                    <c:strCache>
                      <c:ptCount val="1"/>
                      <c:pt idx="0">
                        <c:v>Scotland</c:v>
                      </c:pt>
                    </c:strCache>
                  </c:strRef>
                </c:tx>
                <c:spPr>
                  <a:pattFill prst="pct90">
                    <a:fgClr>
                      <a:srgbClr val="2363AF"/>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2.2'!$D$51:$D$64</c15:sqref>
                        </c15:formulaRef>
                      </c:ext>
                    </c:extLst>
                    <c:numCache>
                      <c:formatCode>_-* #,##0_-;\-* #,##0_-;_-* "-"??_-;_-@_-</c:formatCode>
                      <c:ptCount val="14"/>
                      <c:pt idx="0">
                        <c:v>5806454</c:v>
                      </c:pt>
                      <c:pt idx="1">
                        <c:v>6824674</c:v>
                      </c:pt>
                      <c:pt idx="2">
                        <c:v>7739201</c:v>
                      </c:pt>
                      <c:pt idx="3">
                        <c:v>8868936</c:v>
                      </c:pt>
                      <c:pt idx="4">
                        <c:v>12772905</c:v>
                      </c:pt>
                      <c:pt idx="5">
                        <c:v>12384987</c:v>
                      </c:pt>
                      <c:pt idx="6">
                        <c:v>17046916</c:v>
                      </c:pt>
                      <c:pt idx="7">
                        <c:v>16466006</c:v>
                      </c:pt>
                      <c:pt idx="8">
                        <c:v>17437039</c:v>
                      </c:pt>
                      <c:pt idx="9">
                        <c:v>17029872</c:v>
                      </c:pt>
                      <c:pt idx="10">
                        <c:v>21838223</c:v>
                      </c:pt>
                      <c:pt idx="11">
                        <c:v>23530224</c:v>
                      </c:pt>
                      <c:pt idx="12">
                        <c:v>25208643</c:v>
                      </c:pt>
                      <c:pt idx="13">
                        <c:v>22573854</c:v>
                      </c:pt>
                    </c:numCache>
                  </c:numRef>
                </c:val>
                <c:extLst xmlns:c15="http://schemas.microsoft.com/office/drawing/2012/chart">
                  <c:ext xmlns:c16="http://schemas.microsoft.com/office/drawing/2014/chart" uri="{C3380CC4-5D6E-409C-BE32-E72D297353CC}">
                    <c16:uniqueId val="{00000008-BABB-47A3-BB22-8B81EBAEC0B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 2.1 &amp; 2.2'!$E$50</c15:sqref>
                        </c15:formulaRef>
                      </c:ext>
                    </c:extLst>
                    <c:strCache>
                      <c:ptCount val="1"/>
                      <c:pt idx="0">
                        <c:v>Wales</c:v>
                      </c:pt>
                    </c:strCache>
                  </c:strRef>
                </c:tx>
                <c:spPr>
                  <a:pattFill prst="pct80">
                    <a:fgClr>
                      <a:srgbClr val="CD1F4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xmlns:c15="http://schemas.microsoft.com/office/drawing/2012/chart">
                      <c:ext xmlns:c15="http://schemas.microsoft.com/office/drawing/2012/chart" uri="{02D57815-91ED-43cb-92C2-25804820EDAC}">
                        <c15:formulaRef>
                          <c15:sqref>'Fig 2.1 &amp; 2.2'!$E$51:$E$64</c15:sqref>
                        </c15:formulaRef>
                      </c:ext>
                    </c:extLst>
                    <c:numCache>
                      <c:formatCode>_-* #,##0_-;\-* #,##0_-;_-* "-"??_-;_-@_-</c:formatCode>
                      <c:ptCount val="14"/>
                      <c:pt idx="0">
                        <c:v>1353224</c:v>
                      </c:pt>
                      <c:pt idx="1">
                        <c:v>1429788</c:v>
                      </c:pt>
                      <c:pt idx="2">
                        <c:v>1730347</c:v>
                      </c:pt>
                      <c:pt idx="3">
                        <c:v>1817838</c:v>
                      </c:pt>
                      <c:pt idx="4">
                        <c:v>2352685</c:v>
                      </c:pt>
                      <c:pt idx="5">
                        <c:v>2203328</c:v>
                      </c:pt>
                      <c:pt idx="6">
                        <c:v>2596267</c:v>
                      </c:pt>
                      <c:pt idx="7">
                        <c:v>3847685</c:v>
                      </c:pt>
                      <c:pt idx="8">
                        <c:v>6506156</c:v>
                      </c:pt>
                      <c:pt idx="9">
                        <c:v>6432021</c:v>
                      </c:pt>
                      <c:pt idx="10">
                        <c:v>8373083</c:v>
                      </c:pt>
                      <c:pt idx="11">
                        <c:v>7606217</c:v>
                      </c:pt>
                      <c:pt idx="12">
                        <c:v>8799234</c:v>
                      </c:pt>
                      <c:pt idx="13">
                        <c:v>8140214</c:v>
                      </c:pt>
                    </c:numCache>
                  </c:numRef>
                </c:val>
                <c:extLst xmlns:c15="http://schemas.microsoft.com/office/drawing/2012/chart">
                  <c:ext xmlns:c16="http://schemas.microsoft.com/office/drawing/2014/chart" uri="{C3380CC4-5D6E-409C-BE32-E72D297353CC}">
                    <c16:uniqueId val="{00000009-BABB-47A3-BB22-8B81EBAEC0B3}"/>
                  </c:ext>
                </c:extLst>
              </c15:ser>
            </c15:filteredBarSeries>
          </c:ext>
        </c:extLst>
      </c:barChart>
      <c:lineChart>
        <c:grouping val="standard"/>
        <c:varyColors val="0"/>
        <c:dLbls>
          <c:showLegendKey val="0"/>
          <c:showVal val="1"/>
          <c:showCatName val="0"/>
          <c:showSerName val="0"/>
          <c:showPercent val="0"/>
          <c:showBubbleSize val="0"/>
        </c:dLbls>
        <c:marker val="1"/>
        <c:smooth val="0"/>
        <c:axId val="991727256"/>
        <c:axId val="991722664"/>
        <c:extLst>
          <c:ext xmlns:c15="http://schemas.microsoft.com/office/drawing/2012/chart" uri="{02D57815-91ED-43cb-92C2-25804820EDAC}">
            <c15:filteredLineSeries>
              <c15:ser>
                <c:idx val="4"/>
                <c:order val="4"/>
                <c:tx>
                  <c:strRef>
                    <c:extLst>
                      <c:ext uri="{02D57815-91ED-43cb-92C2-25804820EDAC}">
                        <c15:formulaRef>
                          <c15:sqref>'Fig 2.1 &amp; 2.2'!$G$50</c15:sqref>
                        </c15:formulaRef>
                      </c:ext>
                    </c:extLst>
                    <c:strCache>
                      <c:ptCount val="1"/>
                      <c:pt idx="0">
                        <c:v>RO generation (TWh)</c:v>
                      </c:pt>
                    </c:strCache>
                  </c:strRef>
                </c:tx>
                <c:spPr>
                  <a:ln w="28575" cap="rnd">
                    <a:solidFill>
                      <a:srgbClr val="E86E1E"/>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extLst>
                      <c:ext uri="{02D57815-91ED-43cb-92C2-25804820EDAC}">
                        <c15:formulaRef>
                          <c15:sqref>'Fig 2.1 &amp; 2.2'!$G$51:$G$64</c15:sqref>
                        </c15:formulaRef>
                      </c:ext>
                    </c:extLst>
                    <c:numCache>
                      <c:formatCode>_-* #,##0_-;\-* #,##0_-;_-* "-"??_-;_-@_-</c:formatCode>
                      <c:ptCount val="14"/>
                      <c:pt idx="0">
                        <c:v>16164420</c:v>
                      </c:pt>
                      <c:pt idx="1">
                        <c:v>19049754</c:v>
                      </c:pt>
                      <c:pt idx="2">
                        <c:v>20466190.999997403</c:v>
                      </c:pt>
                      <c:pt idx="3">
                        <c:v>23289739.416663691</c:v>
                      </c:pt>
                      <c:pt idx="4">
                        <c:v>31266240.899996206</c:v>
                      </c:pt>
                      <c:pt idx="5">
                        <c:v>35098127.783327565</c:v>
                      </c:pt>
                      <c:pt idx="6">
                        <c:v>49733554.545935087</c:v>
                      </c:pt>
                      <c:pt idx="7">
                        <c:v>55877518.95800291</c:v>
                      </c:pt>
                      <c:pt idx="8">
                        <c:v>69180692.447682679</c:v>
                      </c:pt>
                      <c:pt idx="9">
                        <c:v>65232940.377441831</c:v>
                      </c:pt>
                      <c:pt idx="10">
                        <c:v>75161322.997715786</c:v>
                      </c:pt>
                      <c:pt idx="11">
                        <c:v>79102225.020451128</c:v>
                      </c:pt>
                      <c:pt idx="12">
                        <c:v>84920897.264358833</c:v>
                      </c:pt>
                      <c:pt idx="13">
                        <c:v>80348926.404663816</c:v>
                      </c:pt>
                    </c:numCache>
                  </c:numRef>
                </c:val>
                <c:smooth val="0"/>
                <c:extLst>
                  <c:ext xmlns:c16="http://schemas.microsoft.com/office/drawing/2014/chart" uri="{C3380CC4-5D6E-409C-BE32-E72D297353CC}">
                    <c16:uniqueId val="{0000000A-BABB-47A3-BB22-8B81EBAEC0B3}"/>
                  </c:ext>
                </c:extLst>
              </c15:ser>
            </c15:filteredLineSeries>
          </c:ext>
        </c:extLst>
      </c:lineChart>
      <c:scatterChart>
        <c:scatterStyle val="lineMarker"/>
        <c:varyColors val="0"/>
        <c:dLbls>
          <c:showLegendKey val="0"/>
          <c:showVal val="1"/>
          <c:showCatName val="0"/>
          <c:showSerName val="0"/>
          <c:showPercent val="0"/>
          <c:showBubbleSize val="0"/>
        </c:dLbls>
        <c:axId val="991727256"/>
        <c:axId val="991722664"/>
        <c:extLst>
          <c:ext xmlns:c15="http://schemas.microsoft.com/office/drawing/2012/chart" uri="{02D57815-91ED-43cb-92C2-25804820EDAC}">
            <c15:filteredScatterSeries>
              <c15:ser>
                <c:idx val="5"/>
                <c:order val="5"/>
                <c:tx>
                  <c:strRef>
                    <c:extLst>
                      <c:ext uri="{02D57815-91ED-43cb-92C2-25804820EDAC}">
                        <c15:formulaRef>
                          <c15:sqref>'Fig 2.1 &amp; 2.2'!$H$50</c15:sqref>
                        </c15:formulaRef>
                      </c:ext>
                    </c:extLst>
                    <c:strCache>
                      <c:ptCount val="1"/>
                      <c:pt idx="0">
                        <c:v>UK obligation (ROCs)</c:v>
                      </c:pt>
                    </c:strCache>
                  </c:strRef>
                </c:tx>
                <c:spPr>
                  <a:ln w="25400" cap="rnd">
                    <a:noFill/>
                    <a:round/>
                  </a:ln>
                  <a:effectLst/>
                </c:spPr>
                <c:marker>
                  <c:symbol val="dash"/>
                  <c:size val="13"/>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extLst>
                      <c:ext uri="{02D57815-91ED-43cb-92C2-25804820EDAC}">
                        <c15:formulaRef>
                          <c15:sqref>'Fig 2.1 &amp; 2.2'!$B$51:$B$64</c15:sqref>
                        </c15:formulaRef>
                      </c:ext>
                    </c:extLst>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xVal>
                <c:yVal>
                  <c:numRef>
                    <c:extLst>
                      <c:ext uri="{02D57815-91ED-43cb-92C2-25804820EDAC}">
                        <c15:formulaRef>
                          <c15:sqref>'Fig 2.1 &amp; 2.2'!$H$51:$H$64</c15:sqref>
                        </c15:formulaRef>
                      </c:ext>
                    </c:extLst>
                    <c:numCache>
                      <c:formatCode>_-* #,##0_-;\-* #,##0_-;_-* "-"??_-;_-@_-</c:formatCode>
                      <c:ptCount val="14"/>
                      <c:pt idx="0">
                        <c:v>25551357</c:v>
                      </c:pt>
                      <c:pt idx="1">
                        <c:v>28975678</c:v>
                      </c:pt>
                      <c:pt idx="2">
                        <c:v>30101092</c:v>
                      </c:pt>
                      <c:pt idx="3">
                        <c:v>34749941</c:v>
                      </c:pt>
                      <c:pt idx="4">
                        <c:v>37676829</c:v>
                      </c:pt>
                      <c:pt idx="5">
                        <c:v>48915432</c:v>
                      </c:pt>
                      <c:pt idx="6">
                        <c:v>61858174</c:v>
                      </c:pt>
                      <c:pt idx="7">
                        <c:v>71922000</c:v>
                      </c:pt>
                      <c:pt idx="8">
                        <c:v>84439465</c:v>
                      </c:pt>
                      <c:pt idx="9">
                        <c:v>100748885</c:v>
                      </c:pt>
                      <c:pt idx="10">
                        <c:v>117842123</c:v>
                      </c:pt>
                      <c:pt idx="11">
                        <c:v>127623995</c:v>
                      </c:pt>
                      <c:pt idx="12">
                        <c:v>130183968</c:v>
                      </c:pt>
                      <c:pt idx="13">
                        <c:v>119090744</c:v>
                      </c:pt>
                    </c:numCache>
                  </c:numRef>
                </c:yVal>
                <c:smooth val="0"/>
                <c:extLst>
                  <c:ext xmlns:c16="http://schemas.microsoft.com/office/drawing/2014/chart" uri="{C3380CC4-5D6E-409C-BE32-E72D297353CC}">
                    <c16:uniqueId val="{0000000B-BABB-47A3-BB22-8B81EBAEC0B3}"/>
                  </c:ext>
                </c:extLst>
              </c15:ser>
            </c15:filteredScatterSeries>
          </c:ext>
        </c:extLst>
      </c:scatterChart>
      <c:catAx>
        <c:axId val="991727256"/>
        <c:scaling>
          <c:orientation val="minMax"/>
        </c:scaling>
        <c:delete val="0"/>
        <c:axPos val="b"/>
        <c:numFmt formatCode="General" sourceLinked="1"/>
        <c:majorTickMark val="out"/>
        <c:minorTickMark val="none"/>
        <c:tickLblPos val="nextTo"/>
        <c:spPr>
          <a:noFill/>
          <a:ln w="6350" cap="flat" cmpd="sng" algn="ctr">
            <a:solidFill>
              <a:srgbClr val="7F7F7F"/>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2664"/>
        <c:crosses val="autoZero"/>
        <c:auto val="1"/>
        <c:lblAlgn val="ctr"/>
        <c:lblOffset val="100"/>
        <c:noMultiLvlLbl val="0"/>
      </c:catAx>
      <c:valAx>
        <c:axId val="99172266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a:t>ROCs issued (millions)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991727256"/>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5.5'!$B$51</c:f>
              <c:strCache>
                <c:ptCount val="1"/>
                <c:pt idx="0">
                  <c:v>Hydro</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0239-4684-B8CA-460C5318B67D}"/>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0239-4684-B8CA-460C5318B67D}"/>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0239-4684-B8CA-460C5318B67D}"/>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39-4684-B8CA-460C5318B67D}"/>
                </c:ext>
              </c:extLst>
            </c:dLbl>
            <c:dLbl>
              <c:idx val="1"/>
              <c:layout>
                <c:manualLayout>
                  <c:x val="0"/>
                  <c:y val="-4.424778761061957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39-4684-B8CA-460C5318B67D}"/>
                </c:ext>
              </c:extLst>
            </c:dLbl>
            <c:dLbl>
              <c:idx val="3"/>
              <c:layout>
                <c:manualLayout>
                  <c:x val="0"/>
                  <c:y val="-3.871681415929203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39-4684-B8CA-460C5318B67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5.5'!$C$51:$F$51</c:f>
              <c:numCache>
                <c:formatCode>General</c:formatCode>
                <c:ptCount val="4"/>
                <c:pt idx="0">
                  <c:v>0</c:v>
                </c:pt>
                <c:pt idx="1">
                  <c:v>1</c:v>
                </c:pt>
                <c:pt idx="2">
                  <c:v>66</c:v>
                </c:pt>
                <c:pt idx="3">
                  <c:v>2</c:v>
                </c:pt>
              </c:numCache>
            </c:numRef>
          </c:val>
          <c:extLst>
            <c:ext xmlns:c16="http://schemas.microsoft.com/office/drawing/2014/chart" uri="{C3380CC4-5D6E-409C-BE32-E72D297353CC}">
              <c16:uniqueId val="{00000007-0239-4684-B8CA-460C5318B67D}"/>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5.5'!$B$52</c:f>
              <c:strCache>
                <c:ptCount val="1"/>
                <c:pt idx="0">
                  <c:v>Landfill gas</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468F-43EE-B41A-5C7E5D83A03B}"/>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468F-43EE-B41A-5C7E5D83A03B}"/>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468F-43EE-B41A-5C7E5D83A03B}"/>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8F-43EE-B41A-5C7E5D83A03B}"/>
                </c:ext>
              </c:extLst>
            </c:dLbl>
            <c:dLbl>
              <c:idx val="1"/>
              <c:layout>
                <c:manualLayout>
                  <c:x val="0"/>
                  <c:y val="-4.424778761061957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8F-43EE-B41A-5C7E5D83A03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5.5'!$C$52:$F$52</c:f>
              <c:numCache>
                <c:formatCode>General</c:formatCode>
                <c:ptCount val="4"/>
                <c:pt idx="0">
                  <c:v>0</c:v>
                </c:pt>
                <c:pt idx="1">
                  <c:v>0</c:v>
                </c:pt>
                <c:pt idx="2">
                  <c:v>48</c:v>
                </c:pt>
                <c:pt idx="3">
                  <c:v>11</c:v>
                </c:pt>
              </c:numCache>
            </c:numRef>
          </c:val>
          <c:extLst>
            <c:ext xmlns:c16="http://schemas.microsoft.com/office/drawing/2014/chart" uri="{C3380CC4-5D6E-409C-BE32-E72D297353CC}">
              <c16:uniqueId val="{00000007-468F-43EE-B41A-5C7E5D83A03B}"/>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5.5'!$B$53</c:f>
              <c:strCache>
                <c:ptCount val="1"/>
                <c:pt idx="0">
                  <c:v>Offshore wind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7FBC-444C-B0E7-E92084E3A669}"/>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7FBC-444C-B0E7-E92084E3A669}"/>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7FBC-444C-B0E7-E92084E3A669}"/>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BC-444C-B0E7-E92084E3A669}"/>
                </c:ext>
              </c:extLst>
            </c:dLbl>
            <c:dLbl>
              <c:idx val="2"/>
              <c:layout>
                <c:manualLayout>
                  <c:x val="0"/>
                  <c:y val="-3.318584070796460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BC-444C-B0E7-E92084E3A669}"/>
                </c:ext>
              </c:extLst>
            </c:dLbl>
            <c:dLbl>
              <c:idx val="3"/>
              <c:layout>
                <c:manualLayout>
                  <c:x val="0"/>
                  <c:y val="-3.871681415929203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BC-444C-B0E7-E92084E3A66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5.5'!$C$53:$F$53</c:f>
              <c:numCache>
                <c:formatCode>General</c:formatCode>
                <c:ptCount val="4"/>
                <c:pt idx="0">
                  <c:v>0</c:v>
                </c:pt>
                <c:pt idx="1">
                  <c:v>3</c:v>
                </c:pt>
                <c:pt idx="2">
                  <c:v>0</c:v>
                </c:pt>
                <c:pt idx="3">
                  <c:v>0</c:v>
                </c:pt>
              </c:numCache>
            </c:numRef>
          </c:val>
          <c:extLst>
            <c:ext xmlns:c16="http://schemas.microsoft.com/office/drawing/2014/chart" uri="{C3380CC4-5D6E-409C-BE32-E72D297353CC}">
              <c16:uniqueId val="{00000007-7FBC-444C-B0E7-E92084E3A669}"/>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5.5'!$B$54</c:f>
              <c:strCache>
                <c:ptCount val="1"/>
                <c:pt idx="0">
                  <c:v>Onshore wind</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CBC9-4EC6-8530-E8D14F331E04}"/>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CBC9-4EC6-8530-E8D14F331E04}"/>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CBC9-4EC6-8530-E8D14F331E04}"/>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C9-4EC6-8530-E8D14F331E0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5.5'!$C$54:$F$54</c:f>
              <c:numCache>
                <c:formatCode>General</c:formatCode>
                <c:ptCount val="4"/>
                <c:pt idx="0">
                  <c:v>0</c:v>
                </c:pt>
                <c:pt idx="1">
                  <c:v>34</c:v>
                </c:pt>
                <c:pt idx="2">
                  <c:v>46</c:v>
                </c:pt>
                <c:pt idx="3">
                  <c:v>3</c:v>
                </c:pt>
              </c:numCache>
            </c:numRef>
          </c:val>
          <c:extLst>
            <c:ext xmlns:c16="http://schemas.microsoft.com/office/drawing/2014/chart" uri="{C3380CC4-5D6E-409C-BE32-E72D297353CC}">
              <c16:uniqueId val="{00000007-CBC9-4EC6-8530-E8D14F331E04}"/>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5.5'!$B$55</c:f>
              <c:strCache>
                <c:ptCount val="1"/>
                <c:pt idx="0">
                  <c:v>Photovoltaic</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6EDD-4F65-B826-518B32572A49}"/>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6EDD-4F65-B826-518B32572A49}"/>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6EDD-4F65-B826-518B32572A49}"/>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DD-4F65-B826-518B32572A4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5.5'!$C$55:$F$55</c:f>
              <c:numCache>
                <c:formatCode>General</c:formatCode>
                <c:ptCount val="4"/>
                <c:pt idx="0">
                  <c:v>0</c:v>
                </c:pt>
                <c:pt idx="1">
                  <c:v>33</c:v>
                </c:pt>
                <c:pt idx="2">
                  <c:v>45</c:v>
                </c:pt>
                <c:pt idx="3">
                  <c:v>14</c:v>
                </c:pt>
              </c:numCache>
            </c:numRef>
          </c:val>
          <c:extLst>
            <c:ext xmlns:c16="http://schemas.microsoft.com/office/drawing/2014/chart" uri="{C3380CC4-5D6E-409C-BE32-E72D297353CC}">
              <c16:uniqueId val="{00000007-6EDD-4F65-B826-518B32572A49}"/>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6851138128577"/>
          <c:y val="4.1436464088397788E-2"/>
          <c:w val="0.75256032402911388"/>
          <c:h val="0.62158821684900012"/>
        </c:manualLayout>
      </c:layout>
      <c:barChart>
        <c:barDir val="col"/>
        <c:grouping val="stacked"/>
        <c:varyColors val="0"/>
        <c:ser>
          <c:idx val="0"/>
          <c:order val="0"/>
          <c:tx>
            <c:strRef>
              <c:f>'Fig 5.5'!$B$56</c:f>
              <c:strCache>
                <c:ptCount val="1"/>
                <c:pt idx="0">
                  <c:v>Sewage gas</c:v>
                </c:pt>
              </c:strCache>
            </c:strRef>
          </c:tx>
          <c:spPr>
            <a:solidFill>
              <a:srgbClr val="079448"/>
            </a:solidFill>
            <a:ln w="3175">
              <a:solidFill>
                <a:sysClr val="windowText" lastClr="000000"/>
              </a:solidFill>
            </a:ln>
            <a:effectLst/>
          </c:spPr>
          <c:invertIfNegative val="0"/>
          <c:dPt>
            <c:idx val="1"/>
            <c:invertIfNegative val="0"/>
            <c:bubble3D val="0"/>
            <c:spPr>
              <a:solidFill>
                <a:srgbClr val="2363AF"/>
              </a:solidFill>
              <a:ln w="3175">
                <a:solidFill>
                  <a:sysClr val="windowText" lastClr="000000"/>
                </a:solidFill>
              </a:ln>
              <a:effectLst/>
            </c:spPr>
            <c:extLst>
              <c:ext xmlns:c16="http://schemas.microsoft.com/office/drawing/2014/chart" uri="{C3380CC4-5D6E-409C-BE32-E72D297353CC}">
                <c16:uniqueId val="{00000001-96E3-49A9-8145-1033C9F8EFB7}"/>
              </c:ext>
            </c:extLst>
          </c:dPt>
          <c:dPt>
            <c:idx val="2"/>
            <c:invertIfNegative val="0"/>
            <c:bubble3D val="0"/>
            <c:spPr>
              <a:solidFill>
                <a:srgbClr val="9E712A"/>
              </a:solidFill>
              <a:ln w="3175">
                <a:solidFill>
                  <a:sysClr val="windowText" lastClr="000000"/>
                </a:solidFill>
              </a:ln>
              <a:effectLst/>
            </c:spPr>
            <c:extLst>
              <c:ext xmlns:c16="http://schemas.microsoft.com/office/drawing/2014/chart" uri="{C3380CC4-5D6E-409C-BE32-E72D297353CC}">
                <c16:uniqueId val="{00000003-96E3-49A9-8145-1033C9F8EFB7}"/>
              </c:ext>
            </c:extLst>
          </c:dPt>
          <c:dPt>
            <c:idx val="3"/>
            <c:invertIfNegative val="0"/>
            <c:bubble3D val="0"/>
            <c:spPr>
              <a:solidFill>
                <a:srgbClr val="CD1F45"/>
              </a:solidFill>
              <a:ln w="3175">
                <a:solidFill>
                  <a:sysClr val="windowText" lastClr="000000"/>
                </a:solidFill>
              </a:ln>
              <a:effectLst/>
            </c:spPr>
            <c:extLst>
              <c:ext xmlns:c16="http://schemas.microsoft.com/office/drawing/2014/chart" uri="{C3380CC4-5D6E-409C-BE32-E72D297353CC}">
                <c16:uniqueId val="{00000005-96E3-49A9-8145-1033C9F8EFB7}"/>
              </c:ext>
            </c:extLst>
          </c:dPt>
          <c:dLbls>
            <c:dLbl>
              <c:idx val="0"/>
              <c:layout>
                <c:manualLayout>
                  <c:x val="0"/>
                  <c:y val="-3.736150790885652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E3-49A9-8145-1033C9F8EFB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5.5'!$C$49:$F$49</c:f>
              <c:strCache>
                <c:ptCount val="4"/>
                <c:pt idx="0">
                  <c:v>Good</c:v>
                </c:pt>
                <c:pt idx="1">
                  <c:v>Satisfactory</c:v>
                </c:pt>
                <c:pt idx="2">
                  <c:v>Weak</c:v>
                </c:pt>
                <c:pt idx="3">
                  <c:v>Unsatisfactory</c:v>
                </c:pt>
              </c:strCache>
            </c:strRef>
          </c:cat>
          <c:val>
            <c:numRef>
              <c:f>'Fig 5.5'!$C$56:$F$56</c:f>
              <c:numCache>
                <c:formatCode>General</c:formatCode>
                <c:ptCount val="4"/>
                <c:pt idx="0">
                  <c:v>0</c:v>
                </c:pt>
                <c:pt idx="1">
                  <c:v>1</c:v>
                </c:pt>
                <c:pt idx="2">
                  <c:v>14</c:v>
                </c:pt>
                <c:pt idx="3">
                  <c:v>4</c:v>
                </c:pt>
              </c:numCache>
            </c:numRef>
          </c:val>
          <c:extLst>
            <c:ext xmlns:c16="http://schemas.microsoft.com/office/drawing/2014/chart" uri="{C3380CC4-5D6E-409C-BE32-E72D297353CC}">
              <c16:uniqueId val="{00000007-96E3-49A9-8145-1033C9F8EFB7}"/>
            </c:ext>
          </c:extLst>
        </c:ser>
        <c:dLbls>
          <c:dLblPos val="ctr"/>
          <c:showLegendKey val="0"/>
          <c:showVal val="1"/>
          <c:showCatName val="0"/>
          <c:showSerName val="0"/>
          <c:showPercent val="0"/>
          <c:showBubbleSize val="0"/>
        </c:dLbls>
        <c:gapWidth val="50"/>
        <c:overlap val="100"/>
        <c:axId val="1678408671"/>
        <c:axId val="1678411167"/>
        <c:extLst/>
      </c:barChart>
      <c:catAx>
        <c:axId val="1678408671"/>
        <c:scaling>
          <c:orientation val="minMax"/>
        </c:scaling>
        <c:delete val="0"/>
        <c:axPos val="b"/>
        <c:numFmt formatCode="General" sourceLinked="1"/>
        <c:majorTickMark val="out"/>
        <c:minorTickMark val="none"/>
        <c:tickLblPos val="nextTo"/>
        <c:spPr>
          <a:noFill/>
          <a:ln w="6350"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11167"/>
        <c:crosses val="autoZero"/>
        <c:auto val="1"/>
        <c:lblAlgn val="ctr"/>
        <c:lblOffset val="100"/>
        <c:noMultiLvlLbl val="0"/>
      </c:catAx>
      <c:valAx>
        <c:axId val="1678411167"/>
        <c:scaling>
          <c:orientation val="minMax"/>
        </c:scaling>
        <c:delete val="0"/>
        <c:axPos val="l"/>
        <c:majorGridlines>
          <c:spPr>
            <a:ln w="6350"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Audits</a:t>
                </a:r>
              </a:p>
            </c:rich>
          </c:tx>
          <c:layout>
            <c:manualLayout>
              <c:xMode val="edge"/>
              <c:yMode val="edge"/>
              <c:x val="3.5298716821515821E-2"/>
              <c:y val="8.53681799177757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6350">
            <a:solidFill>
              <a:sysClr val="windowText" lastClr="000000">
                <a:lumMod val="50000"/>
                <a:lumOff val="50000"/>
              </a:sys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7840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pieChart>
        <c:varyColors val="1"/>
        <c:ser>
          <c:idx val="0"/>
          <c:order val="0"/>
          <c:tx>
            <c:strRef>
              <c:f>'Fig 6.2'!$C$25</c:f>
              <c:strCache>
                <c:ptCount val="1"/>
                <c:pt idx="0">
                  <c:v>Number of stations</c:v>
                </c:pt>
              </c:strCache>
            </c:strRef>
          </c:tx>
          <c:dPt>
            <c:idx val="0"/>
            <c:bubble3D val="0"/>
            <c:spPr>
              <a:solidFill>
                <a:srgbClr val="A1ABB2"/>
              </a:solidFill>
              <a:ln w="19050">
                <a:solidFill>
                  <a:schemeClr val="lt1"/>
                </a:solidFill>
              </a:ln>
              <a:effectLst/>
            </c:spPr>
            <c:extLst>
              <c:ext xmlns:c16="http://schemas.microsoft.com/office/drawing/2014/chart" uri="{C3380CC4-5D6E-409C-BE32-E72D297353CC}">
                <c16:uniqueId val="{00000001-3727-49FA-AB69-580003FA61F8}"/>
              </c:ext>
            </c:extLst>
          </c:dPt>
          <c:dPt>
            <c:idx val="1"/>
            <c:bubble3D val="0"/>
            <c:spPr>
              <a:solidFill>
                <a:srgbClr val="45286F"/>
              </a:solidFill>
              <a:ln w="19050">
                <a:solidFill>
                  <a:schemeClr val="lt1"/>
                </a:solidFill>
              </a:ln>
              <a:effectLst/>
            </c:spPr>
            <c:extLst>
              <c:ext xmlns:c16="http://schemas.microsoft.com/office/drawing/2014/chart" uri="{C3380CC4-5D6E-409C-BE32-E72D297353CC}">
                <c16:uniqueId val="{00000003-3727-49FA-AB69-580003FA61F8}"/>
              </c:ext>
            </c:extLst>
          </c:dPt>
          <c:dLbls>
            <c:dLbl>
              <c:idx val="0"/>
              <c:layout>
                <c:manualLayout>
                  <c:x val="9.2160138636516592E-2"/>
                  <c:y val="7.2581040210313572E-2"/>
                </c:manualLayout>
              </c:layout>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428792650461957"/>
                      <c:h val="0.16589952048071671"/>
                    </c:manualLayout>
                  </c15:layout>
                </c:ext>
                <c:ext xmlns:c16="http://schemas.microsoft.com/office/drawing/2014/chart" uri="{C3380CC4-5D6E-409C-BE32-E72D297353CC}">
                  <c16:uniqueId val="{00000001-3727-49FA-AB69-580003FA61F8}"/>
                </c:ext>
              </c:extLst>
            </c:dLbl>
            <c:dLbl>
              <c:idx val="1"/>
              <c:layout>
                <c:manualLayout>
                  <c:x val="0.10923424912567641"/>
                  <c:y val="-0.19409010172775706"/>
                </c:manualLayout>
              </c:layout>
              <c:spPr>
                <a:solidFill>
                  <a:srgbClr val="45286F"/>
                </a:solid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27-49FA-AB69-580003FA61F8}"/>
                </c:ext>
              </c:extLst>
            </c:dLbl>
            <c:spPr>
              <a:solidFill>
                <a:srgbClr val="45286F"/>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6.2'!$B$26:$B$27</c:f>
              <c:strCache>
                <c:ptCount val="2"/>
                <c:pt idx="0">
                  <c:v>Non-Micro</c:v>
                </c:pt>
                <c:pt idx="1">
                  <c:v>Micro</c:v>
                </c:pt>
              </c:strCache>
            </c:strRef>
          </c:cat>
          <c:val>
            <c:numRef>
              <c:f>'Fig 6.2'!$C$26:$C$27</c:f>
              <c:numCache>
                <c:formatCode>_-* #,##0_-;\-* #,##0_-;_-* "-"??_-;_-@_-</c:formatCode>
                <c:ptCount val="2"/>
                <c:pt idx="0">
                  <c:v>3917</c:v>
                </c:pt>
                <c:pt idx="1">
                  <c:v>22682</c:v>
                </c:pt>
              </c:numCache>
            </c:numRef>
          </c:val>
          <c:extLst>
            <c:ext xmlns:c16="http://schemas.microsoft.com/office/drawing/2014/chart" uri="{C3380CC4-5D6E-409C-BE32-E72D297353CC}">
              <c16:uniqueId val="{00000004-3727-49FA-AB69-580003FA61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US" sz="1100">
                <a:solidFill>
                  <a:sysClr val="windowText" lastClr="000000"/>
                </a:solidFill>
                <a:latin typeface="Verdana" panose="020B0604030504040204" pitchFamily="34" charset="0"/>
                <a:ea typeface="Verdana" panose="020B0604030504040204" pitchFamily="34" charset="0"/>
              </a:rPr>
              <a:t>Installed capacity</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pieChart>
        <c:varyColors val="1"/>
        <c:ser>
          <c:idx val="0"/>
          <c:order val="0"/>
          <c:tx>
            <c:strRef>
              <c:f>'Fig 6.2'!$G$25</c:f>
              <c:strCache>
                <c:ptCount val="1"/>
                <c:pt idx="0">
                  <c:v>Capacity (MW)</c:v>
                </c:pt>
              </c:strCache>
            </c:strRef>
          </c:tx>
          <c:dPt>
            <c:idx val="0"/>
            <c:bubble3D val="0"/>
            <c:spPr>
              <a:solidFill>
                <a:srgbClr val="A1ABB2"/>
              </a:solidFill>
              <a:ln w="19050">
                <a:solidFill>
                  <a:schemeClr val="lt1"/>
                </a:solidFill>
              </a:ln>
              <a:effectLst/>
            </c:spPr>
            <c:extLst>
              <c:ext xmlns:c16="http://schemas.microsoft.com/office/drawing/2014/chart" uri="{C3380CC4-5D6E-409C-BE32-E72D297353CC}">
                <c16:uniqueId val="{00000001-DECD-449D-9450-2DF28EC3DEE1}"/>
              </c:ext>
            </c:extLst>
          </c:dPt>
          <c:dPt>
            <c:idx val="1"/>
            <c:bubble3D val="0"/>
            <c:spPr>
              <a:solidFill>
                <a:srgbClr val="45286F"/>
              </a:solidFill>
              <a:ln w="19050">
                <a:solidFill>
                  <a:schemeClr val="lt1"/>
                </a:solidFill>
              </a:ln>
              <a:effectLst/>
            </c:spPr>
            <c:extLst>
              <c:ext xmlns:c16="http://schemas.microsoft.com/office/drawing/2014/chart" uri="{C3380CC4-5D6E-409C-BE32-E72D297353CC}">
                <c16:uniqueId val="{00000003-DECD-449D-9450-2DF28EC3DEE1}"/>
              </c:ext>
            </c:extLst>
          </c:dPt>
          <c:dLbls>
            <c:dLbl>
              <c:idx val="0"/>
              <c:layout>
                <c:manualLayout>
                  <c:x val="-2.6487534000156424E-2"/>
                  <c:y val="-0.21197727771659558"/>
                </c:manualLayout>
              </c:layout>
              <c:numFmt formatCode="0.00%" sourceLinked="0"/>
              <c:spPr>
                <a:solidFill>
                  <a:srgbClr val="A1ABB2"/>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149722350160332"/>
                      <c:h val="0.16589952048071671"/>
                    </c:manualLayout>
                  </c15:layout>
                </c:ext>
                <c:ext xmlns:c16="http://schemas.microsoft.com/office/drawing/2014/chart" uri="{C3380CC4-5D6E-409C-BE32-E72D297353CC}">
                  <c16:uniqueId val="{00000001-DECD-449D-9450-2DF28EC3DEE1}"/>
                </c:ext>
              </c:extLst>
            </c:dLbl>
            <c:dLbl>
              <c:idx val="1"/>
              <c:layout>
                <c:manualLayout>
                  <c:x val="-0.16897047960859629"/>
                  <c:y val="1.0368720030044794E-2"/>
                </c:manualLayout>
              </c:layout>
              <c:numFmt formatCode="0.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CD-449D-9450-2DF28EC3DEE1}"/>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'Fig 6.2'!$F$26:$F$27</c:f>
              <c:strCache>
                <c:ptCount val="2"/>
                <c:pt idx="0">
                  <c:v>Non-Micro</c:v>
                </c:pt>
                <c:pt idx="1">
                  <c:v>Micro</c:v>
                </c:pt>
              </c:strCache>
            </c:strRef>
          </c:cat>
          <c:val>
            <c:numRef>
              <c:f>'Fig 6.2'!$G$26:$G$27</c:f>
              <c:numCache>
                <c:formatCode>_(* #,##0.00_);_(* \(#,##0.00\);_(* "-"??_);_(@_)</c:formatCode>
                <c:ptCount val="2"/>
                <c:pt idx="0">
                  <c:v>35254.270549363726</c:v>
                </c:pt>
                <c:pt idx="1">
                  <c:v>121.52864999999873</c:v>
                </c:pt>
              </c:numCache>
            </c:numRef>
          </c:val>
          <c:extLst>
            <c:ext xmlns:c16="http://schemas.microsoft.com/office/drawing/2014/chart" uri="{C3380CC4-5D6E-409C-BE32-E72D297353CC}">
              <c16:uniqueId val="{00000004-DECD-449D-9450-2DF28EC3DEE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2608964188668"/>
          <c:y val="4.6102263202011738E-2"/>
          <c:w val="0.76263036896275083"/>
          <c:h val="0.72193273095682819"/>
        </c:manualLayout>
      </c:layout>
      <c:barChart>
        <c:barDir val="col"/>
        <c:grouping val="clustered"/>
        <c:varyColors val="0"/>
        <c:ser>
          <c:idx val="0"/>
          <c:order val="2"/>
          <c:tx>
            <c:strRef>
              <c:f>'Fig 6.3'!$C$27</c:f>
              <c:strCache>
                <c:ptCount val="1"/>
                <c:pt idx="0">
                  <c:v>Capacity (MW)</c:v>
                </c:pt>
              </c:strCache>
            </c:strRef>
          </c:tx>
          <c:spPr>
            <a:solidFill>
              <a:srgbClr val="45286F"/>
            </a:solidFill>
            <a:ln w="3175">
              <a:solidFill>
                <a:sysClr val="windowText" lastClr="000000"/>
              </a:solidFill>
            </a:ln>
            <a:effectLst/>
          </c:spPr>
          <c:invertIfNegative val="0"/>
          <c:dLbls>
            <c:dLbl>
              <c:idx val="0"/>
              <c:tx>
                <c:rich>
                  <a:bodyPr/>
                  <a:lstStyle/>
                  <a:p>
                    <a:fld id="{F4B58AC7-6712-497A-8612-9DEE470874BD}" type="VALUE">
                      <a:rPr lang="en-US" sz="700">
                        <a:solidFill>
                          <a:sysClr val="windowText" lastClr="000000"/>
                        </a:solidFill>
                      </a:rPr>
                      <a:pPr/>
                      <a:t>[VALUE]</a:t>
                    </a:fld>
                    <a:r>
                      <a:rPr lang="en-US" sz="700">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E93-41FD-9865-207CCB42BC78}"/>
                </c:ext>
              </c:extLst>
            </c:dLbl>
            <c:dLbl>
              <c:idx val="1"/>
              <c:tx>
                <c:rich>
                  <a:bodyPr/>
                  <a:lstStyle/>
                  <a:p>
                    <a:fld id="{1537D82E-0C0D-4C39-8ED7-08344ED44581}" type="VALUE">
                      <a:rPr lang="en-US" sz="700">
                        <a:solidFill>
                          <a:sysClr val="windowText" lastClr="000000"/>
                        </a:solidFill>
                      </a:rPr>
                      <a:pPr/>
                      <a:t>[VALUE]</a:t>
                    </a:fld>
                    <a:r>
                      <a:rPr lang="en-US" sz="700">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93-41FD-9865-207CCB42BC78}"/>
                </c:ext>
              </c:extLst>
            </c:dLbl>
            <c:dLbl>
              <c:idx val="2"/>
              <c:tx>
                <c:rich>
                  <a:bodyPr/>
                  <a:lstStyle/>
                  <a:p>
                    <a:fld id="{E43C1BF9-4CFA-453F-9A41-1512740FD891}" type="VALUE">
                      <a:rPr lang="en-US" sz="700">
                        <a:solidFill>
                          <a:sysClr val="windowText" lastClr="000000"/>
                        </a:solidFill>
                      </a:rPr>
                      <a:pPr/>
                      <a:t>[VALUE]</a:t>
                    </a:fld>
                    <a:r>
                      <a:rPr lang="en-US" sz="700">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E93-41FD-9865-207CCB42BC78}"/>
                </c:ext>
              </c:extLst>
            </c:dLbl>
            <c:dLbl>
              <c:idx val="3"/>
              <c:tx>
                <c:rich>
                  <a:bodyPr/>
                  <a:lstStyle/>
                  <a:p>
                    <a:fld id="{F075F57D-29DA-4005-8245-0649E9F4B41B}" type="VALUE">
                      <a:rPr lang="en-US" sz="700">
                        <a:solidFill>
                          <a:sysClr val="windowText" lastClr="000000"/>
                        </a:solidFill>
                      </a:rPr>
                      <a:pPr/>
                      <a:t>[VALUE]</a:t>
                    </a:fld>
                    <a:r>
                      <a:rPr lang="en-US" sz="700">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93-41FD-9865-207CCB42BC78}"/>
                </c:ext>
              </c:extLst>
            </c:dLbl>
            <c:dLbl>
              <c:idx val="4"/>
              <c:tx>
                <c:rich>
                  <a:bodyPr/>
                  <a:lstStyle/>
                  <a:p>
                    <a:fld id="{20E62562-866F-49AF-94E5-A67DC51ABEAD}" type="VALUE">
                      <a:rPr lang="en-US">
                        <a:solidFill>
                          <a:sysClr val="windowText" lastClr="000000"/>
                        </a:solidFill>
                      </a:rPr>
                      <a:pPr/>
                      <a:t>[VALUE]</a:t>
                    </a:fld>
                    <a:r>
                      <a:rPr lang="en-US">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E93-41FD-9865-207CCB42BC78}"/>
                </c:ext>
              </c:extLst>
            </c:dLbl>
            <c:dLbl>
              <c:idx val="5"/>
              <c:tx>
                <c:rich>
                  <a:bodyPr/>
                  <a:lstStyle/>
                  <a:p>
                    <a:fld id="{9DD7BC0F-2225-4BF3-AB83-91EFF017236C}" type="VALUE">
                      <a:rPr lang="en-US">
                        <a:solidFill>
                          <a:sysClr val="windowText" lastClr="000000"/>
                        </a:solidFill>
                      </a:rPr>
                      <a:pPr/>
                      <a:t>[VALUE]</a:t>
                    </a:fld>
                    <a:r>
                      <a:rPr lang="en-US">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93-41FD-9865-207CCB42BC78}"/>
                </c:ext>
              </c:extLst>
            </c:dLbl>
            <c:dLbl>
              <c:idx val="6"/>
              <c:tx>
                <c:rich>
                  <a:bodyPr/>
                  <a:lstStyle/>
                  <a:p>
                    <a:fld id="{08FF3F2E-A3EB-40F4-B2F0-50F22BAB4F82}" type="VALUE">
                      <a:rPr lang="en-US">
                        <a:solidFill>
                          <a:sysClr val="windowText" lastClr="000000"/>
                        </a:solidFill>
                      </a:rPr>
                      <a:pPr/>
                      <a:t>[VALUE]</a:t>
                    </a:fld>
                    <a:r>
                      <a:rPr lang="en-US">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E93-41FD-9865-207CCB42BC78}"/>
                </c:ext>
              </c:extLst>
            </c:dLbl>
            <c:dLbl>
              <c:idx val="7"/>
              <c:tx>
                <c:rich>
                  <a:bodyPr/>
                  <a:lstStyle/>
                  <a:p>
                    <a:fld id="{A0E37474-CC2C-4741-92ED-D1980B41C65C}" type="VALUE">
                      <a:rPr lang="en-US">
                        <a:solidFill>
                          <a:sysClr val="windowText" lastClr="000000"/>
                        </a:solidFill>
                      </a:rPr>
                      <a:pPr/>
                      <a:t>[VALUE]</a:t>
                    </a:fld>
                    <a:r>
                      <a:rPr lang="en-US">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E93-41FD-9865-207CCB42BC78}"/>
                </c:ext>
              </c:extLst>
            </c:dLbl>
            <c:dLbl>
              <c:idx val="8"/>
              <c:tx>
                <c:rich>
                  <a:bodyPr/>
                  <a:lstStyle/>
                  <a:p>
                    <a:fld id="{9B64D1E4-7821-4623-8818-CAA9EA511999}" type="VALUE">
                      <a:rPr lang="en-US">
                        <a:solidFill>
                          <a:sysClr val="windowText" lastClr="000000"/>
                        </a:solidFill>
                      </a:rPr>
                      <a:pPr/>
                      <a:t>[VALUE]</a:t>
                    </a:fld>
                    <a:r>
                      <a:rPr lang="en-US">
                        <a:solidFill>
                          <a:sysClr val="windowText" lastClr="000000"/>
                        </a:solidFill>
                      </a:rPr>
                      <a:t>MW</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E93-41FD-9865-207CCB42BC78}"/>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6.3'!$B$28:$B$36</c:f>
              <c:strCache>
                <c:ptCount val="9"/>
                <c:pt idx="0">
                  <c:v>Onshore wind</c:v>
                </c:pt>
                <c:pt idx="1">
                  <c:v>Fuelled</c:v>
                </c:pt>
                <c:pt idx="2">
                  <c:v>Offshore wind</c:v>
                </c:pt>
                <c:pt idx="3">
                  <c:v>Solar PV</c:v>
                </c:pt>
                <c:pt idx="4">
                  <c:v>Landfill gas</c:v>
                </c:pt>
                <c:pt idx="5">
                  <c:v>Hydro</c:v>
                </c:pt>
                <c:pt idx="6">
                  <c:v>Sewage gas</c:v>
                </c:pt>
                <c:pt idx="7">
                  <c:v>Tidal stream</c:v>
                </c:pt>
                <c:pt idx="8">
                  <c:v>Wave Power</c:v>
                </c:pt>
              </c:strCache>
            </c:strRef>
          </c:cat>
          <c:val>
            <c:numRef>
              <c:f>'Fig 6.3'!$C$28:$C$36</c:f>
              <c:numCache>
                <c:formatCode>_(* #,##0.00_);_(* \(#,##0.00\);_(* "-"??_);_(@_)</c:formatCode>
                <c:ptCount val="9"/>
                <c:pt idx="0">
                  <c:v>12215.996809999897</c:v>
                </c:pt>
                <c:pt idx="1">
                  <c:v>8891.7640993637251</c:v>
                </c:pt>
                <c:pt idx="2">
                  <c:v>6558.0374199999997</c:v>
                </c:pt>
                <c:pt idx="3">
                  <c:v>5805.7908999999818</c:v>
                </c:pt>
                <c:pt idx="4">
                  <c:v>835.2141499999999</c:v>
                </c:pt>
                <c:pt idx="5">
                  <c:v>723.21612000000096</c:v>
                </c:pt>
                <c:pt idx="6">
                  <c:v>207.21705000000009</c:v>
                </c:pt>
                <c:pt idx="7">
                  <c:v>13.680999999999999</c:v>
                </c:pt>
                <c:pt idx="8">
                  <c:v>3.3529999999999998</c:v>
                </c:pt>
              </c:numCache>
            </c:numRef>
          </c:val>
          <c:extLst>
            <c:ext xmlns:c16="http://schemas.microsoft.com/office/drawing/2014/chart" uri="{C3380CC4-5D6E-409C-BE32-E72D297353CC}">
              <c16:uniqueId val="{00000009-1E93-41FD-9865-207CCB42BC78}"/>
            </c:ext>
          </c:extLst>
        </c:ser>
        <c:ser>
          <c:idx val="2"/>
          <c:order val="3"/>
          <c:tx>
            <c:v>Filler</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6.3'!$B$28:$B$36</c:f>
              <c:strCache>
                <c:ptCount val="9"/>
                <c:pt idx="0">
                  <c:v>Onshore wind</c:v>
                </c:pt>
                <c:pt idx="1">
                  <c:v>Fuelled</c:v>
                </c:pt>
                <c:pt idx="2">
                  <c:v>Offshore wind</c:v>
                </c:pt>
                <c:pt idx="3">
                  <c:v>Solar PV</c:v>
                </c:pt>
                <c:pt idx="4">
                  <c:v>Landfill gas</c:v>
                </c:pt>
                <c:pt idx="5">
                  <c:v>Hydro</c:v>
                </c:pt>
                <c:pt idx="6">
                  <c:v>Sewage gas</c:v>
                </c:pt>
                <c:pt idx="7">
                  <c:v>Tidal stream</c:v>
                </c:pt>
                <c:pt idx="8">
                  <c:v>Wave Power</c:v>
                </c:pt>
              </c:strCache>
            </c:strRef>
          </c:cat>
          <c:val>
            <c:numRef>
              <c:f>'Fig 6.3'!$E$27:$E$35</c:f>
              <c:numCache>
                <c:formatCode>General</c:formatCode>
                <c:ptCount val="9"/>
              </c:numCache>
            </c:numRef>
          </c:val>
          <c:extLst>
            <c:ext xmlns:c16="http://schemas.microsoft.com/office/drawing/2014/chart" uri="{C3380CC4-5D6E-409C-BE32-E72D297353CC}">
              <c16:uniqueId val="{0000000A-1E93-41FD-9865-207CCB42BC78}"/>
            </c:ext>
          </c:extLst>
        </c:ser>
        <c:dLbls>
          <c:dLblPos val="inEnd"/>
          <c:showLegendKey val="0"/>
          <c:showVal val="1"/>
          <c:showCatName val="0"/>
          <c:showSerName val="0"/>
          <c:showPercent val="0"/>
          <c:showBubbleSize val="0"/>
        </c:dLbls>
        <c:gapWidth val="50"/>
        <c:axId val="673202488"/>
        <c:axId val="673206096"/>
      </c:barChart>
      <c:barChart>
        <c:barDir val="col"/>
        <c:grouping val="clustered"/>
        <c:varyColors val="0"/>
        <c:ser>
          <c:idx val="3"/>
          <c:order val="0"/>
          <c:tx>
            <c:v>Filler</c:v>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6.3'!$D$28:$D$36</c:f>
              <c:numCache>
                <c:formatCode>#,##0</c:formatCode>
                <c:ptCount val="9"/>
                <c:pt idx="0">
                  <c:v>1403</c:v>
                </c:pt>
                <c:pt idx="1">
                  <c:v>676</c:v>
                </c:pt>
                <c:pt idx="2">
                  <c:v>36</c:v>
                </c:pt>
                <c:pt idx="3">
                  <c:v>921</c:v>
                </c:pt>
                <c:pt idx="4">
                  <c:v>434</c:v>
                </c:pt>
                <c:pt idx="5">
                  <c:v>259</c:v>
                </c:pt>
                <c:pt idx="6">
                  <c:v>174</c:v>
                </c:pt>
                <c:pt idx="7">
                  <c:v>9</c:v>
                </c:pt>
                <c:pt idx="8">
                  <c:v>5</c:v>
                </c:pt>
              </c:numCache>
            </c:numRef>
          </c:cat>
          <c:val>
            <c:numRef>
              <c:f>'Fig 6.3'!$E$27:$E$35</c:f>
              <c:numCache>
                <c:formatCode>General</c:formatCode>
                <c:ptCount val="9"/>
              </c:numCache>
            </c:numRef>
          </c:val>
          <c:extLst>
            <c:ext xmlns:c16="http://schemas.microsoft.com/office/drawing/2014/chart" uri="{C3380CC4-5D6E-409C-BE32-E72D297353CC}">
              <c16:uniqueId val="{0000000B-1E93-41FD-9865-207CCB42BC78}"/>
            </c:ext>
          </c:extLst>
        </c:ser>
        <c:ser>
          <c:idx val="1"/>
          <c:order val="1"/>
          <c:tx>
            <c:strRef>
              <c:f>'Fig 6.3'!$D$27</c:f>
              <c:strCache>
                <c:ptCount val="1"/>
                <c:pt idx="0">
                  <c:v>Number of stations</c:v>
                </c:pt>
              </c:strCache>
            </c:strRef>
          </c:tx>
          <c:spPr>
            <a:solidFill>
              <a:srgbClr val="A1ABB2"/>
            </a:solidFill>
            <a:ln w="3175">
              <a:solidFill>
                <a:sysClr val="windowText" lastClr="000000"/>
              </a:solid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6.3'!$D$28:$D$36</c:f>
              <c:numCache>
                <c:formatCode>#,##0</c:formatCode>
                <c:ptCount val="9"/>
                <c:pt idx="0">
                  <c:v>1403</c:v>
                </c:pt>
                <c:pt idx="1">
                  <c:v>676</c:v>
                </c:pt>
                <c:pt idx="2">
                  <c:v>36</c:v>
                </c:pt>
                <c:pt idx="3">
                  <c:v>921</c:v>
                </c:pt>
                <c:pt idx="4">
                  <c:v>434</c:v>
                </c:pt>
                <c:pt idx="5">
                  <c:v>259</c:v>
                </c:pt>
                <c:pt idx="6">
                  <c:v>174</c:v>
                </c:pt>
                <c:pt idx="7">
                  <c:v>9</c:v>
                </c:pt>
                <c:pt idx="8">
                  <c:v>5</c:v>
                </c:pt>
              </c:numCache>
            </c:numRef>
          </c:cat>
          <c:val>
            <c:numRef>
              <c:f>'Fig 6.3'!$D$28:$D$36</c:f>
              <c:numCache>
                <c:formatCode>#,##0</c:formatCode>
                <c:ptCount val="9"/>
                <c:pt idx="0">
                  <c:v>1403</c:v>
                </c:pt>
                <c:pt idx="1">
                  <c:v>676</c:v>
                </c:pt>
                <c:pt idx="2">
                  <c:v>36</c:v>
                </c:pt>
                <c:pt idx="3">
                  <c:v>921</c:v>
                </c:pt>
                <c:pt idx="4">
                  <c:v>434</c:v>
                </c:pt>
                <c:pt idx="5">
                  <c:v>259</c:v>
                </c:pt>
                <c:pt idx="6">
                  <c:v>174</c:v>
                </c:pt>
                <c:pt idx="7">
                  <c:v>9</c:v>
                </c:pt>
                <c:pt idx="8">
                  <c:v>5</c:v>
                </c:pt>
              </c:numCache>
            </c:numRef>
          </c:val>
          <c:extLst>
            <c:ext xmlns:c16="http://schemas.microsoft.com/office/drawing/2014/chart" uri="{C3380CC4-5D6E-409C-BE32-E72D297353CC}">
              <c16:uniqueId val="{0000000C-1E93-41FD-9865-207CCB42BC78}"/>
            </c:ext>
          </c:extLst>
        </c:ser>
        <c:dLbls>
          <c:dLblPos val="inEnd"/>
          <c:showLegendKey val="0"/>
          <c:showVal val="1"/>
          <c:showCatName val="0"/>
          <c:showSerName val="0"/>
          <c:showPercent val="0"/>
          <c:showBubbleSize val="0"/>
        </c:dLbls>
        <c:gapWidth val="50"/>
        <c:axId val="330596536"/>
        <c:axId val="330604736"/>
      </c:barChart>
      <c:catAx>
        <c:axId val="673202488"/>
        <c:scaling>
          <c:orientation val="minMax"/>
        </c:scaling>
        <c:delete val="0"/>
        <c:axPos val="b"/>
        <c:numFmt formatCode="_-* #,##0_-;\-* #,##0_-;_-* &quot;-&quot;??_-;_-@_-" sourceLinked="0"/>
        <c:majorTickMark val="out"/>
        <c:minorTickMark val="none"/>
        <c:tickLblPos val="nextTo"/>
        <c:spPr>
          <a:noFill/>
          <a:ln w="6350" cap="flat" cmpd="sng" algn="ctr">
            <a:solidFill>
              <a:srgbClr val="A1ABB2"/>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673206096"/>
        <c:crosses val="autoZero"/>
        <c:auto val="1"/>
        <c:lblAlgn val="ctr"/>
        <c:lblOffset val="100"/>
        <c:noMultiLvlLbl val="0"/>
      </c:catAx>
      <c:valAx>
        <c:axId val="673206096"/>
        <c:scaling>
          <c:orientation val="minMax"/>
          <c:max val="16000"/>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Capacity in MW</a:t>
                </a:r>
              </a:p>
            </c:rich>
          </c:tx>
          <c:layout>
            <c:manualLayout>
              <c:xMode val="edge"/>
              <c:yMode val="edge"/>
              <c:x val="1.8806790051845296E-3"/>
              <c:y val="0.22763594722495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A1ABB2"/>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673202488"/>
        <c:crosses val="autoZero"/>
        <c:crossBetween val="between"/>
      </c:valAx>
      <c:valAx>
        <c:axId val="33060473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Number of stations</a:t>
                </a:r>
              </a:p>
            </c:rich>
          </c:tx>
          <c:layout>
            <c:manualLayout>
              <c:xMode val="edge"/>
              <c:yMode val="edge"/>
              <c:x val="0.96441986924048062"/>
              <c:y val="0.111386004872242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rgbClr val="A1ABB2"/>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30596536"/>
        <c:crosses val="max"/>
        <c:crossBetween val="between"/>
      </c:valAx>
      <c:catAx>
        <c:axId val="330596536"/>
        <c:scaling>
          <c:orientation val="minMax"/>
        </c:scaling>
        <c:delete val="1"/>
        <c:axPos val="b"/>
        <c:numFmt formatCode="#,##0" sourceLinked="1"/>
        <c:majorTickMark val="out"/>
        <c:minorTickMark val="none"/>
        <c:tickLblPos val="nextTo"/>
        <c:crossAx val="330604736"/>
        <c:crosses val="autoZero"/>
        <c:auto val="1"/>
        <c:lblAlgn val="ctr"/>
        <c:lblOffset val="100"/>
        <c:noMultiLvlLbl val="0"/>
      </c:catAx>
      <c:spPr>
        <a:noFill/>
        <a:ln>
          <a:noFill/>
        </a:ln>
        <a:effectLst/>
      </c:spPr>
    </c:plotArea>
    <c:legend>
      <c:legendPos val="b"/>
      <c:legendEntry>
        <c:idx val="1"/>
        <c:delete val="1"/>
      </c:legendEntry>
      <c:legendEntry>
        <c:idx val="2"/>
        <c:delete val="1"/>
      </c:legendEntry>
      <c:layout>
        <c:manualLayout>
          <c:xMode val="edge"/>
          <c:yMode val="edge"/>
          <c:x val="0.28864106159383629"/>
          <c:y val="0.91044824654565737"/>
          <c:w val="0.42271773225978981"/>
          <c:h val="7.67789998498111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394192110026115E-2"/>
          <c:y val="5.4480286738351258E-2"/>
          <c:w val="0.87749806136511854"/>
          <c:h val="0.83485348694975547"/>
        </c:manualLayout>
      </c:layout>
      <c:barChart>
        <c:barDir val="col"/>
        <c:grouping val="clustered"/>
        <c:varyColors val="0"/>
        <c:ser>
          <c:idx val="3"/>
          <c:order val="0"/>
          <c:tx>
            <c:strRef>
              <c:f>'Fig 6.4'!$C$34</c:f>
              <c:strCache>
                <c:ptCount val="1"/>
                <c:pt idx="0">
                  <c:v>Capacity change (MW)</c:v>
                </c:pt>
              </c:strCache>
            </c:strRef>
          </c:tx>
          <c:spPr>
            <a:solidFill>
              <a:srgbClr val="45286F"/>
            </a:solidFill>
            <a:ln w="3175">
              <a:solidFill>
                <a:sysClr val="windowText" lastClr="000000"/>
              </a:solidFill>
            </a:ln>
            <a:effectLst/>
          </c:spPr>
          <c:invertIfNegative val="0"/>
          <c:dLbls>
            <c:dLbl>
              <c:idx val="0"/>
              <c:layout>
                <c:manualLayout>
                  <c:x val="0"/>
                  <c:y val="-3.2125984251967325E-3"/>
                </c:manualLayout>
              </c:layout>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48-4AE0-943F-1FAFD9D66B6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6.4'!$B$35:$B$38</c:f>
              <c:strCache>
                <c:ptCount val="4"/>
                <c:pt idx="0">
                  <c:v>England</c:v>
                </c:pt>
                <c:pt idx="1">
                  <c:v>Scotland</c:v>
                </c:pt>
                <c:pt idx="2">
                  <c:v>Wales</c:v>
                </c:pt>
                <c:pt idx="3">
                  <c:v>Northern Ireland</c:v>
                </c:pt>
              </c:strCache>
            </c:strRef>
          </c:cat>
          <c:val>
            <c:numRef>
              <c:f>'Fig 6.4'!$C$35:$C$38</c:f>
              <c:numCache>
                <c:formatCode>0.0</c:formatCode>
                <c:ptCount val="4"/>
                <c:pt idx="0">
                  <c:v>-47.386755999999899</c:v>
                </c:pt>
                <c:pt idx="1">
                  <c:v>-1.0561125000003813</c:v>
                </c:pt>
                <c:pt idx="2">
                  <c:v>0.91530000000011569</c:v>
                </c:pt>
                <c:pt idx="3">
                  <c:v>4.3206558208771639</c:v>
                </c:pt>
              </c:numCache>
            </c:numRef>
          </c:val>
          <c:extLst>
            <c:ext xmlns:c16="http://schemas.microsoft.com/office/drawing/2014/chart" uri="{C3380CC4-5D6E-409C-BE32-E72D297353CC}">
              <c16:uniqueId val="{00000001-C248-4AE0-943F-1FAFD9D66B6F}"/>
            </c:ext>
          </c:extLst>
        </c:ser>
        <c:ser>
          <c:idx val="1"/>
          <c:order val="1"/>
          <c:tx>
            <c:strRef>
              <c:f>'Fig 6.4'!$D$34</c:f>
              <c:strCache>
                <c:ptCount val="1"/>
                <c:pt idx="0">
                  <c:v>Stations change</c:v>
                </c:pt>
              </c:strCache>
            </c:strRef>
          </c:tx>
          <c:spPr>
            <a:solidFill>
              <a:srgbClr val="A1ABB2"/>
            </a:solidFill>
            <a:ln w="3175">
              <a:solidFill>
                <a:schemeClr val="tx1"/>
              </a:solidFill>
            </a:ln>
            <a:effectLst/>
          </c:spPr>
          <c:invertIfNegative val="0"/>
          <c:dLbls>
            <c:dLbl>
              <c:idx val="0"/>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248-4AE0-943F-1FAFD9D66B6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6.4'!$B$35:$B$38</c:f>
              <c:strCache>
                <c:ptCount val="4"/>
                <c:pt idx="0">
                  <c:v>England</c:v>
                </c:pt>
                <c:pt idx="1">
                  <c:v>Scotland</c:v>
                </c:pt>
                <c:pt idx="2">
                  <c:v>Wales</c:v>
                </c:pt>
                <c:pt idx="3">
                  <c:v>Northern Ireland</c:v>
                </c:pt>
              </c:strCache>
            </c:strRef>
          </c:cat>
          <c:val>
            <c:numRef>
              <c:f>'Fig 6.4'!$D$35:$D$38</c:f>
              <c:numCache>
                <c:formatCode>General</c:formatCode>
                <c:ptCount val="4"/>
                <c:pt idx="0">
                  <c:v>-8</c:v>
                </c:pt>
                <c:pt idx="1">
                  <c:v>1</c:v>
                </c:pt>
                <c:pt idx="2">
                  <c:v>1</c:v>
                </c:pt>
                <c:pt idx="3">
                  <c:v>23</c:v>
                </c:pt>
              </c:numCache>
            </c:numRef>
          </c:val>
          <c:extLst>
            <c:ext xmlns:c16="http://schemas.microsoft.com/office/drawing/2014/chart" uri="{C3380CC4-5D6E-409C-BE32-E72D297353CC}">
              <c16:uniqueId val="{00000003-C248-4AE0-943F-1FAFD9D66B6F}"/>
            </c:ext>
          </c:extLst>
        </c:ser>
        <c:dLbls>
          <c:dLblPos val="inEnd"/>
          <c:showLegendKey val="0"/>
          <c:showVal val="1"/>
          <c:showCatName val="0"/>
          <c:showSerName val="0"/>
          <c:showPercent val="0"/>
          <c:showBubbleSize val="0"/>
        </c:dLbls>
        <c:gapWidth val="108"/>
        <c:axId val="330596536"/>
        <c:axId val="330604736"/>
      </c:barChart>
      <c:valAx>
        <c:axId val="330604736"/>
        <c:scaling>
          <c:orientation val="minMax"/>
          <c:max val="30"/>
          <c:min val="-50"/>
        </c:scaling>
        <c:delete val="0"/>
        <c:axPos val="r"/>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a:t>Change in</a:t>
                </a:r>
                <a:r>
                  <a:rPr lang="en-GB" baseline="0"/>
                  <a:t> Capacity/</a:t>
                </a:r>
                <a:br>
                  <a:rPr lang="en-GB" baseline="0"/>
                </a:br>
                <a:r>
                  <a:rPr lang="en-GB" baseline="0"/>
                  <a:t>Number of stations</a:t>
                </a:r>
                <a:endParaRPr lang="en-GB"/>
              </a:p>
            </c:rich>
          </c:tx>
          <c:layout>
            <c:manualLayout>
              <c:xMode val="edge"/>
              <c:yMode val="edge"/>
              <c:x val="0.96976637738376015"/>
              <c:y val="0.162459176473908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30596536"/>
        <c:crosses val="max"/>
        <c:crossBetween val="between"/>
      </c:valAx>
      <c:catAx>
        <c:axId val="330596536"/>
        <c:scaling>
          <c:orientation val="minMax"/>
        </c:scaling>
        <c:delete val="0"/>
        <c:axPos val="b"/>
        <c:numFmt formatCode="General" sourceLinked="1"/>
        <c:majorTickMark val="out"/>
        <c:minorTickMark val="none"/>
        <c:tickLblPos val="high"/>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Verdana" panose="020B0604030504040204" pitchFamily="34" charset="0"/>
                <a:ea typeface="Verdana" panose="020B0604030504040204" pitchFamily="34" charset="0"/>
                <a:cs typeface="+mn-cs"/>
              </a:defRPr>
            </a:pPr>
            <a:endParaRPr lang="en-US"/>
          </a:p>
        </c:txPr>
        <c:crossAx val="330604736"/>
        <c:crosses val="autoZero"/>
        <c:auto val="1"/>
        <c:lblAlgn val="ctr"/>
        <c:lblOffset val="100"/>
        <c:noMultiLvlLbl val="0"/>
      </c:catAx>
      <c:spPr>
        <a:noFill/>
        <a:ln>
          <a:noFill/>
        </a:ln>
        <a:effectLst/>
      </c:spPr>
    </c:plotArea>
    <c:legend>
      <c:legendPos val="b"/>
      <c:layout>
        <c:manualLayout>
          <c:xMode val="edge"/>
          <c:yMode val="edge"/>
          <c:x val="0.24620442305541032"/>
          <c:y val="0.94206115801789836"/>
          <c:w val="0.5075911538891793"/>
          <c:h val="5.793884198210163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0218855218855"/>
          <c:y val="3.4192609465957993E-2"/>
          <c:w val="0.74455755024811565"/>
          <c:h val="0.77270380676099693"/>
        </c:manualLayout>
      </c:layout>
      <c:barChart>
        <c:barDir val="bar"/>
        <c:grouping val="clustered"/>
        <c:varyColors val="0"/>
        <c:ser>
          <c:idx val="0"/>
          <c:order val="0"/>
          <c:tx>
            <c:strRef>
              <c:f>'Fig 2.3'!$B$25</c:f>
              <c:strCache>
                <c:ptCount val="1"/>
                <c:pt idx="0">
                  <c:v>ROCs (Millions)</c:v>
                </c:pt>
              </c:strCache>
            </c:strRef>
          </c:tx>
          <c:spPr>
            <a:solidFill>
              <a:srgbClr val="45286F"/>
            </a:solidFill>
            <a:ln w="3175">
              <a:solidFill>
                <a:schemeClr val="tx1"/>
              </a:solidFill>
            </a:ln>
            <a:effectLst/>
          </c:spPr>
          <c:invertIfNegative val="0"/>
          <c:dLbls>
            <c:dLbl>
              <c:idx val="0"/>
              <c:tx>
                <c:rich>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fld id="{720539B3-ACE4-41B8-90BB-92259FBF0C17}" type="VALUE">
                      <a:rPr lang="en-US"/>
                      <a:pPr>
                        <a:defRPr sz="700" b="1"/>
                      </a:pPr>
                      <a:t>[VALUE]</a:t>
                    </a:fld>
                    <a:r>
                      <a:rPr lang="en-US"/>
                      <a:t>m</a:t>
                    </a:r>
                  </a:p>
                </c:rich>
              </c:tx>
              <c:numFmt formatCode="#,##0.0" sourceLinked="0"/>
              <c:spPr>
                <a:solidFill>
                  <a:schemeClr val="bg1"/>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C75-44C3-874E-6C84C2B1C971}"/>
                </c:ext>
              </c:extLst>
            </c:dLbl>
            <c:dLbl>
              <c:idx val="1"/>
              <c:tx>
                <c:rich>
                  <a:bodyPr/>
                  <a:lstStyle/>
                  <a:p>
                    <a:fld id="{A20B920A-DC53-4CDB-BA81-6543498AE09A}" type="VALUE">
                      <a:rPr lang="en-US"/>
                      <a:pPr/>
                      <a:t>[VALUE]</a:t>
                    </a:fld>
                    <a:r>
                      <a:rPr lang="en-US"/>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75-44C3-874E-6C84C2B1C971}"/>
                </c:ext>
              </c:extLst>
            </c:dLbl>
            <c:dLbl>
              <c:idx val="2"/>
              <c:tx>
                <c:rich>
                  <a:bodyPr/>
                  <a:lstStyle/>
                  <a:p>
                    <a:fld id="{D1C1A51C-413B-48C3-A2DF-83496727CDF5}" type="VALUE">
                      <a:rPr lang="en-US"/>
                      <a:pPr/>
                      <a:t>[VALUE]</a:t>
                    </a:fld>
                    <a:r>
                      <a:rPr lang="en-US"/>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C75-44C3-874E-6C84C2B1C971}"/>
                </c:ext>
              </c:extLst>
            </c:dLbl>
            <c:dLbl>
              <c:idx val="3"/>
              <c:tx>
                <c:rich>
                  <a:bodyPr/>
                  <a:lstStyle/>
                  <a:p>
                    <a:fld id="{35F3595C-C814-408B-A1C7-B67710E64908}" type="VALUE">
                      <a:rPr lang="en-US">
                        <a:solidFill>
                          <a:sysClr val="windowText" lastClr="000000"/>
                        </a:solidFill>
                      </a:rPr>
                      <a:pPr/>
                      <a:t>[VALUE]</a:t>
                    </a:fld>
                    <a:r>
                      <a:rPr lang="en-US">
                        <a:solidFill>
                          <a:sysClr val="windowText" lastClr="000000"/>
                        </a:solidFill>
                      </a:rPr>
                      <a:t>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75-44C3-874E-6C84C2B1C971}"/>
                </c:ext>
              </c:extLst>
            </c:dLbl>
            <c:dLbl>
              <c:idx val="4"/>
              <c:tx>
                <c:rich>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fld id="{322022A0-408C-449F-810F-F94E69E1ADC0}" type="VALUE">
                      <a:rPr lang="en-US"/>
                      <a:pPr>
                        <a:defRPr sz="700" b="1"/>
                      </a:pPr>
                      <a:t>[VALUE]</a:t>
                    </a:fld>
                    <a:r>
                      <a:rPr lang="en-US"/>
                      <a:t>m</a:t>
                    </a:r>
                  </a:p>
                </c:rich>
              </c:tx>
              <c:numFmt formatCode="#,##0.0" sourceLinked="0"/>
              <c:spPr>
                <a:solidFill>
                  <a:schemeClr val="bg1"/>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C75-44C3-874E-6C84C2B1C971}"/>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2.3'!$C$24:$G$24</c:f>
              <c:strCache>
                <c:ptCount val="5"/>
                <c:pt idx="0">
                  <c:v>England</c:v>
                </c:pt>
                <c:pt idx="1">
                  <c:v>Scotland</c:v>
                </c:pt>
                <c:pt idx="2">
                  <c:v>Wales</c:v>
                </c:pt>
                <c:pt idx="3">
                  <c:v>Northern Ireland</c:v>
                </c:pt>
                <c:pt idx="4">
                  <c:v>UK Total</c:v>
                </c:pt>
              </c:strCache>
            </c:strRef>
          </c:cat>
          <c:val>
            <c:numRef>
              <c:f>'Fig 2.3'!$C$25:$G$25</c:f>
              <c:numCache>
                <c:formatCode>_(* #,##0.00_);_(* \(#,##0.00\);_(* "-"??_);_(@_)</c:formatCode>
                <c:ptCount val="5"/>
                <c:pt idx="0">
                  <c:v>72.558007000000003</c:v>
                </c:pt>
                <c:pt idx="1">
                  <c:v>22.573854000000001</c:v>
                </c:pt>
                <c:pt idx="2">
                  <c:v>8.1402140000000003</c:v>
                </c:pt>
                <c:pt idx="3">
                  <c:v>5.9808070000000004</c:v>
                </c:pt>
                <c:pt idx="4">
                  <c:v>109.252882</c:v>
                </c:pt>
              </c:numCache>
            </c:numRef>
          </c:val>
          <c:extLst>
            <c:ext xmlns:c16="http://schemas.microsoft.com/office/drawing/2014/chart" uri="{C3380CC4-5D6E-409C-BE32-E72D297353CC}">
              <c16:uniqueId val="{00000005-1C75-44C3-874E-6C84C2B1C971}"/>
            </c:ext>
          </c:extLst>
        </c:ser>
        <c:ser>
          <c:idx val="1"/>
          <c:order val="1"/>
          <c:tx>
            <c:strRef>
              <c:f>'Fig 2.3'!$B$26</c:f>
              <c:strCache>
                <c:ptCount val="1"/>
                <c:pt idx="0">
                  <c:v>Renewable Generation (TWh)</c:v>
                </c:pt>
              </c:strCache>
            </c:strRef>
          </c:tx>
          <c:spPr>
            <a:solidFill>
              <a:srgbClr val="A1ABB2"/>
            </a:solidFill>
            <a:ln w="3175">
              <a:solidFill>
                <a:schemeClr val="tx1"/>
              </a:solidFill>
            </a:ln>
            <a:effectLst/>
          </c:spPr>
          <c:invertIfNegative val="0"/>
          <c:dLbls>
            <c:dLbl>
              <c:idx val="0"/>
              <c:tx>
                <c:rich>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fld id="{E8C385E7-8B1F-4373-B340-869C44BD90F7}" type="VALUE">
                      <a:rPr lang="en-US">
                        <a:solidFill>
                          <a:sysClr val="windowText" lastClr="000000"/>
                        </a:solidFill>
                      </a:rPr>
                      <a:pPr>
                        <a:defRPr sz="700" b="1"/>
                      </a:pPr>
                      <a:t>[VALUE]</a:t>
                    </a:fld>
                    <a:r>
                      <a:rPr lang="en-US">
                        <a:solidFill>
                          <a:sysClr val="windowText" lastClr="000000"/>
                        </a:solidFill>
                      </a:rPr>
                      <a:t> TWh</a:t>
                    </a:r>
                  </a:p>
                </c:rich>
              </c:tx>
              <c:numFmt formatCode="#,##0.0" sourceLinked="0"/>
              <c:spPr>
                <a:solidFill>
                  <a:schemeClr val="bg1"/>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C75-44C3-874E-6C84C2B1C971}"/>
                </c:ext>
              </c:extLst>
            </c:dLbl>
            <c:dLbl>
              <c:idx val="1"/>
              <c:tx>
                <c:rich>
                  <a:bodyPr/>
                  <a:lstStyle/>
                  <a:p>
                    <a:fld id="{42102D65-96B7-4250-9FE4-573779BF9D07}" type="VALUE">
                      <a:rPr lang="en-US">
                        <a:solidFill>
                          <a:sysClr val="windowText" lastClr="000000"/>
                        </a:solidFill>
                      </a:rPr>
                      <a:pPr/>
                      <a:t>[VALUE]</a:t>
                    </a:fld>
                    <a:r>
                      <a:rPr lang="en-US">
                        <a:solidFill>
                          <a:sysClr val="windowText" lastClr="000000"/>
                        </a:solidFill>
                      </a:rPr>
                      <a:t> TWh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75-44C3-874E-6C84C2B1C971}"/>
                </c:ext>
              </c:extLst>
            </c:dLbl>
            <c:dLbl>
              <c:idx val="2"/>
              <c:tx>
                <c:rich>
                  <a:bodyPr/>
                  <a:lstStyle/>
                  <a:p>
                    <a:fld id="{D9818097-0936-4DDC-B971-47792B4E06AD}" type="VALUE">
                      <a:rPr lang="en-US"/>
                      <a:pPr/>
                      <a:t>[VALUE]</a:t>
                    </a:fld>
                    <a:r>
                      <a:rPr lang="en-US"/>
                      <a:t> TWh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C75-44C3-874E-6C84C2B1C971}"/>
                </c:ext>
              </c:extLst>
            </c:dLbl>
            <c:dLbl>
              <c:idx val="3"/>
              <c:tx>
                <c:rich>
                  <a:bodyPr/>
                  <a:lstStyle/>
                  <a:p>
                    <a:fld id="{E5043705-3E7B-4162-8017-DC96759203D5}" type="VALUE">
                      <a:rPr lang="en-US"/>
                      <a:pPr/>
                      <a:t>[VALUE]</a:t>
                    </a:fld>
                    <a:r>
                      <a:rPr lang="en-US"/>
                      <a:t> TWh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75-44C3-874E-6C84C2B1C971}"/>
                </c:ext>
              </c:extLst>
            </c:dLbl>
            <c:dLbl>
              <c:idx val="4"/>
              <c:tx>
                <c:rich>
                  <a:bodyPr/>
                  <a:lstStyle/>
                  <a:p>
                    <a:fld id="{79CA57FF-9A09-442E-AC8E-175F32B5A0DA}" type="VALUE">
                      <a:rPr lang="en-US">
                        <a:solidFill>
                          <a:sysClr val="windowText" lastClr="000000"/>
                        </a:solidFill>
                      </a:rPr>
                      <a:pPr/>
                      <a:t>[VALUE]</a:t>
                    </a:fld>
                    <a:r>
                      <a:rPr lang="en-US">
                        <a:solidFill>
                          <a:sysClr val="windowText" lastClr="000000"/>
                        </a:solidFill>
                      </a:rPr>
                      <a:t> TWh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C75-44C3-874E-6C84C2B1C971}"/>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2.3'!$C$24:$G$24</c:f>
              <c:strCache>
                <c:ptCount val="5"/>
                <c:pt idx="0">
                  <c:v>England</c:v>
                </c:pt>
                <c:pt idx="1">
                  <c:v>Scotland</c:v>
                </c:pt>
                <c:pt idx="2">
                  <c:v>Wales</c:v>
                </c:pt>
                <c:pt idx="3">
                  <c:v>Northern Ireland</c:v>
                </c:pt>
                <c:pt idx="4">
                  <c:v>UK Total</c:v>
                </c:pt>
              </c:strCache>
            </c:strRef>
          </c:cat>
          <c:val>
            <c:numRef>
              <c:f>'Fig 2.3'!$C$26:$G$26</c:f>
              <c:numCache>
                <c:formatCode>_(* #,##0.00_);_(* \(#,##0.00\);_(* "-"??_);_(@_)</c:formatCode>
                <c:ptCount val="5"/>
                <c:pt idx="0">
                  <c:v>49.86929942111454</c:v>
                </c:pt>
                <c:pt idx="1">
                  <c:v>20.832126818860246</c:v>
                </c:pt>
                <c:pt idx="2">
                  <c:v>5.9884148908798931</c:v>
                </c:pt>
                <c:pt idx="3">
                  <c:v>3.6590852738091288</c:v>
                </c:pt>
                <c:pt idx="4">
                  <c:v>80.348926404663828</c:v>
                </c:pt>
              </c:numCache>
            </c:numRef>
          </c:val>
          <c:extLst>
            <c:ext xmlns:c16="http://schemas.microsoft.com/office/drawing/2014/chart" uri="{C3380CC4-5D6E-409C-BE32-E72D297353CC}">
              <c16:uniqueId val="{0000000B-1C75-44C3-874E-6C84C2B1C971}"/>
            </c:ext>
          </c:extLst>
        </c:ser>
        <c:dLbls>
          <c:dLblPos val="outEnd"/>
          <c:showLegendKey val="0"/>
          <c:showVal val="1"/>
          <c:showCatName val="0"/>
          <c:showSerName val="0"/>
          <c:showPercent val="0"/>
          <c:showBubbleSize val="0"/>
        </c:dLbls>
        <c:gapWidth val="50"/>
        <c:axId val="1067581784"/>
        <c:axId val="1067573912"/>
      </c:barChart>
      <c:catAx>
        <c:axId val="1067581784"/>
        <c:scaling>
          <c:orientation val="maxMin"/>
        </c:scaling>
        <c:delete val="0"/>
        <c:axPos val="l"/>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67573912"/>
        <c:crosses val="autoZero"/>
        <c:auto val="1"/>
        <c:lblAlgn val="ctr"/>
        <c:lblOffset val="100"/>
        <c:noMultiLvlLbl val="0"/>
      </c:catAx>
      <c:valAx>
        <c:axId val="1067573912"/>
        <c:scaling>
          <c:orientation val="minMax"/>
        </c:scaling>
        <c:delete val="0"/>
        <c:axPos val="b"/>
        <c:majorGridlines>
          <c:spPr>
            <a:ln w="9525" cap="flat" cmpd="sng" algn="ctr">
              <a:solidFill>
                <a:schemeClr val="bg1">
                  <a:lumMod val="75000"/>
                </a:schemeClr>
              </a:solidFill>
              <a:prstDash val="dash"/>
              <a:round/>
            </a:ln>
            <a:effectLst/>
          </c:spPr>
        </c:majorGridlines>
        <c:numFmt formatCode="#,##0" sourceLinked="0"/>
        <c:majorTickMark val="out"/>
        <c:minorTickMark val="none"/>
        <c:tickLblPos val="high"/>
        <c:spPr>
          <a:noFill/>
          <a:ln w="6350">
            <a:solidFill>
              <a:srgbClr val="7F7F7F"/>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67581784"/>
        <c:crosses val="max"/>
        <c:crossBetween val="between"/>
      </c:valAx>
      <c:spPr>
        <a:noFill/>
        <a:ln>
          <a:noFill/>
        </a:ln>
        <a:effectLst/>
      </c:spPr>
    </c:plotArea>
    <c:legend>
      <c:legendPos val="b"/>
      <c:layout>
        <c:manualLayout>
          <c:xMode val="edge"/>
          <c:yMode val="edge"/>
          <c:x val="0.21359932620362754"/>
          <c:y val="0.8818281925285657"/>
          <c:w val="0.67023086666405507"/>
          <c:h val="0.110119787658121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28009434190604E-2"/>
          <c:y val="6.7138293037445285E-2"/>
          <c:w val="0.87401604899721985"/>
          <c:h val="0.84804450707846268"/>
        </c:manualLayout>
      </c:layout>
      <c:barChart>
        <c:barDir val="col"/>
        <c:grouping val="clustered"/>
        <c:varyColors val="0"/>
        <c:ser>
          <c:idx val="3"/>
          <c:order val="0"/>
          <c:tx>
            <c:strRef>
              <c:f>'Fig 6.5'!$C$31</c:f>
              <c:strCache>
                <c:ptCount val="1"/>
                <c:pt idx="0">
                  <c:v>Capacity change (MW)</c:v>
                </c:pt>
              </c:strCache>
            </c:strRef>
          </c:tx>
          <c:spPr>
            <a:solidFill>
              <a:srgbClr val="45286F"/>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6.5'!$B$32:$B$38</c:f>
              <c:strCache>
                <c:ptCount val="7"/>
                <c:pt idx="0">
                  <c:v>Fuelled</c:v>
                </c:pt>
                <c:pt idx="1">
                  <c:v>Hydro</c:v>
                </c:pt>
                <c:pt idx="2">
                  <c:v>Landfill gas</c:v>
                </c:pt>
                <c:pt idx="3">
                  <c:v>Offshore wind</c:v>
                </c:pt>
                <c:pt idx="4">
                  <c:v>Onshore wind</c:v>
                </c:pt>
                <c:pt idx="5">
                  <c:v>Sewage gas</c:v>
                </c:pt>
                <c:pt idx="6">
                  <c:v>Solar PV</c:v>
                </c:pt>
              </c:strCache>
            </c:strRef>
          </c:cat>
          <c:val>
            <c:numRef>
              <c:f>'Fig 6.5'!$C$32:$C$38</c:f>
              <c:numCache>
                <c:formatCode>0.0</c:formatCode>
                <c:ptCount val="7"/>
                <c:pt idx="0">
                  <c:v>-33.74854267894807</c:v>
                </c:pt>
                <c:pt idx="1">
                  <c:v>-0.76425000000006094</c:v>
                </c:pt>
                <c:pt idx="2">
                  <c:v>-7.307999999999879</c:v>
                </c:pt>
                <c:pt idx="3">
                  <c:v>-3.8000000000001819</c:v>
                </c:pt>
                <c:pt idx="4">
                  <c:v>2.6240000000016153</c:v>
                </c:pt>
                <c:pt idx="5">
                  <c:v>-0.44999999999998863</c:v>
                </c:pt>
                <c:pt idx="6">
                  <c:v>0.23988000000008469</c:v>
                </c:pt>
              </c:numCache>
            </c:numRef>
          </c:val>
          <c:extLst>
            <c:ext xmlns:c16="http://schemas.microsoft.com/office/drawing/2014/chart" uri="{C3380CC4-5D6E-409C-BE32-E72D297353CC}">
              <c16:uniqueId val="{00000000-B750-4F91-A4D5-A5F8A450FBBE}"/>
            </c:ext>
          </c:extLst>
        </c:ser>
        <c:ser>
          <c:idx val="1"/>
          <c:order val="1"/>
          <c:tx>
            <c:strRef>
              <c:f>'Fig 6.5'!$D$31</c:f>
              <c:strCache>
                <c:ptCount val="1"/>
                <c:pt idx="0">
                  <c:v>Stations change</c:v>
                </c:pt>
              </c:strCache>
            </c:strRef>
          </c:tx>
          <c:spPr>
            <a:solidFill>
              <a:srgbClr val="A1ABB2"/>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6.5'!$B$32:$B$38</c:f>
              <c:strCache>
                <c:ptCount val="7"/>
                <c:pt idx="0">
                  <c:v>Fuelled</c:v>
                </c:pt>
                <c:pt idx="1">
                  <c:v>Hydro</c:v>
                </c:pt>
                <c:pt idx="2">
                  <c:v>Landfill gas</c:v>
                </c:pt>
                <c:pt idx="3">
                  <c:v>Offshore wind</c:v>
                </c:pt>
                <c:pt idx="4">
                  <c:v>Onshore wind</c:v>
                </c:pt>
                <c:pt idx="5">
                  <c:v>Sewage gas</c:v>
                </c:pt>
                <c:pt idx="6">
                  <c:v>Solar PV</c:v>
                </c:pt>
              </c:strCache>
            </c:strRef>
          </c:cat>
          <c:val>
            <c:numRef>
              <c:f>'Fig 6.5'!$D$32:$D$38</c:f>
              <c:numCache>
                <c:formatCode>General</c:formatCode>
                <c:ptCount val="7"/>
                <c:pt idx="0">
                  <c:v>12</c:v>
                </c:pt>
                <c:pt idx="1">
                  <c:v>-2</c:v>
                </c:pt>
                <c:pt idx="2">
                  <c:v>-7</c:v>
                </c:pt>
                <c:pt idx="3">
                  <c:v>-2</c:v>
                </c:pt>
                <c:pt idx="4">
                  <c:v>9</c:v>
                </c:pt>
                <c:pt idx="5">
                  <c:v>-1</c:v>
                </c:pt>
                <c:pt idx="6">
                  <c:v>8</c:v>
                </c:pt>
              </c:numCache>
            </c:numRef>
          </c:val>
          <c:extLst>
            <c:ext xmlns:c16="http://schemas.microsoft.com/office/drawing/2014/chart" uri="{C3380CC4-5D6E-409C-BE32-E72D297353CC}">
              <c16:uniqueId val="{00000001-B750-4F91-A4D5-A5F8A450FBBE}"/>
            </c:ext>
          </c:extLst>
        </c:ser>
        <c:dLbls>
          <c:dLblPos val="outEnd"/>
          <c:showLegendKey val="0"/>
          <c:showVal val="1"/>
          <c:showCatName val="0"/>
          <c:showSerName val="0"/>
          <c:showPercent val="0"/>
          <c:showBubbleSize val="0"/>
        </c:dLbls>
        <c:gapWidth val="50"/>
        <c:axId val="330596536"/>
        <c:axId val="330604736"/>
      </c:barChart>
      <c:valAx>
        <c:axId val="330604736"/>
        <c:scaling>
          <c:orientation val="minMax"/>
          <c:max val="20"/>
          <c:min val="-40"/>
        </c:scaling>
        <c:delete val="0"/>
        <c:axPos val="r"/>
        <c:majorGridlines>
          <c:spPr>
            <a:ln w="6350" cap="flat" cmpd="sng" algn="ctr">
              <a:solidFill>
                <a:srgbClr val="A1ABB2"/>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a:t>Change in Capacity/</a:t>
                </a:r>
                <a:br>
                  <a:rPr lang="en-GB" sz="1000"/>
                </a:br>
                <a:r>
                  <a:rPr lang="en-GB" sz="1000"/>
                  <a:t>Number</a:t>
                </a:r>
                <a:r>
                  <a:rPr lang="en-GB" sz="1000" baseline="0"/>
                  <a:t> of stations</a:t>
                </a:r>
                <a:endParaRPr lang="en-GB" sz="1000"/>
              </a:p>
            </c:rich>
          </c:tx>
          <c:layout>
            <c:manualLayout>
              <c:xMode val="edge"/>
              <c:yMode val="edge"/>
              <c:x val="0.9478069756330626"/>
              <c:y val="0.147096584059781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30596536"/>
        <c:crosses val="max"/>
        <c:crossBetween val="between"/>
      </c:valAx>
      <c:catAx>
        <c:axId val="330596536"/>
        <c:scaling>
          <c:orientation val="minMax"/>
        </c:scaling>
        <c:delete val="0"/>
        <c:axPos val="b"/>
        <c:numFmt formatCode="General" sourceLinked="1"/>
        <c:majorTickMark val="out"/>
        <c:minorTickMark val="none"/>
        <c:tickLblPos val="high"/>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30604736"/>
        <c:crosses val="autoZero"/>
        <c:auto val="1"/>
        <c:lblAlgn val="ctr"/>
        <c:lblOffset val="100"/>
        <c:noMultiLvlLbl val="0"/>
      </c:catAx>
      <c:spPr>
        <a:noFill/>
        <a:ln>
          <a:noFill/>
        </a:ln>
        <a:effectLst/>
      </c:spPr>
    </c:plotArea>
    <c:legend>
      <c:legendPos val="b"/>
      <c:layout>
        <c:manualLayout>
          <c:xMode val="edge"/>
          <c:yMode val="edge"/>
          <c:x val="0.23321051423755976"/>
          <c:y val="0.9370009766099564"/>
          <c:w val="0.48755153097501613"/>
          <c:h val="6.299900285390090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805588397612522"/>
          <c:y val="4.5569496120677212E-2"/>
          <c:w val="0.84908434418294343"/>
          <c:h val="0.60477517233422751"/>
        </c:manualLayout>
      </c:layout>
      <c:barChart>
        <c:barDir val="col"/>
        <c:grouping val="stacked"/>
        <c:varyColors val="0"/>
        <c:ser>
          <c:idx val="0"/>
          <c:order val="0"/>
          <c:tx>
            <c:strRef>
              <c:f>'Fig 2.4'!$F$40</c:f>
              <c:strCache>
                <c:ptCount val="1"/>
                <c:pt idx="0">
                  <c:v>Offshore wind</c:v>
                </c:pt>
              </c:strCache>
            </c:strRef>
          </c:tx>
          <c:spPr>
            <a:solidFill>
              <a:srgbClr val="91AE3C"/>
            </a:solidFill>
            <a:ln w="3175">
              <a:solidFill>
                <a:schemeClr val="tx1"/>
              </a:solidFill>
            </a:ln>
            <a:effectLst/>
          </c:spPr>
          <c:invertIfNegative val="0"/>
          <c:dLbls>
            <c:dLbl>
              <c:idx val="2"/>
              <c:layout>
                <c:manualLayout>
                  <c:x val="3.9631427722184058E-3"/>
                  <c:y val="-9.3312446194448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F9-45F2-A050-A55129D8F331}"/>
                </c:ext>
              </c:extLst>
            </c:dLbl>
            <c:dLbl>
              <c:idx val="3"/>
              <c:layout>
                <c:manualLayout>
                  <c:x val="3.6328389076684413E-17"/>
                  <c:y val="-8.69271913854665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9-45F2-A050-A55129D8F331}"/>
                </c:ext>
              </c:extLst>
            </c:dLbl>
            <c:dLbl>
              <c:idx val="4"/>
              <c:layout>
                <c:manualLayout>
                  <c:x val="0"/>
                  <c:y val="-0.11504410291149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F9-45F2-A050-A55129D8F331}"/>
                </c:ext>
              </c:extLst>
            </c:dLbl>
            <c:dLbl>
              <c:idx val="5"/>
              <c:layout>
                <c:manualLayout>
                  <c:x val="0"/>
                  <c:y val="-1.9473911914856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F9-45F2-A050-A55129D8F331}"/>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2.4'!$F$41:$F$54</c:f>
              <c:numCache>
                <c:formatCode>_-* #,##0_-;\-* #,##0_-;_-* "-"??_-;_-@_-</c:formatCode>
                <c:ptCount val="14"/>
                <c:pt idx="0">
                  <c:v>963200</c:v>
                </c:pt>
                <c:pt idx="1">
                  <c:v>1497892</c:v>
                </c:pt>
                <c:pt idx="2">
                  <c:v>2716787</c:v>
                </c:pt>
                <c:pt idx="3">
                  <c:v>5025746</c:v>
                </c:pt>
                <c:pt idx="4">
                  <c:v>8785088</c:v>
                </c:pt>
                <c:pt idx="5">
                  <c:v>15689598</c:v>
                </c:pt>
                <c:pt idx="6">
                  <c:v>23936243</c:v>
                </c:pt>
                <c:pt idx="7">
                  <c:v>25377043</c:v>
                </c:pt>
                <c:pt idx="8">
                  <c:v>33763836</c:v>
                </c:pt>
                <c:pt idx="9">
                  <c:v>30753577</c:v>
                </c:pt>
                <c:pt idx="10">
                  <c:v>38923989</c:v>
                </c:pt>
                <c:pt idx="11">
                  <c:v>40346275</c:v>
                </c:pt>
                <c:pt idx="12">
                  <c:v>45678148</c:v>
                </c:pt>
                <c:pt idx="13">
                  <c:v>44083339</c:v>
                </c:pt>
              </c:numCache>
            </c:numRef>
          </c:val>
          <c:extLst>
            <c:ext xmlns:c16="http://schemas.microsoft.com/office/drawing/2014/chart" uri="{C3380CC4-5D6E-409C-BE32-E72D297353CC}">
              <c16:uniqueId val="{00000006-CBF9-45F2-A050-A55129D8F331}"/>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i="0" baseline="0">
                    <a:effectLst/>
                  </a:rPr>
                  <a:t>ROCs issued (millions)</a:t>
                </a:r>
                <a:endParaRPr lang="en-GB" sz="1000">
                  <a:effectLst/>
                </a:endParaRPr>
              </a:p>
            </c:rich>
          </c:tx>
          <c:layout>
            <c:manualLayout>
              <c:xMode val="edge"/>
              <c:yMode val="edge"/>
              <c:x val="7.9262855444367387E-3"/>
              <c:y val="0.1028457117096810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862279629096004"/>
          <c:y val="5.9336332958380193E-2"/>
          <c:w val="0.86851765217187826"/>
          <c:h val="0.60060519778777655"/>
        </c:manualLayout>
      </c:layout>
      <c:barChart>
        <c:barDir val="col"/>
        <c:grouping val="stacked"/>
        <c:varyColors val="0"/>
        <c:ser>
          <c:idx val="0"/>
          <c:order val="0"/>
          <c:tx>
            <c:strRef>
              <c:f>'Fig 2.4'!$G$40</c:f>
              <c:strCache>
                <c:ptCount val="1"/>
                <c:pt idx="0">
                  <c:v>Onshore wind</c:v>
                </c:pt>
              </c:strCache>
            </c:strRef>
          </c:tx>
          <c:spPr>
            <a:solidFill>
              <a:srgbClr val="91AE3C"/>
            </a:solidFill>
            <a:ln w="3175">
              <a:solidFill>
                <a:schemeClr val="tx1"/>
              </a:solidFill>
            </a:ln>
            <a:effectLst/>
          </c:spPr>
          <c:invertIfNegative val="0"/>
          <c:dLbls>
            <c:dLbl>
              <c:idx val="0"/>
              <c:layout>
                <c:manualLayout>
                  <c:x val="-1.8146215527614363E-17"/>
                  <c:y val="-0.10419766280884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85-4668-9AE4-630B29F798AE}"/>
                </c:ext>
              </c:extLst>
            </c:dLbl>
            <c:dLbl>
              <c:idx val="1"/>
              <c:layout>
                <c:manualLayout>
                  <c:x val="0"/>
                  <c:y val="-0.120784126225197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85-4668-9AE4-630B29F798AE}"/>
                </c:ext>
              </c:extLst>
            </c:dLbl>
            <c:dLbl>
              <c:idx val="2"/>
              <c:layout>
                <c:manualLayout>
                  <c:x val="-3.6292431055228727E-17"/>
                  <c:y val="-5.09569546202422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85-4668-9AE4-630B29F798AE}"/>
                </c:ext>
              </c:extLst>
            </c:dLbl>
            <c:dLbl>
              <c:idx val="3"/>
              <c:layout>
                <c:manualLayout>
                  <c:x val="0"/>
                  <c:y val="-1.36350213047214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85-4668-9AE4-630B29F798AE}"/>
                </c:ext>
              </c:extLst>
            </c:dLbl>
            <c:dLbl>
              <c:idx val="4"/>
              <c:layout>
                <c:manualLayout>
                  <c:x val="-7.6086829415018839E-17"/>
                  <c:y val="-1.06861642294719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85-4668-9AE4-630B29F798AE}"/>
                </c:ext>
              </c:extLst>
            </c:dLbl>
            <c:dLbl>
              <c:idx val="5"/>
              <c:layout>
                <c:manualLayout>
                  <c:x val="-7.6086829415018839E-17"/>
                  <c:y val="1.96088770153723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85-4668-9AE4-630B29F798A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2.4'!$G$41:$G$54</c:f>
              <c:numCache>
                <c:formatCode>_-* #,##0_-;\-* #,##0_-;_-* "-"??_-;_-@_-</c:formatCode>
                <c:ptCount val="14"/>
                <c:pt idx="0">
                  <c:v>4816422</c:v>
                </c:pt>
                <c:pt idx="1">
                  <c:v>6245954</c:v>
                </c:pt>
                <c:pt idx="2">
                  <c:v>7263346</c:v>
                </c:pt>
                <c:pt idx="3">
                  <c:v>7708372</c:v>
                </c:pt>
                <c:pt idx="4">
                  <c:v>11799421</c:v>
                </c:pt>
                <c:pt idx="5">
                  <c:v>12214121</c:v>
                </c:pt>
                <c:pt idx="6">
                  <c:v>18708252</c:v>
                </c:pt>
                <c:pt idx="7">
                  <c:v>17805981</c:v>
                </c:pt>
                <c:pt idx="8">
                  <c:v>20261168</c:v>
                </c:pt>
                <c:pt idx="9">
                  <c:v>19807791</c:v>
                </c:pt>
                <c:pt idx="10">
                  <c:v>27746455</c:v>
                </c:pt>
                <c:pt idx="11">
                  <c:v>27927023</c:v>
                </c:pt>
                <c:pt idx="12">
                  <c:v>30439986</c:v>
                </c:pt>
                <c:pt idx="13">
                  <c:v>27266279</c:v>
                </c:pt>
              </c:numCache>
            </c:numRef>
          </c:val>
          <c:extLst>
            <c:ext xmlns:c16="http://schemas.microsoft.com/office/drawing/2014/chart" uri="{C3380CC4-5D6E-409C-BE32-E72D297353CC}">
              <c16:uniqueId val="{00000006-F285-4668-9AE4-630B29F798AE}"/>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 issued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45286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E86E1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109DC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91AE3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51C1B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CC339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A1ABB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862279629096004"/>
          <c:y val="4.5268382902914336E-2"/>
          <c:w val="0.86851765217187826"/>
          <c:h val="0.61467259597731627"/>
        </c:manualLayout>
      </c:layout>
      <c:barChart>
        <c:barDir val="col"/>
        <c:grouping val="stacked"/>
        <c:varyColors val="0"/>
        <c:ser>
          <c:idx val="0"/>
          <c:order val="0"/>
          <c:tx>
            <c:strRef>
              <c:f>'Fig 2.4'!$C$40</c:f>
              <c:strCache>
                <c:ptCount val="1"/>
                <c:pt idx="0">
                  <c:v>Fuelled</c:v>
                </c:pt>
              </c:strCache>
            </c:strRef>
          </c:tx>
          <c:spPr>
            <a:solidFill>
              <a:srgbClr val="91AE3C"/>
            </a:solidFill>
            <a:ln w="3175">
              <a:solidFill>
                <a:schemeClr val="tx1"/>
              </a:solidFill>
            </a:ln>
            <a:effectLst/>
          </c:spPr>
          <c:invertIfNegative val="0"/>
          <c:dLbls>
            <c:dLbl>
              <c:idx val="0"/>
              <c:layout>
                <c:manualLayout>
                  <c:x val="0"/>
                  <c:y val="-0.100153333333333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26-492E-B6AD-58C337DA076E}"/>
                </c:ext>
              </c:extLst>
            </c:dLbl>
            <c:dLbl>
              <c:idx val="1"/>
              <c:layout>
                <c:manualLayout>
                  <c:x val="1.9845207382416783E-3"/>
                  <c:y val="-0.1113422222222222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26-492E-B6AD-58C337DA076E}"/>
                </c:ext>
              </c:extLst>
            </c:dLbl>
            <c:dLbl>
              <c:idx val="2"/>
              <c:layout>
                <c:manualLayout>
                  <c:x val="0"/>
                  <c:y val="-0.111711666666666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26-492E-B6AD-58C337DA076E}"/>
                </c:ext>
              </c:extLst>
            </c:dLbl>
            <c:dLbl>
              <c:idx val="3"/>
              <c:layout>
                <c:manualLayout>
                  <c:x val="0"/>
                  <c:y val="-0.107021666666666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26-492E-B6AD-58C337DA076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2.4'!$B$41:$B$54</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'Fig 2.4'!$C$41:$C$54</c:f>
              <c:numCache>
                <c:formatCode>_-* #,##0_-;\-* #,##0_-;_-* "-"??_-;_-@_-</c:formatCode>
                <c:ptCount val="14"/>
                <c:pt idx="0">
                  <c:v>3037139</c:v>
                </c:pt>
                <c:pt idx="1">
                  <c:v>3881605</c:v>
                </c:pt>
                <c:pt idx="2">
                  <c:v>3850164</c:v>
                </c:pt>
                <c:pt idx="3">
                  <c:v>4850569</c:v>
                </c:pt>
                <c:pt idx="4">
                  <c:v>6073865</c:v>
                </c:pt>
                <c:pt idx="5">
                  <c:v>8773687</c:v>
                </c:pt>
                <c:pt idx="6">
                  <c:v>11496668</c:v>
                </c:pt>
                <c:pt idx="7">
                  <c:v>17170493</c:v>
                </c:pt>
                <c:pt idx="8">
                  <c:v>21580141</c:v>
                </c:pt>
                <c:pt idx="9">
                  <c:v>20015147</c:v>
                </c:pt>
                <c:pt idx="10">
                  <c:v>17584758</c:v>
                </c:pt>
                <c:pt idx="11">
                  <c:v>20753886</c:v>
                </c:pt>
                <c:pt idx="12">
                  <c:v>21912500</c:v>
                </c:pt>
                <c:pt idx="13">
                  <c:v>21480902</c:v>
                </c:pt>
              </c:numCache>
            </c:numRef>
          </c:val>
          <c:extLst>
            <c:ext xmlns:c16="http://schemas.microsoft.com/office/drawing/2014/chart" uri="{C3380CC4-5D6E-409C-BE32-E72D297353CC}">
              <c16:uniqueId val="{00000004-FC26-492E-B6AD-58C337DA076E}"/>
            </c:ext>
          </c:extLst>
        </c:ser>
        <c:dLbls>
          <c:showLegendKey val="0"/>
          <c:showVal val="0"/>
          <c:showCatName val="0"/>
          <c:showSerName val="0"/>
          <c:showPercent val="0"/>
          <c:showBubbleSize val="0"/>
        </c:dLbls>
        <c:gapWidth val="50"/>
        <c:overlap val="100"/>
        <c:axId val="1204061552"/>
        <c:axId val="1204064504"/>
      </c:barChart>
      <c:catAx>
        <c:axId val="120406155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4504"/>
        <c:crosses val="autoZero"/>
        <c:auto val="1"/>
        <c:lblAlgn val="ctr"/>
        <c:lblOffset val="100"/>
        <c:noMultiLvlLbl val="0"/>
      </c:catAx>
      <c:valAx>
        <c:axId val="1204064504"/>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00" b="0"/>
                  <a:t>ROCs issued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out"/>
        <c:minorTickMark val="none"/>
        <c:tickLblPos val="nextTo"/>
        <c:spPr>
          <a:noFill/>
          <a:ln w="6350">
            <a:solidFill>
              <a:schemeClr val="tx1">
                <a:lumMod val="50000"/>
                <a:lumOff val="50000"/>
              </a:schemeClr>
            </a:solidFill>
            <a:prstDash val="soli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204061552"/>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973096ae-7329-4b3b-9368-47aeba6959e1" origin="userSelected">
  <element uid="id_classification_nonbusiness" value=""/>
</sisl>
</file>

<file path=customXml/itemProps1.xml><?xml version="1.0" encoding="utf-8"?>
<ds:datastoreItem xmlns:ds="http://schemas.openxmlformats.org/officeDocument/2006/customXml" ds:itemID="{947F7F18-91BE-478A-8678-C35AA9762956}">
  <ds:schemaRefs>
    <ds:schemaRef ds:uri="http://schemas.openxmlformats.org/officeDocument/2006/bibliography"/>
  </ds:schemaRefs>
</ds:datastoreItem>
</file>

<file path=customXml/itemProps2.xml><?xml version="1.0" encoding="utf-8"?>
<ds:datastoreItem xmlns:ds="http://schemas.openxmlformats.org/officeDocument/2006/customXml" ds:itemID="{7A7EB297-711B-484B-B234-47D634BD3EE9}">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28028</Words>
  <Characters>159766</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2022-03-29T14:54:00Z</dcterms:created>
  <dcterms:modified xsi:type="dcterms:W3CDTF">2022-03-29T16:02:00Z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d2b04573-cdcc-4e79-8351-1fc152390271</vt:lpwstr>
  </property>
  <property fmtid="{D5CDD505-2E9C-101B-9397-08002B2CF9AE}" pid="3" name="bjDocumentLabelXML">
    <vt:lpwstr>&lt;?xml version="1.0" encoding="us-ascii"?&gt;&lt;sisl xmlns:xsd="http://www.w3.org/2001/XMLSchema" xmlns:xsi="http://www.w3.org/2001/XMLSchema-instance" sislVersion="0" policy="973096ae-7329-4b3b-9368-47aeba6959e1" origin="userSelected"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bjClsUserRVM">
    <vt:lpwstr>[]</vt:lpwstr>
  </property>
  <property fmtid="{D5CDD505-2E9C-101B-9397-08002B2CF9AE}" pid="7" name="bjSaver">
    <vt:lpwstr>v0ALUGlD65QmWDUbmmLgy1/mR7uoiv/X</vt:lpwstr>
  </property>
</Properties>
</file>