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956"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itle of document"/>
        <w:tblDescription w:val="title of document placed here"/>
      </w:tblPr>
      <w:tblGrid>
        <w:gridCol w:w="3730"/>
        <w:gridCol w:w="2823"/>
        <w:gridCol w:w="3403"/>
      </w:tblGrid>
      <w:tr w:rsidR="00F92DE6" w14:paraId="247D903F" w14:textId="77777777" w:rsidTr="00F81EF5">
        <w:trPr>
          <w:cantSplit/>
          <w:trHeight w:hRule="exact" w:val="277"/>
          <w:tblHeader/>
        </w:trPr>
        <w:tc>
          <w:tcPr>
            <w:tcW w:w="3730" w:type="dxa"/>
            <w:tcBorders>
              <w:top w:val="nil"/>
              <w:left w:val="nil"/>
              <w:bottom w:val="nil"/>
              <w:right w:val="nil"/>
            </w:tcBorders>
            <w:shd w:val="clear" w:color="auto" w:fill="F58220"/>
            <w:tcMar>
              <w:left w:w="216" w:type="dxa"/>
              <w:right w:w="216" w:type="dxa"/>
            </w:tcMar>
            <w:vAlign w:val="center"/>
          </w:tcPr>
          <w:p w14:paraId="3C4BA80A" w14:textId="77777777" w:rsidR="00F92DE6" w:rsidRPr="002A27A4" w:rsidRDefault="00F92DE6" w:rsidP="001F6E93">
            <w:pPr>
              <w:rPr>
                <w:noProof/>
              </w:rPr>
            </w:pPr>
          </w:p>
        </w:tc>
        <w:tc>
          <w:tcPr>
            <w:tcW w:w="2823" w:type="dxa"/>
            <w:tcBorders>
              <w:top w:val="nil"/>
              <w:left w:val="nil"/>
              <w:bottom w:val="nil"/>
              <w:right w:val="nil"/>
            </w:tcBorders>
            <w:shd w:val="clear" w:color="auto" w:fill="F58220"/>
            <w:tcMar>
              <w:left w:w="144" w:type="dxa"/>
              <w:right w:w="144" w:type="dxa"/>
            </w:tcMar>
            <w:vAlign w:val="center"/>
          </w:tcPr>
          <w:p w14:paraId="3D7A6C30" w14:textId="77777777" w:rsidR="00F92DE6" w:rsidRDefault="00F92DE6" w:rsidP="001F6E93">
            <w:pPr>
              <w:rPr>
                <w:noProof/>
              </w:rPr>
            </w:pPr>
          </w:p>
        </w:tc>
        <w:tc>
          <w:tcPr>
            <w:tcW w:w="3403" w:type="dxa"/>
            <w:tcBorders>
              <w:top w:val="nil"/>
              <w:left w:val="nil"/>
              <w:bottom w:val="nil"/>
              <w:right w:val="nil"/>
            </w:tcBorders>
            <w:shd w:val="clear" w:color="auto" w:fill="F58220"/>
            <w:tcMar>
              <w:left w:w="216" w:type="dxa"/>
              <w:right w:w="216" w:type="dxa"/>
            </w:tcMar>
            <w:vAlign w:val="center"/>
          </w:tcPr>
          <w:p w14:paraId="1C953E23" w14:textId="77777777" w:rsidR="00F92DE6" w:rsidRPr="00E21BF6" w:rsidRDefault="00F92DE6" w:rsidP="001F6E93">
            <w:pPr>
              <w:rPr>
                <w:noProof/>
              </w:rPr>
            </w:pPr>
          </w:p>
        </w:tc>
      </w:tr>
      <w:tr w:rsidR="00C570BB" w14:paraId="05EDDF41" w14:textId="77777777" w:rsidTr="00F81EF5">
        <w:trPr>
          <w:cantSplit/>
          <w:trHeight w:hRule="exact" w:val="2499"/>
          <w:tblHeader/>
        </w:trPr>
        <w:tc>
          <w:tcPr>
            <w:tcW w:w="9956" w:type="dxa"/>
            <w:gridSpan w:val="3"/>
            <w:tcBorders>
              <w:top w:val="nil"/>
              <w:left w:val="nil"/>
              <w:bottom w:val="dotted" w:sz="4" w:space="0" w:color="7F7F7F" w:themeColor="text1" w:themeTint="80"/>
              <w:right w:val="nil"/>
            </w:tcBorders>
            <w:shd w:val="clear" w:color="auto" w:fill="EEF0F2"/>
            <w:tcMar>
              <w:left w:w="216" w:type="dxa"/>
              <w:right w:w="216" w:type="dxa"/>
            </w:tcMar>
            <w:vAlign w:val="center"/>
          </w:tcPr>
          <w:p w14:paraId="3D10C72B" w14:textId="77777777" w:rsidR="00F81EF5" w:rsidRDefault="00F81EF5" w:rsidP="00F81EF5">
            <w:pPr>
              <w:tabs>
                <w:tab w:val="left" w:pos="8250"/>
              </w:tabs>
              <w:rPr>
                <w:rFonts w:eastAsia="Times New Roman" w:cs="Calibri"/>
                <w:b/>
                <w:sz w:val="32"/>
                <w:u w:val="single"/>
                <w:lang w:eastAsia="en-GB"/>
              </w:rPr>
            </w:pPr>
            <w:r>
              <w:rPr>
                <w:rFonts w:eastAsia="Times New Roman" w:cs="Calibri"/>
                <w:b/>
                <w:sz w:val="32"/>
                <w:u w:val="single"/>
                <w:lang w:eastAsia="en-GB"/>
              </w:rPr>
              <w:t>Response</w:t>
            </w:r>
            <w:r w:rsidRPr="00CA3393">
              <w:rPr>
                <w:rFonts w:eastAsia="Times New Roman" w:cs="Calibri"/>
                <w:b/>
                <w:sz w:val="32"/>
                <w:u w:val="single"/>
                <w:lang w:eastAsia="en-GB"/>
              </w:rPr>
              <w:t xml:space="preserve"> Form</w:t>
            </w:r>
          </w:p>
          <w:p w14:paraId="47B59C01" w14:textId="02019609" w:rsidR="00F81EF5" w:rsidRPr="00CA3393" w:rsidRDefault="00757B86" w:rsidP="00F81EF5">
            <w:pPr>
              <w:tabs>
                <w:tab w:val="left" w:pos="8250"/>
              </w:tabs>
              <w:rPr>
                <w:rFonts w:eastAsia="Times New Roman" w:cs="Calibri"/>
                <w:b/>
                <w:sz w:val="32"/>
                <w:u w:val="single"/>
                <w:lang w:eastAsia="en-GB"/>
              </w:rPr>
            </w:pPr>
            <w:r>
              <w:rPr>
                <w:rStyle w:val="Titleheading"/>
              </w:rPr>
              <w:t xml:space="preserve">Consultation on Governance, </w:t>
            </w:r>
            <w:r w:rsidR="001D4695">
              <w:rPr>
                <w:rStyle w:val="Titleheading"/>
              </w:rPr>
              <w:t>funding,</w:t>
            </w:r>
            <w:r>
              <w:rPr>
                <w:rStyle w:val="Titleheading"/>
              </w:rPr>
              <w:t xml:space="preserve"> and operation of an Event Driven Architecture for </w:t>
            </w:r>
            <w:r w:rsidRPr="00757B86">
              <w:rPr>
                <w:b/>
                <w:sz w:val="24"/>
                <w:szCs w:val="32"/>
              </w:rPr>
              <w:t>Market-Wide Half-Hourly Settlement</w:t>
            </w:r>
          </w:p>
          <w:p w14:paraId="001377F7" w14:textId="6772E039" w:rsidR="00D217DF" w:rsidRPr="001F6E93" w:rsidRDefault="00D217DF" w:rsidP="001F6E93">
            <w:pPr>
              <w:pStyle w:val="Title"/>
              <w:rPr>
                <w:noProof/>
                <w:sz w:val="22"/>
                <w:szCs w:val="22"/>
              </w:rPr>
            </w:pPr>
          </w:p>
        </w:tc>
      </w:tr>
    </w:tbl>
    <w:p w14:paraId="119A6DA6" w14:textId="77777777" w:rsidR="00FD689B" w:rsidRDefault="00FD689B" w:rsidP="001F6E93"/>
    <w:p w14:paraId="0C3B11AB" w14:textId="77777777" w:rsidR="00F81EF5" w:rsidRDefault="00F81EF5" w:rsidP="00F81EF5">
      <w:pPr>
        <w:tabs>
          <w:tab w:val="left" w:pos="8250"/>
        </w:tabs>
        <w:rPr>
          <w:i/>
          <w:iCs/>
        </w:rPr>
      </w:pPr>
    </w:p>
    <w:p w14:paraId="32C9F755" w14:textId="07CB5830" w:rsidR="00F81EF5" w:rsidRDefault="00F81EF5" w:rsidP="00F81EF5">
      <w:pPr>
        <w:tabs>
          <w:tab w:val="left" w:pos="8250"/>
        </w:tabs>
        <w:rPr>
          <w:rFonts w:eastAsia="Times New Roman" w:cs="Calibri"/>
          <w:i/>
          <w:lang w:eastAsia="en-GB"/>
        </w:rPr>
      </w:pPr>
      <w:r>
        <w:rPr>
          <w:i/>
          <w:iCs/>
        </w:rPr>
        <w:t xml:space="preserve">The deadline for responses is </w:t>
      </w:r>
      <w:r w:rsidR="00757B86" w:rsidRPr="005847EB">
        <w:rPr>
          <w:b/>
          <w:bCs/>
          <w:i/>
          <w:iCs/>
        </w:rPr>
        <w:t>1</w:t>
      </w:r>
      <w:r w:rsidR="005847EB" w:rsidRPr="005847EB">
        <w:rPr>
          <w:b/>
          <w:bCs/>
          <w:i/>
          <w:iCs/>
        </w:rPr>
        <w:t>7</w:t>
      </w:r>
      <w:r w:rsidRPr="005847EB">
        <w:rPr>
          <w:b/>
          <w:bCs/>
          <w:i/>
          <w:iCs/>
        </w:rPr>
        <w:t xml:space="preserve"> </w:t>
      </w:r>
      <w:r w:rsidR="00757B86" w:rsidRPr="005847EB">
        <w:rPr>
          <w:b/>
          <w:bCs/>
          <w:i/>
          <w:iCs/>
        </w:rPr>
        <w:t>February</w:t>
      </w:r>
      <w:r w:rsidRPr="005847EB">
        <w:rPr>
          <w:b/>
          <w:bCs/>
          <w:i/>
          <w:iCs/>
        </w:rPr>
        <w:t xml:space="preserve"> 202</w:t>
      </w:r>
      <w:r w:rsidR="00757B86" w:rsidRPr="005847EB">
        <w:rPr>
          <w:b/>
          <w:bCs/>
          <w:i/>
          <w:iCs/>
        </w:rPr>
        <w:t>2</w:t>
      </w:r>
      <w:r>
        <w:rPr>
          <w:i/>
          <w:iCs/>
        </w:rPr>
        <w:t>.</w:t>
      </w:r>
      <w:r>
        <w:rPr>
          <w:rFonts w:eastAsia="Times New Roman" w:cs="Calibri"/>
          <w:i/>
          <w:lang w:eastAsia="en-GB"/>
        </w:rPr>
        <w:t xml:space="preserve"> P</w:t>
      </w:r>
      <w:r w:rsidRPr="00733F3B">
        <w:rPr>
          <w:rFonts w:eastAsia="Times New Roman" w:cs="Calibri"/>
          <w:i/>
          <w:lang w:eastAsia="en-GB"/>
        </w:rPr>
        <w:t xml:space="preserve">lease send this form to </w:t>
      </w:r>
      <w:hyperlink r:id="rId12" w:history="1">
        <w:r w:rsidRPr="00733F3B">
          <w:rPr>
            <w:rFonts w:eastAsia="Times New Roman" w:cs="Calibri"/>
            <w:b/>
            <w:i/>
            <w:color w:val="0000FF"/>
            <w:u w:val="single"/>
            <w:lang w:eastAsia="en-GB"/>
          </w:rPr>
          <w:t>HalfHourlySettlement@ofgem.gov.uk</w:t>
        </w:r>
      </w:hyperlink>
      <w:r>
        <w:rPr>
          <w:rFonts w:eastAsia="Times New Roman" w:cs="Calibri"/>
          <w:i/>
          <w:lang w:eastAsia="en-GB"/>
        </w:rPr>
        <w:t xml:space="preserve"> once completed.</w:t>
      </w:r>
    </w:p>
    <w:p w14:paraId="09224DAD" w14:textId="77777777" w:rsidR="00F81EF5" w:rsidRDefault="00F81EF5" w:rsidP="00F81EF5">
      <w:pPr>
        <w:tabs>
          <w:tab w:val="left" w:pos="8250"/>
        </w:tabs>
        <w:rPr>
          <w:rFonts w:eastAsia="Times New Roman" w:cs="Calibri"/>
          <w:i/>
          <w:lang w:eastAsia="en-GB"/>
        </w:rPr>
      </w:pPr>
    </w:p>
    <w:p w14:paraId="040A9881" w14:textId="77777777" w:rsidR="00F81EF5" w:rsidRPr="00CA3393" w:rsidRDefault="00F81EF5" w:rsidP="00F81EF5">
      <w:pPr>
        <w:tabs>
          <w:tab w:val="left" w:pos="8250"/>
        </w:tabs>
        <w:rPr>
          <w:rFonts w:eastAsia="Times New Roman" w:cs="Calibri"/>
          <w:b/>
          <w:u w:val="single"/>
          <w:lang w:eastAsia="en-GB"/>
        </w:rPr>
      </w:pPr>
      <w:r>
        <w:rPr>
          <w:rFonts w:eastAsia="Times New Roman" w:cs="Calibri"/>
          <w:b/>
          <w:noProof/>
          <w:sz w:val="24"/>
          <w:lang w:eastAsia="en-GB"/>
        </w:rPr>
        <mc:AlternateContent>
          <mc:Choice Requires="wps">
            <w:drawing>
              <wp:anchor distT="0" distB="0" distL="114300" distR="114300" simplePos="0" relativeHeight="251659264" behindDoc="0" locked="0" layoutInCell="1" allowOverlap="1" wp14:anchorId="64FFB701" wp14:editId="411C9667">
                <wp:simplePos x="0" y="0"/>
                <wp:positionH relativeFrom="column">
                  <wp:posOffset>1234440</wp:posOffset>
                </wp:positionH>
                <wp:positionV relativeFrom="paragraph">
                  <wp:posOffset>194945</wp:posOffset>
                </wp:positionV>
                <wp:extent cx="4805045" cy="228600"/>
                <wp:effectExtent l="0" t="0" r="14605" b="19050"/>
                <wp:wrapNone/>
                <wp:docPr id="3" name="Text Box 3"/>
                <wp:cNvGraphicFramePr/>
                <a:graphic xmlns:a="http://schemas.openxmlformats.org/drawingml/2006/main">
                  <a:graphicData uri="http://schemas.microsoft.com/office/word/2010/wordprocessingShape">
                    <wps:wsp>
                      <wps:cNvSpPr txBox="1"/>
                      <wps:spPr>
                        <a:xfrm>
                          <a:off x="0" y="0"/>
                          <a:ext cx="4805045" cy="228600"/>
                        </a:xfrm>
                        <a:prstGeom prst="rect">
                          <a:avLst/>
                        </a:prstGeom>
                        <a:solidFill>
                          <a:schemeClr val="lt1"/>
                        </a:solidFill>
                        <a:ln w="6350">
                          <a:solidFill>
                            <a:schemeClr val="bg1"/>
                          </a:solidFill>
                        </a:ln>
                      </wps:spPr>
                      <wps:txbx>
                        <w:txbxContent>
                          <w:p w14:paraId="725DB740" w14:textId="08495967" w:rsidR="00F81EF5" w:rsidRDefault="003D4E6E" w:rsidP="00F81EF5">
                            <w:r>
                              <w:t>Centrica Plc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4FFB701" id="_x0000_t202" coordsize="21600,21600" o:spt="202" path="m,l,21600r21600,l21600,xe">
                <v:stroke joinstyle="miter"/>
                <v:path gradientshapeok="t" o:connecttype="rect"/>
              </v:shapetype>
              <v:shape id="Text Box 3" o:spid="_x0000_s1026" type="#_x0000_t202" style="position:absolute;margin-left:97.2pt;margin-top:15.35pt;width:378.35pt;height:1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" fillcolor="white [3201]" strokecolor="white [3212]" strokeweight=".5pt">
                <v:textbox>
                  <w:txbxContent>
                    <w:p w14:paraId="725DB740" w14:textId="08495967" w:rsidR="00F81EF5" w:rsidRDefault="003D4E6E" w:rsidP="00F81EF5">
                      <w:r>
                        <w:t>Centrica Plc</w:t>
                      </w:r>
                    </w:p>
                  </w:txbxContent>
                </v:textbox>
              </v:shape>
            </w:pict>
          </mc:Fallback>
        </mc:AlternateContent>
      </w:r>
    </w:p>
    <w:p w14:paraId="25893840" w14:textId="77777777" w:rsidR="00F81EF5" w:rsidRDefault="00F81EF5" w:rsidP="00F81EF5">
      <w:pPr>
        <w:tabs>
          <w:tab w:val="left" w:pos="8250"/>
        </w:tabs>
        <w:rPr>
          <w:rFonts w:eastAsia="Times New Roman" w:cs="Calibri"/>
          <w:b/>
          <w:sz w:val="24"/>
          <w:lang w:eastAsia="en-GB"/>
        </w:rPr>
      </w:pPr>
      <w:r w:rsidRPr="00CA3393">
        <w:rPr>
          <w:rFonts w:eastAsia="Times New Roman" w:cs="Calibri"/>
          <w:b/>
          <w:sz w:val="24"/>
          <w:lang w:eastAsia="en-GB"/>
        </w:rPr>
        <w:t>Organisation:</w:t>
      </w:r>
    </w:p>
    <w:p w14:paraId="1C3FA93F" w14:textId="77777777" w:rsidR="00F81EF5" w:rsidRPr="00CA3393" w:rsidRDefault="00F81EF5" w:rsidP="00F81EF5">
      <w:pPr>
        <w:tabs>
          <w:tab w:val="left" w:pos="8250"/>
        </w:tabs>
        <w:rPr>
          <w:rFonts w:eastAsia="Times New Roman" w:cs="Calibri"/>
          <w:b/>
          <w:sz w:val="24"/>
          <w:lang w:eastAsia="en-GB"/>
        </w:rPr>
      </w:pPr>
      <w:r>
        <w:rPr>
          <w:rFonts w:eastAsia="Times New Roman" w:cs="Calibri"/>
          <w:b/>
          <w:noProof/>
          <w:sz w:val="24"/>
          <w:lang w:eastAsia="en-GB"/>
        </w:rPr>
        <mc:AlternateContent>
          <mc:Choice Requires="wps">
            <w:drawing>
              <wp:anchor distT="0" distB="0" distL="114300" distR="114300" simplePos="0" relativeHeight="251660288" behindDoc="0" locked="0" layoutInCell="1" allowOverlap="1" wp14:anchorId="00C2BC9F" wp14:editId="49CAD303">
                <wp:simplePos x="0" y="0"/>
                <wp:positionH relativeFrom="column">
                  <wp:posOffset>777240</wp:posOffset>
                </wp:positionH>
                <wp:positionV relativeFrom="paragraph">
                  <wp:posOffset>257175</wp:posOffset>
                </wp:positionV>
                <wp:extent cx="5098415" cy="228600"/>
                <wp:effectExtent l="0" t="0" r="26035" b="19050"/>
                <wp:wrapNone/>
                <wp:docPr id="4" name="Text Box 4"/>
                <wp:cNvGraphicFramePr/>
                <a:graphic xmlns:a="http://schemas.openxmlformats.org/drawingml/2006/main">
                  <a:graphicData uri="http://schemas.microsoft.com/office/word/2010/wordprocessingShape">
                    <wps:wsp>
                      <wps:cNvSpPr txBox="1"/>
                      <wps:spPr>
                        <a:xfrm>
                          <a:off x="0" y="0"/>
                          <a:ext cx="5098415" cy="228600"/>
                        </a:xfrm>
                        <a:prstGeom prst="rect">
                          <a:avLst/>
                        </a:prstGeom>
                        <a:solidFill>
                          <a:schemeClr val="lt1"/>
                        </a:solidFill>
                        <a:ln w="6350">
                          <a:solidFill>
                            <a:schemeClr val="bg1"/>
                          </a:solidFill>
                        </a:ln>
                      </wps:spPr>
                      <wps:txbx>
                        <w:txbxContent>
                          <w:p w14:paraId="104BFCF3" w14:textId="3B73827D" w:rsidR="00F81EF5" w:rsidRDefault="003D4E6E" w:rsidP="00F81EF5">
                            <w:r>
                              <w:t>Kirsty Ingham</w:t>
                            </w:r>
                            <w:r w:rsidR="00BE2D71">
                              <w:t>, Kevin Woollard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0C2BC9F" id="Text Box 4" o:spid="_x0000_s1027" type="#_x0000_t202" style="position:absolute;margin-left:61.2pt;margin-top:20.25pt;width:401.45pt;height:1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" fillcolor="white [3201]" strokecolor="white [3212]" strokeweight=".5pt">
                <v:textbox>
                  <w:txbxContent>
                    <w:p w14:paraId="104BFCF3" w14:textId="3B73827D" w:rsidR="00F81EF5" w:rsidRDefault="003D4E6E" w:rsidP="00F81EF5">
                      <w:r>
                        <w:t>Kirsty Ingham</w:t>
                      </w:r>
                      <w:r w:rsidR="00BE2D71">
                        <w:t>, Kevin Woollard</w:t>
                      </w:r>
                    </w:p>
                  </w:txbxContent>
                </v:textbox>
              </v:shape>
            </w:pict>
          </mc:Fallback>
        </mc:AlternateContent>
      </w:r>
    </w:p>
    <w:p w14:paraId="514C9FFD" w14:textId="77777777" w:rsidR="00F81EF5" w:rsidRPr="00CA3393" w:rsidRDefault="00F81EF5" w:rsidP="00F81EF5">
      <w:pPr>
        <w:tabs>
          <w:tab w:val="left" w:pos="8250"/>
        </w:tabs>
        <w:rPr>
          <w:rFonts w:eastAsia="Times New Roman" w:cs="Calibri"/>
          <w:b/>
          <w:sz w:val="24"/>
          <w:lang w:eastAsia="en-GB"/>
        </w:rPr>
      </w:pPr>
      <w:r w:rsidRPr="00CA3393">
        <w:rPr>
          <w:rFonts w:eastAsia="Times New Roman" w:cs="Calibri"/>
          <w:b/>
          <w:sz w:val="24"/>
          <w:lang w:eastAsia="en-GB"/>
        </w:rPr>
        <w:t>Contact:</w:t>
      </w:r>
      <w:r>
        <w:rPr>
          <w:rFonts w:eastAsia="Times New Roman" w:cs="Calibri"/>
          <w:b/>
          <w:sz w:val="24"/>
          <w:lang w:eastAsia="en-GB"/>
        </w:rPr>
        <w:t xml:space="preserve"> </w:t>
      </w:r>
    </w:p>
    <w:p w14:paraId="03A29F68" w14:textId="77777777" w:rsidR="00F81EF5" w:rsidRPr="00CA3393" w:rsidRDefault="00F81EF5" w:rsidP="00F81EF5">
      <w:pPr>
        <w:tabs>
          <w:tab w:val="left" w:pos="8250"/>
        </w:tabs>
        <w:rPr>
          <w:rFonts w:eastAsia="Times New Roman" w:cs="Calibri"/>
          <w:b/>
          <w:sz w:val="24"/>
          <w:lang w:eastAsia="en-GB"/>
        </w:rPr>
      </w:pPr>
    </w:p>
    <w:p w14:paraId="10C9FAE0" w14:textId="6867E823" w:rsidR="00F81EF5" w:rsidRPr="00CA3393" w:rsidRDefault="00F81EF5" w:rsidP="00F81EF5">
      <w:pPr>
        <w:tabs>
          <w:tab w:val="left" w:pos="4925"/>
          <w:tab w:val="left" w:pos="5387"/>
          <w:tab w:val="left" w:pos="7088"/>
          <w:tab w:val="left" w:pos="8250"/>
        </w:tabs>
        <w:rPr>
          <w:rFonts w:eastAsia="Times New Roman" w:cs="Calibri"/>
          <w:b/>
          <w:sz w:val="24"/>
          <w:lang w:eastAsia="en-GB"/>
        </w:rPr>
      </w:pPr>
      <w:r w:rsidRPr="00CA3393">
        <w:rPr>
          <w:rFonts w:eastAsia="Times New Roman" w:cs="Calibri"/>
          <w:b/>
          <w:sz w:val="24"/>
          <w:lang w:eastAsia="en-GB"/>
        </w:rPr>
        <w:t>Is your feedback confidential?</w:t>
      </w:r>
      <w:r w:rsidRPr="00CA3393">
        <w:rPr>
          <w:rFonts w:eastAsia="Times New Roman" w:cs="Calibri"/>
          <w:b/>
          <w:sz w:val="24"/>
          <w:lang w:eastAsia="en-GB"/>
        </w:rPr>
        <w:tab/>
      </w:r>
      <w:r w:rsidRPr="006D77DC">
        <w:rPr>
          <w:rFonts w:eastAsia="Times New Roman" w:cs="Calibri"/>
          <w:sz w:val="28"/>
          <w:szCs w:val="28"/>
          <w:lang w:eastAsia="en-GB"/>
        </w:rPr>
        <w:t>NO</w:t>
      </w:r>
      <w:r w:rsidRPr="00CA3393">
        <w:rPr>
          <w:rFonts w:eastAsia="Times New Roman" w:cs="Calibri"/>
          <w:sz w:val="44"/>
          <w:szCs w:val="44"/>
          <w:lang w:eastAsia="en-GB"/>
        </w:rPr>
        <w:t xml:space="preserve"> </w:t>
      </w:r>
      <w:sdt>
        <w:sdtPr>
          <w:rPr>
            <w:rFonts w:eastAsia="Times New Roman" w:cs="Calibri"/>
            <w:b/>
            <w:sz w:val="36"/>
            <w:szCs w:val="52"/>
            <w:lang w:eastAsia="en-GB"/>
          </w:rPr>
          <w:id w:val="1823162767"/>
          <w14:checkbox>
            <w14:checked w14:val="1"/>
            <w14:checkedState w14:val="2612" w14:font="MS Gothic"/>
            <w14:uncheckedState w14:val="2610" w14:font="MS Gothic"/>
          </w14:checkbox>
        </w:sdtPr>
        <w:sdtEndPr/>
        <w:sdtContent>
          <w:r w:rsidR="003D4E6E">
            <w:rPr>
              <w:rFonts w:ascii="MS Gothic" w:eastAsia="MS Gothic" w:hAnsi="MS Gothic" w:cs="Calibri" w:hint="eastAsia"/>
              <w:b/>
              <w:sz w:val="36"/>
              <w:szCs w:val="52"/>
              <w:lang w:eastAsia="en-GB"/>
            </w:rPr>
            <w:t>☒</w:t>
          </w:r>
        </w:sdtContent>
      </w:sdt>
      <w:r w:rsidRPr="00CA3393">
        <w:rPr>
          <w:rFonts w:eastAsia="Times New Roman" w:cs="Calibri"/>
          <w:b/>
          <w:sz w:val="24"/>
          <w:lang w:eastAsia="en-GB"/>
        </w:rPr>
        <w:tab/>
      </w:r>
      <w:r w:rsidRPr="006D77DC">
        <w:rPr>
          <w:rFonts w:eastAsia="Times New Roman" w:cs="Calibri"/>
          <w:sz w:val="28"/>
          <w:szCs w:val="44"/>
          <w:lang w:eastAsia="en-GB"/>
        </w:rPr>
        <w:t>YES</w:t>
      </w:r>
      <w:r w:rsidRPr="00CA3393">
        <w:rPr>
          <w:rFonts w:eastAsia="Times New Roman" w:cs="Calibri"/>
          <w:b/>
          <w:sz w:val="44"/>
          <w:szCs w:val="44"/>
          <w:lang w:eastAsia="en-GB"/>
        </w:rPr>
        <w:t xml:space="preserve"> </w:t>
      </w:r>
      <w:sdt>
        <w:sdtPr>
          <w:rPr>
            <w:rFonts w:eastAsia="Times New Roman" w:cs="Calibri"/>
            <w:b/>
            <w:sz w:val="36"/>
            <w:szCs w:val="52"/>
            <w:lang w:eastAsia="en-GB"/>
          </w:rPr>
          <w:id w:val="469479282"/>
          <w14:checkbox>
            <w14:checked w14:val="0"/>
            <w14:checkedState w14:val="2612" w14:font="MS Gothic"/>
            <w14:uncheckedState w14:val="2610" w14:font="MS Gothic"/>
          </w14:checkbox>
        </w:sdtPr>
        <w:sdtEndPr/>
        <w:sdtContent>
          <w:r w:rsidR="00FB4EE6">
            <w:rPr>
              <w:rFonts w:ascii="MS Gothic" w:eastAsia="MS Gothic" w:hAnsi="MS Gothic" w:cs="Calibri" w:hint="eastAsia"/>
              <w:b/>
              <w:sz w:val="36"/>
              <w:szCs w:val="52"/>
              <w:lang w:eastAsia="en-GB"/>
            </w:rPr>
            <w:t>☐</w:t>
          </w:r>
        </w:sdtContent>
      </w:sdt>
      <w:r w:rsidRPr="006D77DC">
        <w:rPr>
          <w:rFonts w:eastAsia="Times New Roman" w:cs="Calibri"/>
          <w:b/>
          <w:sz w:val="16"/>
          <w:lang w:eastAsia="en-GB"/>
        </w:rPr>
        <w:tab/>
      </w:r>
    </w:p>
    <w:p w14:paraId="2FAA2FA7" w14:textId="77777777" w:rsidR="00F81EF5" w:rsidRDefault="00F81EF5" w:rsidP="00F81EF5">
      <w:pPr>
        <w:rPr>
          <w:rFonts w:eastAsia="Times New Roman" w:cs="Calibri"/>
          <w:lang w:eastAsia="en-GB"/>
        </w:rPr>
      </w:pPr>
    </w:p>
    <w:p w14:paraId="2EF2F010" w14:textId="77777777" w:rsidR="00F81EF5" w:rsidRPr="006D77DC" w:rsidRDefault="00F81EF5" w:rsidP="00F81EF5">
      <w:pPr>
        <w:rPr>
          <w:rFonts w:eastAsia="Times New Roman" w:cs="Calibri"/>
          <w:lang w:eastAsia="en-GB"/>
        </w:rPr>
      </w:pPr>
      <w:r w:rsidRPr="006D77DC">
        <w:rPr>
          <w:rFonts w:eastAsia="Times New Roman" w:cs="Calibri"/>
          <w:lang w:eastAsia="en-GB"/>
        </w:rPr>
        <w:t xml:space="preserve">Unless you mark your response confidential, we will publish it on our website, </w:t>
      </w:r>
      <w:hyperlink r:id="rId13" w:history="1">
        <w:r w:rsidRPr="006D77DC">
          <w:rPr>
            <w:rFonts w:eastAsia="Times New Roman" w:cs="Calibri"/>
            <w:color w:val="0000FF"/>
            <w:u w:val="single"/>
            <w:lang w:eastAsia="en-GB"/>
          </w:rPr>
          <w:t>www.ofgem.gov.uk</w:t>
        </w:r>
      </w:hyperlink>
      <w:r w:rsidRPr="006D77DC">
        <w:rPr>
          <w:rFonts w:eastAsia="Times New Roman" w:cs="Calibri"/>
          <w:lang w:eastAsia="en-GB"/>
        </w:rPr>
        <w:t xml:space="preserve">, and put it in our library. You can ask us to keep your response confidential, and we will respect this, subject to obligations to disclose information, for example, under the Freedom of Information Act 2000 or the Environmental Information Regulations 2004. If you want us to keep your response confidential, you should clearly mark your response to that effect and include reasons. </w:t>
      </w:r>
    </w:p>
    <w:p w14:paraId="38F059D9" w14:textId="77777777" w:rsidR="00F81EF5" w:rsidRPr="006D77DC" w:rsidRDefault="00F81EF5" w:rsidP="00F81EF5">
      <w:pPr>
        <w:rPr>
          <w:rFonts w:eastAsia="Times New Roman" w:cs="Calibri"/>
          <w:lang w:eastAsia="en-GB"/>
        </w:rPr>
      </w:pPr>
    </w:p>
    <w:p w14:paraId="77B3B0F8" w14:textId="77777777" w:rsidR="00F81EF5" w:rsidRPr="006D77DC" w:rsidRDefault="00F81EF5" w:rsidP="00F81EF5">
      <w:pPr>
        <w:rPr>
          <w:rFonts w:eastAsia="Times New Roman" w:cs="Calibri"/>
          <w:lang w:eastAsia="en-GB"/>
        </w:rPr>
      </w:pPr>
      <w:r w:rsidRPr="006D77DC">
        <w:rPr>
          <w:rFonts w:eastAsia="Times New Roman" w:cs="Calibri"/>
          <w:lang w:eastAsia="en-GB"/>
        </w:rPr>
        <w:t>If the information you give in your response contains personal data under General Data Protection Regulation (EU) 2016/679 and Data Protection Act 2018, the Gas and Electricity Markets Authority will be the data controller. Ofgem uses the information in responses in performing its statutory functions and in accordance with section 105 of the Utilities Act 2000. If you are including any confidential material in your response, please put it in the appendices.</w:t>
      </w:r>
    </w:p>
    <w:p w14:paraId="6A770E57" w14:textId="160A41C6" w:rsidR="00F81EF5" w:rsidRPr="00757B86" w:rsidRDefault="00F81EF5" w:rsidP="00757B86">
      <w:pPr>
        <w:rPr>
          <w:b/>
          <w:color w:val="ED7D31" w:themeColor="accent2"/>
          <w:sz w:val="28"/>
          <w:szCs w:val="28"/>
        </w:rPr>
      </w:pPr>
      <w:r>
        <w:rPr>
          <w:b/>
          <w:color w:val="ED7D31" w:themeColor="accent2"/>
          <w:sz w:val="28"/>
          <w:szCs w:val="28"/>
        </w:rPr>
        <w:br w:type="page"/>
      </w:r>
      <w:bookmarkStart w:id="0" w:name="_Toc62037744"/>
    </w:p>
    <w:bookmarkEnd w:id="0"/>
    <w:p w14:paraId="52F64FF1" w14:textId="0E2FBBAE" w:rsidR="004A6AEB" w:rsidRDefault="00757B86" w:rsidP="001F214F">
      <w:pPr>
        <w:pStyle w:val="Appendixtext-Numbered"/>
      </w:pPr>
      <w:r>
        <w:rPr>
          <w:b/>
          <w:bCs/>
        </w:rPr>
        <w:lastRenderedPageBreak/>
        <w:t xml:space="preserve">Question </w:t>
      </w:r>
      <w:r w:rsidR="001F214F" w:rsidRPr="00757B86">
        <w:rPr>
          <w:b/>
          <w:bCs/>
        </w:rPr>
        <w:t>1</w:t>
      </w:r>
      <w:r w:rsidR="00C849FC">
        <w:rPr>
          <w:b/>
          <w:bCs/>
        </w:rPr>
        <w:t>:</w:t>
      </w:r>
      <w:r w:rsidR="001F214F">
        <w:t xml:space="preserve"> </w:t>
      </w:r>
      <w:r>
        <w:rPr>
          <w:b/>
          <w:bCs/>
        </w:rPr>
        <w:t>Do you agree with the proposed criteria for making our decision?</w:t>
      </w:r>
    </w:p>
    <w:tbl>
      <w:tblPr>
        <w:tblpPr w:leftFromText="180" w:rightFromText="180" w:vertAnchor="text" w:tblpXSpec="center" w:tblpY="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6"/>
      </w:tblGrid>
      <w:tr w:rsidR="00F81EF5" w14:paraId="27F02358" w14:textId="77777777" w:rsidTr="004A6AEB">
        <w:trPr>
          <w:trHeight w:val="10399"/>
        </w:trPr>
        <w:tc>
          <w:tcPr>
            <w:tcW w:w="5000" w:type="pct"/>
          </w:tcPr>
          <w:p w14:paraId="7AA13139" w14:textId="77777777" w:rsidR="00F81EF5" w:rsidRDefault="00F81EF5" w:rsidP="0000553B">
            <w:pPr>
              <w:rPr>
                <w:sz w:val="24"/>
              </w:rPr>
            </w:pPr>
          </w:p>
          <w:p w14:paraId="5E45513E" w14:textId="6E6A9157" w:rsidR="006B6D47" w:rsidRPr="006B6D47" w:rsidRDefault="00B54EE9" w:rsidP="006B6D47">
            <w:pPr>
              <w:rPr>
                <w:sz w:val="24"/>
              </w:rPr>
            </w:pPr>
            <w:r>
              <w:rPr>
                <w:sz w:val="24"/>
              </w:rPr>
              <w:t>We broadly agree with the proposed cri</w:t>
            </w:r>
            <w:r w:rsidR="006B6D47">
              <w:rPr>
                <w:sz w:val="24"/>
              </w:rPr>
              <w:t>t</w:t>
            </w:r>
            <w:r>
              <w:rPr>
                <w:sz w:val="24"/>
              </w:rPr>
              <w:t xml:space="preserve">eria for making the decision. </w:t>
            </w:r>
          </w:p>
          <w:p w14:paraId="7B97AA45" w14:textId="77777777" w:rsidR="00F81EF5" w:rsidRDefault="00F81EF5" w:rsidP="0000553B">
            <w:pPr>
              <w:rPr>
                <w:sz w:val="24"/>
              </w:rPr>
            </w:pPr>
          </w:p>
          <w:p w14:paraId="046C13A7" w14:textId="77777777" w:rsidR="00F81EF5" w:rsidRDefault="00F81EF5" w:rsidP="0000553B">
            <w:pPr>
              <w:rPr>
                <w:sz w:val="24"/>
              </w:rPr>
            </w:pPr>
          </w:p>
          <w:p w14:paraId="413AA770" w14:textId="77777777" w:rsidR="00F81EF5" w:rsidRDefault="00F81EF5" w:rsidP="0000553B">
            <w:pPr>
              <w:rPr>
                <w:sz w:val="24"/>
              </w:rPr>
            </w:pPr>
          </w:p>
          <w:p w14:paraId="02364F41" w14:textId="77777777" w:rsidR="00F81EF5" w:rsidRDefault="00F81EF5" w:rsidP="0000553B">
            <w:pPr>
              <w:rPr>
                <w:sz w:val="24"/>
              </w:rPr>
            </w:pPr>
          </w:p>
          <w:p w14:paraId="788B22BD" w14:textId="77777777" w:rsidR="00F81EF5" w:rsidRDefault="00F81EF5" w:rsidP="0000553B">
            <w:pPr>
              <w:rPr>
                <w:sz w:val="24"/>
              </w:rPr>
            </w:pPr>
          </w:p>
          <w:p w14:paraId="0CC09A5C" w14:textId="77777777" w:rsidR="00F81EF5" w:rsidRDefault="00F81EF5" w:rsidP="0000553B">
            <w:pPr>
              <w:rPr>
                <w:sz w:val="24"/>
              </w:rPr>
            </w:pPr>
          </w:p>
          <w:p w14:paraId="53EE82FA" w14:textId="77777777" w:rsidR="00F81EF5" w:rsidRDefault="00F81EF5" w:rsidP="0000553B">
            <w:pPr>
              <w:rPr>
                <w:sz w:val="24"/>
              </w:rPr>
            </w:pPr>
          </w:p>
          <w:p w14:paraId="00239C92" w14:textId="77777777" w:rsidR="00F81EF5" w:rsidRDefault="00F81EF5" w:rsidP="0000553B">
            <w:pPr>
              <w:rPr>
                <w:sz w:val="24"/>
              </w:rPr>
            </w:pPr>
          </w:p>
          <w:p w14:paraId="713A4828" w14:textId="77777777" w:rsidR="00F81EF5" w:rsidRDefault="00F81EF5" w:rsidP="0000553B">
            <w:pPr>
              <w:rPr>
                <w:sz w:val="24"/>
              </w:rPr>
            </w:pPr>
          </w:p>
          <w:p w14:paraId="63EF0C6F" w14:textId="77777777" w:rsidR="00F81EF5" w:rsidRDefault="00F81EF5" w:rsidP="0000553B">
            <w:pPr>
              <w:rPr>
                <w:sz w:val="24"/>
              </w:rPr>
            </w:pPr>
          </w:p>
          <w:p w14:paraId="64BCE7BF" w14:textId="77777777" w:rsidR="00F81EF5" w:rsidRDefault="00F81EF5" w:rsidP="0000553B">
            <w:pPr>
              <w:rPr>
                <w:sz w:val="24"/>
              </w:rPr>
            </w:pPr>
          </w:p>
          <w:p w14:paraId="3E137A08" w14:textId="77777777" w:rsidR="00F81EF5" w:rsidRDefault="00F81EF5" w:rsidP="0000553B">
            <w:pPr>
              <w:rPr>
                <w:sz w:val="24"/>
              </w:rPr>
            </w:pPr>
          </w:p>
          <w:p w14:paraId="0C3D511D" w14:textId="77777777" w:rsidR="00F81EF5" w:rsidRDefault="00F81EF5" w:rsidP="0000553B">
            <w:pPr>
              <w:rPr>
                <w:sz w:val="24"/>
              </w:rPr>
            </w:pPr>
          </w:p>
          <w:p w14:paraId="275D6E99" w14:textId="77777777" w:rsidR="00F81EF5" w:rsidRDefault="00F81EF5" w:rsidP="0000553B">
            <w:pPr>
              <w:rPr>
                <w:sz w:val="24"/>
              </w:rPr>
            </w:pPr>
          </w:p>
          <w:p w14:paraId="4668ABBD" w14:textId="77777777" w:rsidR="00F81EF5" w:rsidRDefault="00F81EF5" w:rsidP="0000553B">
            <w:pPr>
              <w:rPr>
                <w:sz w:val="24"/>
              </w:rPr>
            </w:pPr>
          </w:p>
          <w:p w14:paraId="3891486E" w14:textId="77777777" w:rsidR="00F81EF5" w:rsidRDefault="00F81EF5" w:rsidP="0000553B">
            <w:pPr>
              <w:rPr>
                <w:sz w:val="24"/>
              </w:rPr>
            </w:pPr>
          </w:p>
          <w:p w14:paraId="3894647A" w14:textId="77777777" w:rsidR="00F81EF5" w:rsidRDefault="00F81EF5" w:rsidP="0000553B">
            <w:pPr>
              <w:rPr>
                <w:sz w:val="24"/>
              </w:rPr>
            </w:pPr>
          </w:p>
          <w:p w14:paraId="2FDF5EDC" w14:textId="77777777" w:rsidR="00F81EF5" w:rsidRDefault="00F81EF5" w:rsidP="0000553B">
            <w:pPr>
              <w:rPr>
                <w:sz w:val="24"/>
              </w:rPr>
            </w:pPr>
          </w:p>
          <w:p w14:paraId="2746DCCA" w14:textId="77777777" w:rsidR="00F81EF5" w:rsidRDefault="00F81EF5" w:rsidP="0000553B">
            <w:pPr>
              <w:rPr>
                <w:sz w:val="24"/>
              </w:rPr>
            </w:pPr>
          </w:p>
          <w:p w14:paraId="6490F411" w14:textId="0E9938AD" w:rsidR="00FB4EE6" w:rsidRDefault="00FB4EE6" w:rsidP="0000553B">
            <w:pPr>
              <w:rPr>
                <w:sz w:val="24"/>
              </w:rPr>
            </w:pPr>
          </w:p>
        </w:tc>
      </w:tr>
    </w:tbl>
    <w:p w14:paraId="2EA291DD" w14:textId="77777777" w:rsidR="00757B86" w:rsidRDefault="00757B86" w:rsidP="001F214F">
      <w:pPr>
        <w:pStyle w:val="Appendixtext-Numbered"/>
      </w:pPr>
    </w:p>
    <w:p w14:paraId="1AEA407A" w14:textId="77777777" w:rsidR="00757B86" w:rsidRDefault="00757B86" w:rsidP="001F214F">
      <w:pPr>
        <w:pStyle w:val="Appendixtext-Numbered"/>
      </w:pPr>
    </w:p>
    <w:p w14:paraId="215869E3" w14:textId="68B308B3" w:rsidR="004A6AEB" w:rsidRDefault="00757B86" w:rsidP="001F214F">
      <w:pPr>
        <w:pStyle w:val="Appendixtext-Numbered"/>
      </w:pPr>
      <w:r w:rsidRPr="00757B86">
        <w:rPr>
          <w:b/>
          <w:bCs/>
        </w:rPr>
        <w:lastRenderedPageBreak/>
        <w:t xml:space="preserve">Question </w:t>
      </w:r>
      <w:r w:rsidR="001F214F" w:rsidRPr="00757B86">
        <w:rPr>
          <w:b/>
          <w:bCs/>
        </w:rPr>
        <w:t>2</w:t>
      </w:r>
      <w:r>
        <w:rPr>
          <w:b/>
          <w:bCs/>
        </w:rPr>
        <w:t>:</w:t>
      </w:r>
      <w:r w:rsidR="001F214F">
        <w:t xml:space="preserve"> </w:t>
      </w:r>
      <w:r>
        <w:rPr>
          <w:b/>
          <w:bCs/>
        </w:rPr>
        <w:t>Do you have any views about the relative importance of the criteria?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6"/>
      </w:tblGrid>
      <w:tr w:rsidR="00F81EF5" w14:paraId="323072AF" w14:textId="77777777" w:rsidTr="004A6AEB">
        <w:trPr>
          <w:trHeight w:val="10405"/>
          <w:jc w:val="center"/>
        </w:trPr>
        <w:tc>
          <w:tcPr>
            <w:tcW w:w="5000" w:type="pct"/>
          </w:tcPr>
          <w:p w14:paraId="7224F3DE" w14:textId="51456618" w:rsidR="006B6D47" w:rsidRDefault="006B6D47" w:rsidP="006B6D47">
            <w:pPr>
              <w:rPr>
                <w:sz w:val="24"/>
              </w:rPr>
            </w:pPr>
            <w:bookmarkStart w:id="1" w:name="_Hlk69848704"/>
            <w:r>
              <w:rPr>
                <w:sz w:val="24"/>
              </w:rPr>
              <w:t xml:space="preserve">In our view highest weighting would be given to criteria such as: </w:t>
            </w:r>
          </w:p>
          <w:p w14:paraId="0EAC79A6" w14:textId="2ED1AF80" w:rsidR="006B6D47" w:rsidRDefault="006B6D47" w:rsidP="006B6D47">
            <w:pPr>
              <w:pStyle w:val="ListParagraph"/>
              <w:numPr>
                <w:ilvl w:val="0"/>
                <w:numId w:val="14"/>
              </w:numPr>
              <w:rPr>
                <w:sz w:val="24"/>
              </w:rPr>
            </w:pPr>
            <w:r>
              <w:rPr>
                <w:sz w:val="24"/>
              </w:rPr>
              <w:t>Value for money</w:t>
            </w:r>
          </w:p>
          <w:p w14:paraId="09C37B4C" w14:textId="25D41F95" w:rsidR="006B6D47" w:rsidRDefault="006B6D47" w:rsidP="006B6D47">
            <w:pPr>
              <w:pStyle w:val="ListParagraph"/>
              <w:numPr>
                <w:ilvl w:val="0"/>
                <w:numId w:val="14"/>
              </w:numPr>
              <w:rPr>
                <w:sz w:val="24"/>
              </w:rPr>
            </w:pPr>
            <w:r>
              <w:rPr>
                <w:sz w:val="24"/>
              </w:rPr>
              <w:t>Track record in operating similar services</w:t>
            </w:r>
          </w:p>
          <w:p w14:paraId="55CC517F" w14:textId="68283753" w:rsidR="00A12C0B" w:rsidRDefault="00A12C0B" w:rsidP="00A12C0B">
            <w:pPr>
              <w:pStyle w:val="ListParagraph"/>
              <w:numPr>
                <w:ilvl w:val="0"/>
                <w:numId w:val="14"/>
              </w:numPr>
              <w:rPr>
                <w:sz w:val="24"/>
              </w:rPr>
            </w:pPr>
            <w:r>
              <w:rPr>
                <w:sz w:val="24"/>
              </w:rPr>
              <w:t>Ability to securely manage data</w:t>
            </w:r>
          </w:p>
          <w:p w14:paraId="69DF5FF7" w14:textId="5AC9FEDE" w:rsidR="0056239D" w:rsidRPr="0056239D" w:rsidRDefault="0056239D" w:rsidP="0056239D">
            <w:pPr>
              <w:pStyle w:val="ListParagraph"/>
              <w:numPr>
                <w:ilvl w:val="0"/>
                <w:numId w:val="14"/>
              </w:numPr>
              <w:rPr>
                <w:sz w:val="24"/>
              </w:rPr>
            </w:pPr>
            <w:r>
              <w:rPr>
                <w:sz w:val="24"/>
              </w:rPr>
              <w:t>Overarching consumer focus</w:t>
            </w:r>
          </w:p>
          <w:p w14:paraId="2B5DC99C" w14:textId="292729C4" w:rsidR="006B6D47" w:rsidRDefault="006B6D47" w:rsidP="006B6D47">
            <w:pPr>
              <w:pStyle w:val="ListParagraph"/>
              <w:numPr>
                <w:ilvl w:val="0"/>
                <w:numId w:val="14"/>
              </w:numPr>
              <w:rPr>
                <w:sz w:val="24"/>
              </w:rPr>
            </w:pPr>
            <w:r>
              <w:rPr>
                <w:sz w:val="24"/>
              </w:rPr>
              <w:t>Strategic fit with other code objectives</w:t>
            </w:r>
          </w:p>
          <w:p w14:paraId="5E79FEDF" w14:textId="154A2635" w:rsidR="009E7E04" w:rsidRPr="009E7E04" w:rsidRDefault="009E7E04" w:rsidP="009E7E04">
            <w:pPr>
              <w:rPr>
                <w:sz w:val="24"/>
              </w:rPr>
            </w:pPr>
            <w:r>
              <w:rPr>
                <w:sz w:val="24"/>
              </w:rPr>
              <w:t>Value for money for industry and consumers is our most important criterion, but clearly must be considered alongside service provision and reliability.</w:t>
            </w:r>
          </w:p>
          <w:p w14:paraId="71BE7236" w14:textId="63BE2CA8" w:rsidR="00F81EF5" w:rsidRPr="0056239D" w:rsidRDefault="00F81EF5" w:rsidP="0056239D">
            <w:pPr>
              <w:ind w:left="360"/>
              <w:rPr>
                <w:sz w:val="24"/>
              </w:rPr>
            </w:pPr>
          </w:p>
        </w:tc>
      </w:tr>
      <w:bookmarkEnd w:id="1"/>
    </w:tbl>
    <w:p w14:paraId="5A046F38" w14:textId="77777777" w:rsidR="00757B86" w:rsidRDefault="00757B86" w:rsidP="001F214F">
      <w:pPr>
        <w:pStyle w:val="Appendixtext-Numbered"/>
      </w:pPr>
    </w:p>
    <w:p w14:paraId="60F9E0E1" w14:textId="77777777" w:rsidR="00757B86" w:rsidRDefault="00757B86" w:rsidP="001F214F">
      <w:pPr>
        <w:pStyle w:val="Appendixtext-Numbered"/>
      </w:pPr>
    </w:p>
    <w:p w14:paraId="35809D65" w14:textId="7E919A92" w:rsidR="004A6AEB" w:rsidRPr="00757B86" w:rsidRDefault="00757B86" w:rsidP="001F214F">
      <w:pPr>
        <w:pStyle w:val="Appendixtext-Numbered"/>
        <w:rPr>
          <w:b/>
          <w:bCs/>
        </w:rPr>
      </w:pPr>
      <w:r w:rsidRPr="00757B86">
        <w:rPr>
          <w:b/>
          <w:bCs/>
        </w:rPr>
        <w:lastRenderedPageBreak/>
        <w:t xml:space="preserve">Question </w:t>
      </w:r>
      <w:r w:rsidR="001F214F" w:rsidRPr="00757B86">
        <w:rPr>
          <w:b/>
          <w:bCs/>
        </w:rPr>
        <w:t>3</w:t>
      </w:r>
      <w:r>
        <w:rPr>
          <w:b/>
          <w:bCs/>
        </w:rPr>
        <w:t>:</w:t>
      </w:r>
      <w:r w:rsidR="001F214F" w:rsidRPr="00757B86">
        <w:rPr>
          <w:b/>
          <w:bCs/>
        </w:rPr>
        <w:t xml:space="preserve"> </w:t>
      </w:r>
      <w:r>
        <w:rPr>
          <w:b/>
          <w:bCs/>
        </w:rPr>
        <w:t>Are there any other criteria we should consider in making our decision?</w:t>
      </w:r>
    </w:p>
    <w:tbl>
      <w:tblPr>
        <w:tblpPr w:leftFromText="180" w:rightFromText="180" w:vertAnchor="text" w:horzAnchor="margin" w:tblpYSpec="bottom"/>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6"/>
      </w:tblGrid>
      <w:tr w:rsidR="004A6AEB" w14:paraId="0C9DDCDE" w14:textId="77777777" w:rsidTr="004A6AEB">
        <w:trPr>
          <w:trHeight w:val="11155"/>
        </w:trPr>
        <w:tc>
          <w:tcPr>
            <w:tcW w:w="5000" w:type="pct"/>
          </w:tcPr>
          <w:p w14:paraId="18ABA9CD" w14:textId="7A0E5247" w:rsidR="004A6AEB" w:rsidRDefault="00462631" w:rsidP="004A6AEB">
            <w:pPr>
              <w:rPr>
                <w:sz w:val="24"/>
              </w:rPr>
            </w:pPr>
            <w:bookmarkStart w:id="2" w:name="_Hlk69899508"/>
            <w:r>
              <w:rPr>
                <w:sz w:val="24"/>
              </w:rPr>
              <w:t>The o</w:t>
            </w:r>
            <w:r w:rsidR="00D6578C">
              <w:rPr>
                <w:sz w:val="24"/>
              </w:rPr>
              <w:t>nly area we could see that was possibly missing was “ability to innovate or track record in delivery of innovation”.</w:t>
            </w:r>
          </w:p>
        </w:tc>
      </w:tr>
      <w:bookmarkEnd w:id="2"/>
    </w:tbl>
    <w:p w14:paraId="5C8E3D74" w14:textId="77777777" w:rsidR="00C849FC" w:rsidRDefault="00C849FC" w:rsidP="00C849FC">
      <w:pPr>
        <w:pStyle w:val="Paragraph"/>
        <w:spacing w:before="0" w:after="0"/>
        <w:rPr>
          <w:b/>
          <w:bCs/>
        </w:rPr>
      </w:pPr>
    </w:p>
    <w:p w14:paraId="392C75CD" w14:textId="6F4F9EDB" w:rsidR="00C849FC" w:rsidRPr="00757B86" w:rsidRDefault="00C849FC" w:rsidP="00C849FC">
      <w:pPr>
        <w:pStyle w:val="Paragraph"/>
        <w:spacing w:before="0" w:after="0"/>
        <w:rPr>
          <w:b/>
          <w:bCs/>
        </w:rPr>
      </w:pPr>
      <w:r w:rsidRPr="00757B86">
        <w:rPr>
          <w:b/>
          <w:bCs/>
        </w:rPr>
        <w:lastRenderedPageBreak/>
        <w:t xml:space="preserve">Question </w:t>
      </w:r>
      <w:r>
        <w:rPr>
          <w:b/>
          <w:bCs/>
        </w:rPr>
        <w:t>4:</w:t>
      </w:r>
      <w:r w:rsidRPr="00757B86">
        <w:rPr>
          <w:b/>
          <w:bCs/>
        </w:rPr>
        <w:t xml:space="preserve"> </w:t>
      </w:r>
      <w:r>
        <w:rPr>
          <w:b/>
          <w:bCs/>
        </w:rPr>
        <w:t>Should the EDA governing body have objectives</w:t>
      </w:r>
      <w:r w:rsidRPr="00311723">
        <w:t xml:space="preserve"> </w:t>
      </w:r>
      <w:r w:rsidRPr="00311723">
        <w:rPr>
          <w:b/>
          <w:bCs/>
        </w:rPr>
        <w:t xml:space="preserve">to provide accurate and timely support </w:t>
      </w:r>
      <w:r>
        <w:rPr>
          <w:b/>
          <w:bCs/>
        </w:rPr>
        <w:t>for</w:t>
      </w:r>
      <w:r w:rsidRPr="00311723">
        <w:rPr>
          <w:b/>
          <w:bCs/>
        </w:rPr>
        <w:t xml:space="preserve"> the settlement process and to further </w:t>
      </w:r>
      <w:r>
        <w:rPr>
          <w:b/>
          <w:bCs/>
        </w:rPr>
        <w:t>consumers’</w:t>
      </w:r>
      <w:r w:rsidRPr="00311723">
        <w:rPr>
          <w:b/>
          <w:bCs/>
        </w:rPr>
        <w:t xml:space="preserve"> interests through the appropriately controlled use of data? If not, please provide reasons and set out alternative objectives, also with reasons.</w:t>
      </w:r>
    </w:p>
    <w:tbl>
      <w:tblPr>
        <w:tblpPr w:leftFromText="180" w:rightFromText="180" w:vertAnchor="text" w:horzAnchor="margin" w:tblpYSpec="bottom"/>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6"/>
      </w:tblGrid>
      <w:tr w:rsidR="00C849FC" w14:paraId="3191325B" w14:textId="77777777" w:rsidTr="003C153C">
        <w:trPr>
          <w:trHeight w:val="11155"/>
        </w:trPr>
        <w:tc>
          <w:tcPr>
            <w:tcW w:w="5000" w:type="pct"/>
          </w:tcPr>
          <w:p w14:paraId="43766F1B" w14:textId="44B034A6" w:rsidR="00C849FC" w:rsidRDefault="00D6578C" w:rsidP="003C153C">
            <w:pPr>
              <w:rPr>
                <w:sz w:val="24"/>
              </w:rPr>
            </w:pPr>
            <w:r>
              <w:rPr>
                <w:sz w:val="24"/>
              </w:rPr>
              <w:t>We agree that the EDA governing body should have objectives to provide accurate and timely support for the settlement process and to further consumers’ interests through the appropriately controlled use of data.</w:t>
            </w:r>
          </w:p>
        </w:tc>
      </w:tr>
    </w:tbl>
    <w:p w14:paraId="05CB8A26" w14:textId="024EF99F" w:rsidR="00C849FC" w:rsidRPr="00757B86" w:rsidRDefault="00C849FC" w:rsidP="00C849FC">
      <w:pPr>
        <w:pStyle w:val="Paragraph"/>
        <w:spacing w:before="0" w:after="0"/>
        <w:rPr>
          <w:b/>
          <w:bCs/>
        </w:rPr>
      </w:pPr>
      <w:r w:rsidRPr="00757B86">
        <w:rPr>
          <w:b/>
          <w:bCs/>
        </w:rPr>
        <w:lastRenderedPageBreak/>
        <w:t xml:space="preserve">Question </w:t>
      </w:r>
      <w:r>
        <w:rPr>
          <w:b/>
          <w:bCs/>
        </w:rPr>
        <w:t>5:</w:t>
      </w:r>
      <w:r w:rsidRPr="00757B86">
        <w:rPr>
          <w:b/>
          <w:bCs/>
        </w:rPr>
        <w:t xml:space="preserve"> </w:t>
      </w:r>
      <w:r w:rsidRPr="00AE514A">
        <w:rPr>
          <w:b/>
          <w:bCs/>
        </w:rPr>
        <w:t xml:space="preserve">Do you agree that electricity suppliers, supplier agents, DNOs, generators, </w:t>
      </w:r>
      <w:r>
        <w:rPr>
          <w:b/>
          <w:bCs/>
        </w:rPr>
        <w:t xml:space="preserve">National Grid (NG) ESO, </w:t>
      </w:r>
      <w:r w:rsidRPr="00AE514A">
        <w:rPr>
          <w:b/>
          <w:bCs/>
        </w:rPr>
        <w:t xml:space="preserve">consumers and energy service innovators should be represented in the governance of the EDA? If not, please </w:t>
      </w:r>
      <w:r>
        <w:rPr>
          <w:b/>
          <w:bCs/>
        </w:rPr>
        <w:t>give</w:t>
      </w:r>
      <w:r w:rsidRPr="00AE514A">
        <w:rPr>
          <w:b/>
          <w:bCs/>
        </w:rPr>
        <w:t xml:space="preserve"> reasons. </w:t>
      </w:r>
      <w:r>
        <w:rPr>
          <w:b/>
          <w:bCs/>
        </w:rPr>
        <w:t>Should</w:t>
      </w:r>
      <w:r w:rsidRPr="00AE514A">
        <w:rPr>
          <w:b/>
          <w:bCs/>
        </w:rPr>
        <w:t xml:space="preserve"> any other categories of party be represented in the EDA governance?</w:t>
      </w:r>
    </w:p>
    <w:tbl>
      <w:tblPr>
        <w:tblpPr w:leftFromText="180" w:rightFromText="180" w:vertAnchor="text" w:horzAnchor="margin" w:tblpYSpec="bottom"/>
        <w:tblW w:w="49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6"/>
      </w:tblGrid>
      <w:tr w:rsidR="00C849FC" w14:paraId="71E338EE" w14:textId="77777777" w:rsidTr="003C153C">
        <w:trPr>
          <w:trHeight w:val="11155"/>
        </w:trPr>
        <w:tc>
          <w:tcPr>
            <w:tcW w:w="5000" w:type="pct"/>
          </w:tcPr>
          <w:p w14:paraId="6C7F7CCA" w14:textId="56D1992F" w:rsidR="00C849FC" w:rsidRDefault="00623AFA" w:rsidP="003C153C">
            <w:pPr>
              <w:rPr>
                <w:sz w:val="24"/>
              </w:rPr>
            </w:pPr>
            <w:r>
              <w:rPr>
                <w:sz w:val="24"/>
              </w:rPr>
              <w:t>We agree that electricity suppliers, suppliers agents, DNOs, generators, National Grid ESO, consumers and energy service innovators should be represented. We would also suggest the addition of consumer advocates</w:t>
            </w:r>
            <w:r w:rsidR="009E7E04">
              <w:rPr>
                <w:sz w:val="24"/>
              </w:rPr>
              <w:t xml:space="preserve"> for clarity</w:t>
            </w:r>
            <w:r>
              <w:rPr>
                <w:sz w:val="24"/>
              </w:rPr>
              <w:t>.</w:t>
            </w:r>
          </w:p>
        </w:tc>
      </w:tr>
    </w:tbl>
    <w:p w14:paraId="3D1DF4D0" w14:textId="5AAEE450" w:rsidR="00C849FC" w:rsidRPr="00757B86" w:rsidRDefault="00C849FC" w:rsidP="00C849FC">
      <w:pPr>
        <w:pStyle w:val="Paragraph"/>
        <w:spacing w:before="0" w:after="0"/>
        <w:ind w:right="-115"/>
        <w:rPr>
          <w:b/>
          <w:bCs/>
        </w:rPr>
      </w:pPr>
      <w:r w:rsidRPr="00757B86">
        <w:rPr>
          <w:b/>
          <w:bCs/>
        </w:rPr>
        <w:lastRenderedPageBreak/>
        <w:t xml:space="preserve">Question </w:t>
      </w:r>
      <w:r>
        <w:rPr>
          <w:b/>
          <w:bCs/>
        </w:rPr>
        <w:t xml:space="preserve">6: </w:t>
      </w:r>
      <w:r w:rsidRPr="00AE514A">
        <w:rPr>
          <w:b/>
          <w:bCs/>
        </w:rPr>
        <w:t>Do you agree that electricity suppliers, supplier agents, DNOs</w:t>
      </w:r>
      <w:r>
        <w:rPr>
          <w:b/>
          <w:bCs/>
        </w:rPr>
        <w:t>,</w:t>
      </w:r>
      <w:r w:rsidRPr="00B12F73">
        <w:rPr>
          <w:b/>
          <w:bCs/>
        </w:rPr>
        <w:t xml:space="preserve"> generators</w:t>
      </w:r>
      <w:r>
        <w:rPr>
          <w:b/>
          <w:bCs/>
        </w:rPr>
        <w:t xml:space="preserve"> and NG ESO</w:t>
      </w:r>
      <w:r w:rsidRPr="00B12F73">
        <w:rPr>
          <w:b/>
          <w:bCs/>
        </w:rPr>
        <w:t xml:space="preserve"> should all take a share in funding the EDA</w:t>
      </w:r>
      <w:r>
        <w:rPr>
          <w:b/>
          <w:bCs/>
        </w:rPr>
        <w:t>?</w:t>
      </w:r>
      <w:r w:rsidRPr="00B12F73">
        <w:rPr>
          <w:b/>
          <w:bCs/>
        </w:rPr>
        <w:t xml:space="preserve"> If not, please provide reasons. </w:t>
      </w:r>
      <w:r w:rsidRPr="009C7A0A">
        <w:rPr>
          <w:b/>
          <w:bCs/>
        </w:rPr>
        <w:t>Should any other categories of party take a share in funding the EDA?</w:t>
      </w:r>
      <w:r>
        <w:t xml:space="preserve"> </w:t>
      </w:r>
      <w:r w:rsidRPr="00B12F73">
        <w:rPr>
          <w:b/>
          <w:bCs/>
        </w:rPr>
        <w:t>We would be interested in any proposals as to the proportions by which the funding requirement should be shared between these parties</w:t>
      </w:r>
      <w:r>
        <w:rPr>
          <w:b/>
          <w:bCs/>
        </w:rPr>
        <w:t>.</w:t>
      </w:r>
    </w:p>
    <w:tbl>
      <w:tblPr>
        <w:tblpPr w:leftFromText="180" w:rightFromText="180" w:vertAnchor="text" w:horzAnchor="margin" w:tblpYSpec="bottom"/>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3"/>
      </w:tblGrid>
      <w:tr w:rsidR="00C849FC" w14:paraId="278C5116" w14:textId="77777777" w:rsidTr="00C849FC">
        <w:trPr>
          <w:trHeight w:val="10879"/>
        </w:trPr>
        <w:tc>
          <w:tcPr>
            <w:tcW w:w="5000" w:type="pct"/>
          </w:tcPr>
          <w:p w14:paraId="4145A308" w14:textId="103C8E0C" w:rsidR="00C849FC" w:rsidRDefault="00623AFA" w:rsidP="003C153C">
            <w:pPr>
              <w:rPr>
                <w:sz w:val="24"/>
              </w:rPr>
            </w:pPr>
            <w:r>
              <w:rPr>
                <w:sz w:val="24"/>
              </w:rPr>
              <w:t>Any</w:t>
            </w:r>
            <w:r w:rsidR="009E7E04">
              <w:rPr>
                <w:sz w:val="24"/>
              </w:rPr>
              <w:t xml:space="preserve"> party</w:t>
            </w:r>
            <w:r>
              <w:rPr>
                <w:sz w:val="24"/>
              </w:rPr>
              <w:t xml:space="preserve"> </w:t>
            </w:r>
            <w:r w:rsidR="009E7E04">
              <w:rPr>
                <w:sz w:val="24"/>
              </w:rPr>
              <w:t xml:space="preserve">which </w:t>
            </w:r>
            <w:r>
              <w:rPr>
                <w:sz w:val="24"/>
              </w:rPr>
              <w:t>benefits commercially from the use of the EDA should contribute to the funding of the EDA. This could therefore also include energy service innovators.</w:t>
            </w:r>
          </w:p>
        </w:tc>
      </w:tr>
    </w:tbl>
    <w:p w14:paraId="3AD98187" w14:textId="4267B31A" w:rsidR="00C849FC" w:rsidRPr="00757B86" w:rsidRDefault="00C849FC" w:rsidP="00C849FC">
      <w:pPr>
        <w:pStyle w:val="Paragraph"/>
        <w:spacing w:before="0" w:after="0"/>
        <w:rPr>
          <w:b/>
          <w:bCs/>
        </w:rPr>
      </w:pPr>
      <w:r w:rsidRPr="00757B86">
        <w:rPr>
          <w:b/>
          <w:bCs/>
        </w:rPr>
        <w:lastRenderedPageBreak/>
        <w:t xml:space="preserve">Question </w:t>
      </w:r>
      <w:r>
        <w:rPr>
          <w:b/>
          <w:bCs/>
        </w:rPr>
        <w:t xml:space="preserve">7: With reference to each of the criteria and objectives, </w:t>
      </w:r>
      <w:r w:rsidRPr="003F6CF1">
        <w:rPr>
          <w:b/>
          <w:bCs/>
        </w:rPr>
        <w:t>including any additional ones you propose</w:t>
      </w:r>
      <w:r>
        <w:rPr>
          <w:b/>
          <w:bCs/>
        </w:rPr>
        <w:t xml:space="preserve">, to what extent do you agree that the </w:t>
      </w:r>
      <w:r w:rsidR="001D4695">
        <w:rPr>
          <w:b/>
          <w:bCs/>
        </w:rPr>
        <w:t>governance, operation,</w:t>
      </w:r>
      <w:r>
        <w:rPr>
          <w:b/>
          <w:bCs/>
        </w:rPr>
        <w:t xml:space="preserve"> and funding of the EDA should be managed through BSC and delivered by Elexon? </w:t>
      </w:r>
    </w:p>
    <w:tbl>
      <w:tblPr>
        <w:tblpPr w:leftFromText="180" w:rightFromText="180" w:vertAnchor="text" w:horzAnchor="margin" w:tblpYSpec="bottom"/>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3"/>
      </w:tblGrid>
      <w:tr w:rsidR="00C849FC" w14:paraId="6695E3A0" w14:textId="77777777" w:rsidTr="00112CF8">
        <w:trPr>
          <w:trHeight w:val="10879"/>
        </w:trPr>
        <w:tc>
          <w:tcPr>
            <w:tcW w:w="5000" w:type="pct"/>
          </w:tcPr>
          <w:p w14:paraId="5D6BCFDA" w14:textId="0B83797C" w:rsidR="00C849FC" w:rsidRPr="00B36C28" w:rsidRDefault="00BC6DE7" w:rsidP="00BC6DE7">
            <w:pPr>
              <w:pStyle w:val="ListParagraph"/>
              <w:numPr>
                <w:ilvl w:val="0"/>
                <w:numId w:val="16"/>
              </w:numPr>
              <w:rPr>
                <w:sz w:val="24"/>
              </w:rPr>
            </w:pPr>
            <w:r w:rsidRPr="00A053EF">
              <w:rPr>
                <w:sz w:val="24"/>
              </w:rPr>
              <w:lastRenderedPageBreak/>
              <w:t>Extent to which the organisation's remit can support the governance, funding and operation of the EDA, now and in the future</w:t>
            </w:r>
          </w:p>
          <w:p w14:paraId="4DD85400" w14:textId="30CFE48E" w:rsidR="00B36C28" w:rsidRPr="00B36C28" w:rsidRDefault="00B36C28" w:rsidP="00B36C28">
            <w:pPr>
              <w:rPr>
                <w:sz w:val="24"/>
              </w:rPr>
            </w:pPr>
            <w:r>
              <w:rPr>
                <w:sz w:val="24"/>
              </w:rPr>
              <w:t>In our view Elexon via the BSC is well placed to support the governance, funding and operation of the EDA. They have a track record in delivering complex projects and implementing bespoke funding arrangements to support various market funding models.</w:t>
            </w:r>
          </w:p>
          <w:p w14:paraId="10E359AD" w14:textId="327FF5E0" w:rsidR="00BC6DE7" w:rsidRPr="00B36C28" w:rsidRDefault="00BC6DE7" w:rsidP="00BC6DE7">
            <w:pPr>
              <w:pStyle w:val="ListParagraph"/>
              <w:numPr>
                <w:ilvl w:val="0"/>
                <w:numId w:val="16"/>
              </w:numPr>
              <w:rPr>
                <w:sz w:val="24"/>
              </w:rPr>
            </w:pPr>
            <w:r w:rsidRPr="00A053EF">
              <w:rPr>
                <w:sz w:val="24"/>
              </w:rPr>
              <w:t>Strategic long-term fit of the EDA within future energy system architecture</w:t>
            </w:r>
          </w:p>
          <w:p w14:paraId="1B0EA9B0" w14:textId="4D5BEA2D" w:rsidR="000751E0" w:rsidRPr="00B36C28" w:rsidRDefault="00112CF8" w:rsidP="00B36C28">
            <w:pPr>
              <w:rPr>
                <w:sz w:val="24"/>
              </w:rPr>
            </w:pPr>
            <w:r w:rsidRPr="00112CF8">
              <w:rPr>
                <w:sz w:val="24"/>
              </w:rPr>
              <w:t xml:space="preserve">Elexon is a good strategic fit for the EDA as a core feed-in to settlement. In terms of achieving long-term strategic fit within energy system architecture, Elexon and the BSC would need to develop outside current scope e.g. in sharing consumption data for retail product development and operations.  </w:t>
            </w:r>
          </w:p>
          <w:p w14:paraId="679225C7" w14:textId="02723BC3" w:rsidR="00BC6DE7" w:rsidRPr="00B7188E" w:rsidRDefault="00BC6DE7" w:rsidP="00BC6DE7">
            <w:pPr>
              <w:pStyle w:val="ListParagraph"/>
              <w:numPr>
                <w:ilvl w:val="0"/>
                <w:numId w:val="16"/>
              </w:numPr>
              <w:rPr>
                <w:sz w:val="24"/>
              </w:rPr>
            </w:pPr>
            <w:r w:rsidRPr="00A053EF">
              <w:rPr>
                <w:sz w:val="24"/>
              </w:rPr>
              <w:t>Experience and capabilities relevant to procuring and overseeing a system similar to the EDA.</w:t>
            </w:r>
          </w:p>
          <w:p w14:paraId="736B5698" w14:textId="45A99A29" w:rsidR="00B7188E" w:rsidRPr="00B7188E" w:rsidRDefault="00B7188E" w:rsidP="00B7188E">
            <w:pPr>
              <w:rPr>
                <w:sz w:val="24"/>
              </w:rPr>
            </w:pPr>
            <w:r>
              <w:rPr>
                <w:sz w:val="24"/>
              </w:rPr>
              <w:t>We believe that Elexon via t</w:t>
            </w:r>
            <w:r w:rsidR="00940B18">
              <w:rPr>
                <w:sz w:val="24"/>
              </w:rPr>
              <w:t>h</w:t>
            </w:r>
            <w:r>
              <w:rPr>
                <w:sz w:val="24"/>
              </w:rPr>
              <w:t xml:space="preserve">e BSC has the relevant experience and capabilities to procure and oversee systems </w:t>
            </w:r>
            <w:r w:rsidR="00EE535B">
              <w:rPr>
                <w:sz w:val="24"/>
              </w:rPr>
              <w:t>relevant to the EDA.</w:t>
            </w:r>
          </w:p>
          <w:p w14:paraId="2B11A23B" w14:textId="7FE30C11" w:rsidR="00BC6DE7" w:rsidRPr="00EE535B" w:rsidRDefault="00BC6DE7" w:rsidP="00BC6DE7">
            <w:pPr>
              <w:pStyle w:val="ListParagraph"/>
              <w:numPr>
                <w:ilvl w:val="0"/>
                <w:numId w:val="16"/>
              </w:numPr>
              <w:rPr>
                <w:sz w:val="24"/>
              </w:rPr>
            </w:pPr>
            <w:r w:rsidRPr="00A053EF">
              <w:rPr>
                <w:sz w:val="24"/>
              </w:rPr>
              <w:t>Ability to put appropriate funding arrangements in place for the EDA in a timely manner</w:t>
            </w:r>
          </w:p>
          <w:p w14:paraId="4452EAD0" w14:textId="5A1F5994" w:rsidR="00EE535B" w:rsidRPr="00EE535B" w:rsidRDefault="00EE535B" w:rsidP="00EE535B">
            <w:pPr>
              <w:rPr>
                <w:sz w:val="24"/>
              </w:rPr>
            </w:pPr>
            <w:r>
              <w:rPr>
                <w:sz w:val="24"/>
              </w:rPr>
              <w:t xml:space="preserve">We believe that Elexon would be able to put appropriate funding arrangements in place for the EDA in a timely manner. </w:t>
            </w:r>
          </w:p>
          <w:p w14:paraId="47D882D4" w14:textId="7FBC7447" w:rsidR="00BC6DE7" w:rsidRPr="00EE535B" w:rsidRDefault="00BC6DE7" w:rsidP="00BC6DE7">
            <w:pPr>
              <w:pStyle w:val="ListParagraph"/>
              <w:numPr>
                <w:ilvl w:val="0"/>
                <w:numId w:val="16"/>
              </w:numPr>
              <w:rPr>
                <w:sz w:val="24"/>
              </w:rPr>
            </w:pPr>
            <w:r w:rsidRPr="00A053EF">
              <w:rPr>
                <w:sz w:val="24"/>
              </w:rPr>
              <w:t>Ability to put appropriate governance arrangements in place (for example, handling change, role of parties in governance)</w:t>
            </w:r>
          </w:p>
          <w:p w14:paraId="7BC5CF1C" w14:textId="2BE96B10" w:rsidR="00EE535B" w:rsidRPr="00EE535B" w:rsidRDefault="00EE535B" w:rsidP="00EE535B">
            <w:pPr>
              <w:rPr>
                <w:sz w:val="24"/>
              </w:rPr>
            </w:pPr>
            <w:r>
              <w:rPr>
                <w:sz w:val="24"/>
              </w:rPr>
              <w:t>Elexon via the BSC has a track record of operating complex governance arrangements and managing change therefore we believe that they could put appropriate governance arrangements in place</w:t>
            </w:r>
            <w:r w:rsidR="00B82734">
              <w:rPr>
                <w:sz w:val="24"/>
              </w:rPr>
              <w:t xml:space="preserve"> to support the EDA platform</w:t>
            </w:r>
            <w:r>
              <w:rPr>
                <w:sz w:val="24"/>
              </w:rPr>
              <w:t>.</w:t>
            </w:r>
          </w:p>
          <w:p w14:paraId="045C336C" w14:textId="0ADF6AA5" w:rsidR="00BC6DE7" w:rsidRPr="00EE535B" w:rsidRDefault="00BC6DE7" w:rsidP="00BC6DE7">
            <w:pPr>
              <w:pStyle w:val="ListParagraph"/>
              <w:numPr>
                <w:ilvl w:val="0"/>
                <w:numId w:val="16"/>
              </w:numPr>
              <w:rPr>
                <w:sz w:val="24"/>
              </w:rPr>
            </w:pPr>
            <w:r w:rsidRPr="00A053EF">
              <w:rPr>
                <w:sz w:val="24"/>
              </w:rPr>
              <w:t>Stakeholder relationships</w:t>
            </w:r>
          </w:p>
          <w:p w14:paraId="380AF7A9" w14:textId="7E221190" w:rsidR="00EE535B" w:rsidRPr="00EE535B" w:rsidRDefault="00EE535B" w:rsidP="00EE535B">
            <w:pPr>
              <w:rPr>
                <w:sz w:val="24"/>
              </w:rPr>
            </w:pPr>
            <w:r>
              <w:rPr>
                <w:sz w:val="24"/>
              </w:rPr>
              <w:t xml:space="preserve">We believe Elexon </w:t>
            </w:r>
            <w:r w:rsidR="0052172B">
              <w:rPr>
                <w:sz w:val="24"/>
              </w:rPr>
              <w:t xml:space="preserve">has </w:t>
            </w:r>
            <w:r>
              <w:rPr>
                <w:sz w:val="24"/>
              </w:rPr>
              <w:t xml:space="preserve">previously </w:t>
            </w:r>
            <w:r w:rsidR="00A533AB">
              <w:rPr>
                <w:sz w:val="24"/>
              </w:rPr>
              <w:t xml:space="preserve">had </w:t>
            </w:r>
            <w:r>
              <w:rPr>
                <w:sz w:val="24"/>
              </w:rPr>
              <w:t xml:space="preserve">effective stakeholder engagement processes in place and should be well placed to replicate these for the </w:t>
            </w:r>
            <w:r>
              <w:rPr>
                <w:sz w:val="24"/>
              </w:rPr>
              <w:lastRenderedPageBreak/>
              <w:t xml:space="preserve">operation and governance of the EDA platform. We are however, concerned with </w:t>
            </w:r>
            <w:r w:rsidR="00A533AB">
              <w:rPr>
                <w:sz w:val="24"/>
              </w:rPr>
              <w:t>some of the decisions by the MHHS programme to continue to push ahead with technical design of the target operating model with only minimal engagement from Supplier parties d</w:t>
            </w:r>
            <w:r w:rsidR="00474A0D">
              <w:rPr>
                <w:sz w:val="24"/>
              </w:rPr>
              <w:t>ue</w:t>
            </w:r>
            <w:r w:rsidR="00A533AB">
              <w:rPr>
                <w:sz w:val="24"/>
              </w:rPr>
              <w:t xml:space="preserve"> to significant and unprece</w:t>
            </w:r>
            <w:r w:rsidR="0052172B">
              <w:rPr>
                <w:sz w:val="24"/>
              </w:rPr>
              <w:t>de</w:t>
            </w:r>
            <w:r w:rsidR="00A533AB">
              <w:rPr>
                <w:sz w:val="24"/>
              </w:rPr>
              <w:t>nted pressures currently experienced in the retail energy market.</w:t>
            </w:r>
            <w:r>
              <w:rPr>
                <w:sz w:val="24"/>
              </w:rPr>
              <w:t xml:space="preserve"> </w:t>
            </w:r>
          </w:p>
          <w:p w14:paraId="4AF8426C" w14:textId="2523EC7A" w:rsidR="00BC6DE7" w:rsidRPr="00A533AB" w:rsidRDefault="00BC6DE7" w:rsidP="00BC6DE7">
            <w:pPr>
              <w:pStyle w:val="ListParagraph"/>
              <w:numPr>
                <w:ilvl w:val="0"/>
                <w:numId w:val="16"/>
              </w:numPr>
              <w:rPr>
                <w:sz w:val="24"/>
              </w:rPr>
            </w:pPr>
            <w:r w:rsidRPr="00A053EF">
              <w:rPr>
                <w:sz w:val="24"/>
              </w:rPr>
              <w:t>Value for money, efficiency including ‘whole-of-system’ efficiency, and cost effectiveness</w:t>
            </w:r>
          </w:p>
          <w:p w14:paraId="6E33D5B1" w14:textId="619CC9D4" w:rsidR="00A533AB" w:rsidRPr="00A533AB" w:rsidRDefault="00726192" w:rsidP="00A533AB">
            <w:pPr>
              <w:rPr>
                <w:sz w:val="24"/>
              </w:rPr>
            </w:pPr>
            <w:r>
              <w:rPr>
                <w:sz w:val="24"/>
              </w:rPr>
              <w:t xml:space="preserve">We are unable to </w:t>
            </w:r>
            <w:r w:rsidR="000279C3">
              <w:rPr>
                <w:sz w:val="24"/>
              </w:rPr>
              <w:t>provide a view as to whether Elexon via t</w:t>
            </w:r>
            <w:r w:rsidR="00CF3F99">
              <w:rPr>
                <w:sz w:val="24"/>
              </w:rPr>
              <w:t>h</w:t>
            </w:r>
            <w:r w:rsidR="000279C3">
              <w:rPr>
                <w:sz w:val="24"/>
              </w:rPr>
              <w:t>e BSC provides better value for money t</w:t>
            </w:r>
            <w:r w:rsidR="00CF6C22">
              <w:rPr>
                <w:sz w:val="24"/>
              </w:rPr>
              <w:t xml:space="preserve">han RECCo via the REC. On the face of it Elexon compares unfavourably with RECCo </w:t>
            </w:r>
            <w:r w:rsidR="00627C69">
              <w:rPr>
                <w:sz w:val="24"/>
              </w:rPr>
              <w:t xml:space="preserve">with a total overall </w:t>
            </w:r>
            <w:r w:rsidR="009F1186">
              <w:rPr>
                <w:sz w:val="24"/>
              </w:rPr>
              <w:t xml:space="preserve">headcount of </w:t>
            </w:r>
            <w:r w:rsidR="00CF1423">
              <w:rPr>
                <w:sz w:val="24"/>
              </w:rPr>
              <w:t>171.4</w:t>
            </w:r>
            <w:r w:rsidR="00B23746">
              <w:rPr>
                <w:sz w:val="24"/>
              </w:rPr>
              <w:t xml:space="preserve"> FTE within an overall budget of £9</w:t>
            </w:r>
            <w:r w:rsidR="00B410C2">
              <w:rPr>
                <w:sz w:val="24"/>
              </w:rPr>
              <w:t xml:space="preserve">8.2m compared to RECCo with an overall headcount of </w:t>
            </w:r>
            <w:r w:rsidR="00E76021">
              <w:rPr>
                <w:sz w:val="24"/>
              </w:rPr>
              <w:t>30 FTE</w:t>
            </w:r>
            <w:r w:rsidR="0024423D">
              <w:rPr>
                <w:sz w:val="24"/>
              </w:rPr>
              <w:t xml:space="preserve"> </w:t>
            </w:r>
            <w:r w:rsidR="00573A60">
              <w:rPr>
                <w:sz w:val="24"/>
              </w:rPr>
              <w:t xml:space="preserve">within an overall budget of </w:t>
            </w:r>
            <w:r w:rsidR="00CF3F99">
              <w:rPr>
                <w:sz w:val="24"/>
              </w:rPr>
              <w:t xml:space="preserve">£28.6m. However without further </w:t>
            </w:r>
            <w:r w:rsidR="000B6061">
              <w:rPr>
                <w:sz w:val="24"/>
              </w:rPr>
              <w:t xml:space="preserve">transpancy of how these costs are made up </w:t>
            </w:r>
            <w:r w:rsidR="00BE1936">
              <w:rPr>
                <w:sz w:val="24"/>
              </w:rPr>
              <w:t xml:space="preserve">it is difficult </w:t>
            </w:r>
            <w:r w:rsidR="00440CBC">
              <w:rPr>
                <w:sz w:val="24"/>
              </w:rPr>
              <w:t xml:space="preserve">to reach </w:t>
            </w:r>
            <w:r w:rsidR="00E76021">
              <w:rPr>
                <w:sz w:val="24"/>
              </w:rPr>
              <w:t xml:space="preserve">a </w:t>
            </w:r>
            <w:r w:rsidR="00440CBC">
              <w:rPr>
                <w:sz w:val="24"/>
              </w:rPr>
              <w:t>final conclusion.</w:t>
            </w:r>
          </w:p>
          <w:p w14:paraId="02F44B5E" w14:textId="18BD51D0" w:rsidR="00BC6DE7" w:rsidRPr="00440CBC" w:rsidRDefault="00BC6DE7" w:rsidP="00BC6DE7">
            <w:pPr>
              <w:pStyle w:val="ListParagraph"/>
              <w:numPr>
                <w:ilvl w:val="0"/>
                <w:numId w:val="16"/>
              </w:numPr>
              <w:rPr>
                <w:sz w:val="24"/>
              </w:rPr>
            </w:pPr>
            <w:r w:rsidRPr="00A053EF">
              <w:rPr>
                <w:sz w:val="24"/>
              </w:rPr>
              <w:t>Synergy with other services provided by an EDA operator, for example in terms of • Customer journey • Costs • Operations • Governance</w:t>
            </w:r>
          </w:p>
          <w:p w14:paraId="31F84B5D" w14:textId="592F33AB" w:rsidR="00440CBC" w:rsidRPr="00440CBC" w:rsidRDefault="00083B9D" w:rsidP="00440CBC">
            <w:pPr>
              <w:rPr>
                <w:sz w:val="24"/>
              </w:rPr>
            </w:pPr>
            <w:r>
              <w:rPr>
                <w:sz w:val="24"/>
              </w:rPr>
              <w:t xml:space="preserve">We </w:t>
            </w:r>
            <w:r w:rsidR="00DA0EE6">
              <w:rPr>
                <w:sz w:val="24"/>
              </w:rPr>
              <w:t xml:space="preserve">believe that </w:t>
            </w:r>
            <w:r w:rsidR="007F737C">
              <w:rPr>
                <w:sz w:val="24"/>
              </w:rPr>
              <w:t xml:space="preserve">Elexon does have synergies with </w:t>
            </w:r>
            <w:r w:rsidR="00F34692">
              <w:rPr>
                <w:sz w:val="24"/>
              </w:rPr>
              <w:t xml:space="preserve">the services that an EDA operator would provide. </w:t>
            </w:r>
            <w:r w:rsidR="00231D18">
              <w:rPr>
                <w:sz w:val="24"/>
              </w:rPr>
              <w:t xml:space="preserve">These synergies include </w:t>
            </w:r>
            <w:r w:rsidR="00877554">
              <w:rPr>
                <w:sz w:val="24"/>
              </w:rPr>
              <w:t xml:space="preserve">providing data </w:t>
            </w:r>
            <w:r w:rsidR="00E833A6">
              <w:rPr>
                <w:sz w:val="24"/>
              </w:rPr>
              <w:t>t</w:t>
            </w:r>
            <w:r w:rsidR="00D85EE5">
              <w:rPr>
                <w:sz w:val="24"/>
              </w:rPr>
              <w:t>o</w:t>
            </w:r>
            <w:r w:rsidR="00E833A6">
              <w:rPr>
                <w:sz w:val="24"/>
              </w:rPr>
              <w:t xml:space="preserve"> industry participants at scale, </w:t>
            </w:r>
            <w:r w:rsidR="008A1C51">
              <w:rPr>
                <w:sz w:val="24"/>
              </w:rPr>
              <w:t xml:space="preserve">providing governance and </w:t>
            </w:r>
            <w:r w:rsidR="009801A6">
              <w:rPr>
                <w:sz w:val="24"/>
              </w:rPr>
              <w:t>change management services for complex system</w:t>
            </w:r>
            <w:r w:rsidR="00D85EE5">
              <w:rPr>
                <w:sz w:val="24"/>
              </w:rPr>
              <w:t xml:space="preserve">s and </w:t>
            </w:r>
            <w:r w:rsidR="003E0566">
              <w:rPr>
                <w:sz w:val="24"/>
              </w:rPr>
              <w:t xml:space="preserve">contracting services for operating </w:t>
            </w:r>
            <w:r w:rsidR="003566E1">
              <w:rPr>
                <w:sz w:val="24"/>
              </w:rPr>
              <w:t xml:space="preserve">cloud based </w:t>
            </w:r>
            <w:r w:rsidR="003E022A">
              <w:rPr>
                <w:sz w:val="24"/>
              </w:rPr>
              <w:t>systems.</w:t>
            </w:r>
          </w:p>
          <w:p w14:paraId="61DEE43C" w14:textId="02DE16C5" w:rsidR="00BC6DE7" w:rsidRPr="003E022A" w:rsidRDefault="00BC6DE7" w:rsidP="00BC6DE7">
            <w:pPr>
              <w:pStyle w:val="ListParagraph"/>
              <w:numPr>
                <w:ilvl w:val="0"/>
                <w:numId w:val="16"/>
              </w:numPr>
              <w:rPr>
                <w:sz w:val="24"/>
              </w:rPr>
            </w:pPr>
            <w:r w:rsidRPr="00A053EF">
              <w:rPr>
                <w:sz w:val="24"/>
              </w:rPr>
              <w:t>Ability to ensure security and privacy of the service to an accreditable and certifiable standard</w:t>
            </w:r>
          </w:p>
          <w:p w14:paraId="1D1C2968" w14:textId="46C37E7B" w:rsidR="003E022A" w:rsidRPr="003E022A" w:rsidRDefault="00306DFE" w:rsidP="003E022A">
            <w:pPr>
              <w:rPr>
                <w:sz w:val="24"/>
              </w:rPr>
            </w:pPr>
            <w:r>
              <w:rPr>
                <w:sz w:val="24"/>
              </w:rPr>
              <w:t xml:space="preserve">We </w:t>
            </w:r>
            <w:r w:rsidR="00B94813">
              <w:rPr>
                <w:sz w:val="24"/>
              </w:rPr>
              <w:t>believe Elexon will be able to ensure the security and privacy of t</w:t>
            </w:r>
            <w:r w:rsidR="00511043">
              <w:rPr>
                <w:sz w:val="24"/>
              </w:rPr>
              <w:t>h</w:t>
            </w:r>
            <w:r w:rsidR="00B94813">
              <w:rPr>
                <w:sz w:val="24"/>
              </w:rPr>
              <w:t xml:space="preserve">e service </w:t>
            </w:r>
            <w:r w:rsidR="00511043">
              <w:rPr>
                <w:sz w:val="24"/>
              </w:rPr>
              <w:t xml:space="preserve">to an accreditable and certifiable standard </w:t>
            </w:r>
            <w:r w:rsidR="005A0E70">
              <w:rPr>
                <w:sz w:val="24"/>
              </w:rPr>
              <w:t xml:space="preserve">as Elexon currently provides services that </w:t>
            </w:r>
            <w:r w:rsidR="00B16642">
              <w:rPr>
                <w:sz w:val="24"/>
              </w:rPr>
              <w:t>meet these standa</w:t>
            </w:r>
            <w:r w:rsidR="00B05A64">
              <w:rPr>
                <w:sz w:val="24"/>
              </w:rPr>
              <w:t>r</w:t>
            </w:r>
            <w:r w:rsidR="00B16642">
              <w:rPr>
                <w:sz w:val="24"/>
              </w:rPr>
              <w:t>ds.</w:t>
            </w:r>
          </w:p>
          <w:p w14:paraId="42FBDBDC" w14:textId="46705FC4" w:rsidR="00BC6DE7" w:rsidRPr="00B16642" w:rsidRDefault="00BC6DE7" w:rsidP="00BC6DE7">
            <w:pPr>
              <w:pStyle w:val="ListParagraph"/>
              <w:numPr>
                <w:ilvl w:val="0"/>
                <w:numId w:val="16"/>
              </w:numPr>
              <w:rPr>
                <w:sz w:val="24"/>
              </w:rPr>
            </w:pPr>
            <w:r w:rsidRPr="00A053EF">
              <w:rPr>
                <w:sz w:val="24"/>
              </w:rPr>
              <w:t>Information Security and Quality Assurance capability, covering Disaster Recovery and other Cloud Management capability</w:t>
            </w:r>
          </w:p>
          <w:p w14:paraId="36506F1D" w14:textId="5598E0D5" w:rsidR="00B05A64" w:rsidRPr="003E022A" w:rsidRDefault="00B05A64" w:rsidP="00B05A64">
            <w:pPr>
              <w:rPr>
                <w:sz w:val="24"/>
              </w:rPr>
            </w:pPr>
            <w:r>
              <w:rPr>
                <w:sz w:val="24"/>
              </w:rPr>
              <w:lastRenderedPageBreak/>
              <w:t xml:space="preserve">We believe Elexon </w:t>
            </w:r>
            <w:r w:rsidR="00A45F83">
              <w:rPr>
                <w:sz w:val="24"/>
              </w:rPr>
              <w:t xml:space="preserve">has </w:t>
            </w:r>
            <w:r w:rsidR="00CB66ED">
              <w:rPr>
                <w:sz w:val="24"/>
              </w:rPr>
              <w:t xml:space="preserve">information </w:t>
            </w:r>
            <w:r>
              <w:rPr>
                <w:sz w:val="24"/>
              </w:rPr>
              <w:t xml:space="preserve">security and </w:t>
            </w:r>
            <w:r w:rsidR="00CB66ED">
              <w:rPr>
                <w:sz w:val="24"/>
              </w:rPr>
              <w:t>quality assurance</w:t>
            </w:r>
            <w:r>
              <w:rPr>
                <w:sz w:val="24"/>
              </w:rPr>
              <w:t xml:space="preserve"> </w:t>
            </w:r>
            <w:r w:rsidR="00A45F83">
              <w:rPr>
                <w:sz w:val="24"/>
              </w:rPr>
              <w:t xml:space="preserve">capability including </w:t>
            </w:r>
            <w:r w:rsidR="005761CC">
              <w:rPr>
                <w:sz w:val="24"/>
              </w:rPr>
              <w:t>disaster recovery and other cloud management capability.</w:t>
            </w:r>
            <w:r w:rsidR="005C524A">
              <w:rPr>
                <w:sz w:val="24"/>
              </w:rPr>
              <w:t xml:space="preserve"> </w:t>
            </w:r>
          </w:p>
          <w:p w14:paraId="6016B1A0" w14:textId="77777777" w:rsidR="00B16642" w:rsidRPr="00B16642" w:rsidRDefault="00B16642" w:rsidP="00B16642">
            <w:pPr>
              <w:rPr>
                <w:sz w:val="24"/>
              </w:rPr>
            </w:pPr>
          </w:p>
          <w:p w14:paraId="6C6294C1" w14:textId="77777777" w:rsidR="00BC6DE7" w:rsidRPr="006E2C92" w:rsidRDefault="00BC6DE7" w:rsidP="00BC6DE7">
            <w:pPr>
              <w:pStyle w:val="ListParagraph"/>
              <w:numPr>
                <w:ilvl w:val="0"/>
                <w:numId w:val="16"/>
              </w:numPr>
              <w:rPr>
                <w:sz w:val="24"/>
              </w:rPr>
            </w:pPr>
            <w:r w:rsidRPr="00A053EF">
              <w:rPr>
                <w:sz w:val="24"/>
              </w:rPr>
              <w:t>Ability to operate the service in a way that does not distort competition and provides a level playing field</w:t>
            </w:r>
          </w:p>
          <w:p w14:paraId="454AEDE9" w14:textId="24D61BD9" w:rsidR="006E2C92" w:rsidRPr="00F97D67" w:rsidRDefault="00696CA3" w:rsidP="00F97D67">
            <w:pPr>
              <w:rPr>
                <w:sz w:val="24"/>
              </w:rPr>
            </w:pPr>
            <w:r>
              <w:rPr>
                <w:sz w:val="24"/>
              </w:rPr>
              <w:t xml:space="preserve">We believe Elexon has a track record </w:t>
            </w:r>
            <w:r w:rsidR="009B35CD">
              <w:rPr>
                <w:sz w:val="24"/>
              </w:rPr>
              <w:t xml:space="preserve">of operating services that do not distort competition and </w:t>
            </w:r>
            <w:r w:rsidR="00BE2D71">
              <w:rPr>
                <w:sz w:val="24"/>
              </w:rPr>
              <w:t xml:space="preserve">in </w:t>
            </w:r>
            <w:r w:rsidR="009B35CD">
              <w:rPr>
                <w:sz w:val="24"/>
              </w:rPr>
              <w:t xml:space="preserve">providing a level playing field. </w:t>
            </w:r>
            <w:r w:rsidR="000D795B">
              <w:rPr>
                <w:sz w:val="24"/>
              </w:rPr>
              <w:t>These values are prom</w:t>
            </w:r>
            <w:r w:rsidR="0052172B">
              <w:rPr>
                <w:sz w:val="24"/>
              </w:rPr>
              <w:t>o</w:t>
            </w:r>
            <w:r w:rsidR="000D795B">
              <w:rPr>
                <w:sz w:val="24"/>
              </w:rPr>
              <w:t>ted through the BSC appli</w:t>
            </w:r>
            <w:r w:rsidR="00834C7D">
              <w:rPr>
                <w:sz w:val="24"/>
              </w:rPr>
              <w:t>cable objectives.</w:t>
            </w:r>
          </w:p>
        </w:tc>
      </w:tr>
    </w:tbl>
    <w:p w14:paraId="2955548C" w14:textId="45069773" w:rsidR="00C849FC" w:rsidRPr="00757B86" w:rsidRDefault="00C849FC" w:rsidP="00C849FC">
      <w:pPr>
        <w:pStyle w:val="Paragraph"/>
        <w:spacing w:before="0" w:after="0"/>
        <w:rPr>
          <w:b/>
          <w:bCs/>
        </w:rPr>
      </w:pPr>
      <w:r w:rsidRPr="00757B86">
        <w:rPr>
          <w:b/>
          <w:bCs/>
        </w:rPr>
        <w:lastRenderedPageBreak/>
        <w:t xml:space="preserve">Question </w:t>
      </w:r>
      <w:r>
        <w:rPr>
          <w:b/>
          <w:bCs/>
        </w:rPr>
        <w:t xml:space="preserve">8: With reference to each of the criteria and objectives, </w:t>
      </w:r>
      <w:r w:rsidRPr="00AE514A">
        <w:rPr>
          <w:b/>
          <w:bCs/>
        </w:rPr>
        <w:t xml:space="preserve">including any additional ones you propose, </w:t>
      </w:r>
      <w:r>
        <w:rPr>
          <w:b/>
          <w:bCs/>
        </w:rPr>
        <w:t>to what extent do you agree that the</w:t>
      </w:r>
      <w:r w:rsidRPr="00AE514A">
        <w:rPr>
          <w:b/>
          <w:bCs/>
        </w:rPr>
        <w:t xml:space="preserve"> govern</w:t>
      </w:r>
      <w:r>
        <w:rPr>
          <w:b/>
          <w:bCs/>
        </w:rPr>
        <w:t>ance</w:t>
      </w:r>
      <w:r w:rsidRPr="00AE514A">
        <w:rPr>
          <w:b/>
          <w:bCs/>
        </w:rPr>
        <w:t>, operati</w:t>
      </w:r>
      <w:r>
        <w:rPr>
          <w:b/>
          <w:bCs/>
        </w:rPr>
        <w:t>o</w:t>
      </w:r>
      <w:r w:rsidRPr="00AE514A">
        <w:rPr>
          <w:b/>
          <w:bCs/>
        </w:rPr>
        <w:t>n</w:t>
      </w:r>
      <w:r>
        <w:rPr>
          <w:b/>
          <w:bCs/>
        </w:rPr>
        <w:t xml:space="preserve"> and funding the EDA should be managed through the REC and delivered by RECCo</w:t>
      </w:r>
      <w:r w:rsidRPr="00AE514A">
        <w:rPr>
          <w:b/>
          <w:bCs/>
        </w:rPr>
        <w:t>?</w:t>
      </w:r>
    </w:p>
    <w:tbl>
      <w:tblPr>
        <w:tblpPr w:leftFromText="180" w:rightFromText="180" w:vertAnchor="text" w:horzAnchor="margin" w:tblpYSpec="bottom"/>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3"/>
      </w:tblGrid>
      <w:tr w:rsidR="00C849FC" w14:paraId="1AB31F4A" w14:textId="77777777" w:rsidTr="003C153C">
        <w:trPr>
          <w:trHeight w:val="10879"/>
        </w:trPr>
        <w:tc>
          <w:tcPr>
            <w:tcW w:w="5000" w:type="pct"/>
          </w:tcPr>
          <w:p w14:paraId="31F8366E" w14:textId="04B85757" w:rsidR="00BC6DE7" w:rsidRPr="000458CA" w:rsidRDefault="00BC6DE7" w:rsidP="00BC6DE7">
            <w:pPr>
              <w:pStyle w:val="ListParagraph"/>
              <w:numPr>
                <w:ilvl w:val="0"/>
                <w:numId w:val="17"/>
              </w:numPr>
              <w:rPr>
                <w:sz w:val="24"/>
              </w:rPr>
            </w:pPr>
            <w:r w:rsidRPr="00C93CE3">
              <w:rPr>
                <w:sz w:val="24"/>
              </w:rPr>
              <w:lastRenderedPageBreak/>
              <w:t>Extent to which the organisation's remit can support the governance, funding and operation of the EDA, now and in the future</w:t>
            </w:r>
          </w:p>
          <w:p w14:paraId="2EFB4A4C" w14:textId="7C08ABC8" w:rsidR="000458CA" w:rsidRPr="000458CA" w:rsidRDefault="006E6DDB" w:rsidP="000458CA">
            <w:pPr>
              <w:rPr>
                <w:sz w:val="24"/>
              </w:rPr>
            </w:pPr>
            <w:r>
              <w:rPr>
                <w:sz w:val="24"/>
              </w:rPr>
              <w:t xml:space="preserve">We believe the </w:t>
            </w:r>
            <w:r w:rsidR="00F50F8C">
              <w:rPr>
                <w:sz w:val="24"/>
              </w:rPr>
              <w:t xml:space="preserve">RECCo via the REC </w:t>
            </w:r>
            <w:r w:rsidR="003359E6">
              <w:rPr>
                <w:sz w:val="24"/>
              </w:rPr>
              <w:t xml:space="preserve">can support the governance, funding and operation of the EDA. </w:t>
            </w:r>
            <w:r w:rsidR="007F4D07">
              <w:rPr>
                <w:sz w:val="24"/>
              </w:rPr>
              <w:t xml:space="preserve">The current </w:t>
            </w:r>
            <w:r w:rsidR="00D75F6A">
              <w:rPr>
                <w:sz w:val="24"/>
              </w:rPr>
              <w:t xml:space="preserve">REC </w:t>
            </w:r>
            <w:r w:rsidR="007F4D07">
              <w:rPr>
                <w:sz w:val="24"/>
              </w:rPr>
              <w:t xml:space="preserve">funding model including the Charging Methodology Schedule is </w:t>
            </w:r>
            <w:r w:rsidR="00875CBD">
              <w:rPr>
                <w:sz w:val="24"/>
              </w:rPr>
              <w:t xml:space="preserve">flexible enough to accommodate an EDA charging model which </w:t>
            </w:r>
            <w:r w:rsidR="00D75F6A">
              <w:rPr>
                <w:sz w:val="24"/>
              </w:rPr>
              <w:t>charges all use</w:t>
            </w:r>
            <w:r w:rsidR="0052172B">
              <w:rPr>
                <w:sz w:val="24"/>
              </w:rPr>
              <w:t>r</w:t>
            </w:r>
            <w:r w:rsidR="00D75F6A">
              <w:rPr>
                <w:sz w:val="24"/>
              </w:rPr>
              <w:t>s who benefit from its services.</w:t>
            </w:r>
          </w:p>
          <w:p w14:paraId="1A4CE4D1" w14:textId="111D1520" w:rsidR="00BC6DE7" w:rsidRPr="00311F8D" w:rsidRDefault="00BC6DE7" w:rsidP="00BC6DE7">
            <w:pPr>
              <w:pStyle w:val="ListParagraph"/>
              <w:numPr>
                <w:ilvl w:val="0"/>
                <w:numId w:val="17"/>
              </w:numPr>
              <w:rPr>
                <w:sz w:val="24"/>
              </w:rPr>
            </w:pPr>
            <w:r w:rsidRPr="00C93CE3">
              <w:rPr>
                <w:sz w:val="24"/>
              </w:rPr>
              <w:t>Strategic long-term fit of the EDA within future energy system architecture</w:t>
            </w:r>
          </w:p>
          <w:p w14:paraId="23C03994" w14:textId="73B31C34" w:rsidR="00311F8D" w:rsidRPr="00311F8D" w:rsidRDefault="00311F8D" w:rsidP="00311F8D">
            <w:pPr>
              <w:rPr>
                <w:sz w:val="24"/>
              </w:rPr>
            </w:pPr>
            <w:r>
              <w:rPr>
                <w:sz w:val="24"/>
              </w:rPr>
              <w:t xml:space="preserve">We believe that the REC is better placed than the BSC </w:t>
            </w:r>
            <w:r w:rsidR="00B1055D">
              <w:rPr>
                <w:sz w:val="24"/>
              </w:rPr>
              <w:t xml:space="preserve">to meet the long term strategic fit of the EDA. </w:t>
            </w:r>
            <w:r w:rsidR="00D13887">
              <w:rPr>
                <w:sz w:val="24"/>
              </w:rPr>
              <w:t xml:space="preserve">The types of data </w:t>
            </w:r>
            <w:r w:rsidR="0052172B">
              <w:rPr>
                <w:sz w:val="24"/>
              </w:rPr>
              <w:t xml:space="preserve">that it is </w:t>
            </w:r>
            <w:r w:rsidR="00E85612">
              <w:rPr>
                <w:sz w:val="24"/>
              </w:rPr>
              <w:t xml:space="preserve">envisaged </w:t>
            </w:r>
            <w:r w:rsidR="0052172B">
              <w:rPr>
                <w:sz w:val="24"/>
              </w:rPr>
              <w:t xml:space="preserve">will be </w:t>
            </w:r>
            <w:r w:rsidR="00E85612">
              <w:rPr>
                <w:sz w:val="24"/>
              </w:rPr>
              <w:t xml:space="preserve">held within the EDA and it’s intrinsic links with the switching arrangements make the REC </w:t>
            </w:r>
            <w:r w:rsidR="00EF29FF">
              <w:rPr>
                <w:sz w:val="24"/>
              </w:rPr>
              <w:t>better placed than the BSC to govern and operate the EDA.</w:t>
            </w:r>
          </w:p>
          <w:p w14:paraId="12F2EB03" w14:textId="30ED1D60" w:rsidR="00BC6DE7" w:rsidRPr="008B264E" w:rsidRDefault="00BC6DE7" w:rsidP="00BC6DE7">
            <w:pPr>
              <w:pStyle w:val="ListParagraph"/>
              <w:numPr>
                <w:ilvl w:val="0"/>
                <w:numId w:val="17"/>
              </w:numPr>
              <w:rPr>
                <w:sz w:val="24"/>
              </w:rPr>
            </w:pPr>
            <w:r w:rsidRPr="00C93CE3">
              <w:rPr>
                <w:sz w:val="24"/>
              </w:rPr>
              <w:t>Experience and capabilities relevant to procuring and overseeing a system similar to the EDA.</w:t>
            </w:r>
          </w:p>
          <w:p w14:paraId="138CB130" w14:textId="6B4392B9" w:rsidR="008B264E" w:rsidRPr="008B264E" w:rsidRDefault="008B264E" w:rsidP="008B264E">
            <w:pPr>
              <w:rPr>
                <w:sz w:val="24"/>
              </w:rPr>
            </w:pPr>
            <w:r>
              <w:rPr>
                <w:sz w:val="24"/>
              </w:rPr>
              <w:t xml:space="preserve">We understand that the MHHS programme will be responsible for procurring the EDA. </w:t>
            </w:r>
            <w:r w:rsidR="00A32ADF">
              <w:rPr>
                <w:sz w:val="24"/>
              </w:rPr>
              <w:t xml:space="preserve">The REC </w:t>
            </w:r>
            <w:r w:rsidR="00B06FAD">
              <w:rPr>
                <w:sz w:val="24"/>
              </w:rPr>
              <w:t xml:space="preserve">has only recently “gone live” and does not have the track record </w:t>
            </w:r>
            <w:r w:rsidR="002F327C">
              <w:rPr>
                <w:sz w:val="24"/>
              </w:rPr>
              <w:t xml:space="preserve">that Elexon has in overseeing systems similar to the EDA. </w:t>
            </w:r>
          </w:p>
          <w:p w14:paraId="0C2E97B4" w14:textId="36E61904" w:rsidR="00BC6DE7" w:rsidRPr="00F971B7" w:rsidRDefault="00BC6DE7" w:rsidP="00BC6DE7">
            <w:pPr>
              <w:pStyle w:val="ListParagraph"/>
              <w:numPr>
                <w:ilvl w:val="0"/>
                <w:numId w:val="17"/>
              </w:numPr>
              <w:rPr>
                <w:sz w:val="24"/>
              </w:rPr>
            </w:pPr>
            <w:r w:rsidRPr="00C93CE3">
              <w:rPr>
                <w:sz w:val="24"/>
              </w:rPr>
              <w:t>Ability to put appropriate funding arrangements in place for the EDA in a timely manner</w:t>
            </w:r>
          </w:p>
          <w:p w14:paraId="2C298589" w14:textId="1C31D1F0" w:rsidR="002450A6" w:rsidRPr="00EE535B" w:rsidRDefault="002450A6" w:rsidP="002450A6">
            <w:pPr>
              <w:rPr>
                <w:sz w:val="24"/>
              </w:rPr>
            </w:pPr>
            <w:r>
              <w:rPr>
                <w:sz w:val="24"/>
              </w:rPr>
              <w:t xml:space="preserve">We believe that RECCo would be able to put appropriate funding arrangements in place for the EDA in a timely manner. </w:t>
            </w:r>
          </w:p>
          <w:p w14:paraId="727E7E0C" w14:textId="29466AB2" w:rsidR="00BC6DE7" w:rsidRPr="002450A6" w:rsidRDefault="00BC6DE7" w:rsidP="00BC6DE7">
            <w:pPr>
              <w:pStyle w:val="ListParagraph"/>
              <w:numPr>
                <w:ilvl w:val="0"/>
                <w:numId w:val="17"/>
              </w:numPr>
              <w:rPr>
                <w:sz w:val="24"/>
              </w:rPr>
            </w:pPr>
            <w:r w:rsidRPr="00C93CE3">
              <w:rPr>
                <w:sz w:val="24"/>
              </w:rPr>
              <w:t>Ability to put appropriate governance arrangements in place (for example, handling change, role of parties in governance)</w:t>
            </w:r>
          </w:p>
          <w:p w14:paraId="10C59EF5" w14:textId="394DDD2B" w:rsidR="00C10BD0" w:rsidRDefault="00C10BD0" w:rsidP="00C10BD0">
            <w:pPr>
              <w:rPr>
                <w:sz w:val="24"/>
              </w:rPr>
            </w:pPr>
            <w:r>
              <w:rPr>
                <w:sz w:val="24"/>
              </w:rPr>
              <w:t xml:space="preserve">RECCo </w:t>
            </w:r>
            <w:r w:rsidR="0064127D">
              <w:rPr>
                <w:sz w:val="24"/>
              </w:rPr>
              <w:t xml:space="preserve">has recently procured services to support </w:t>
            </w:r>
            <w:r w:rsidR="00B05DBB">
              <w:rPr>
                <w:sz w:val="24"/>
              </w:rPr>
              <w:t xml:space="preserve">the governance of the REC. Is is too early to say whether these arrangements </w:t>
            </w:r>
            <w:r w:rsidR="005C0AA0">
              <w:rPr>
                <w:sz w:val="24"/>
              </w:rPr>
              <w:t xml:space="preserve">would provide better value for money than Elexon via the BSC. </w:t>
            </w:r>
            <w:r w:rsidR="000D631F">
              <w:rPr>
                <w:sz w:val="24"/>
              </w:rPr>
              <w:t xml:space="preserve">We do however, believe that </w:t>
            </w:r>
            <w:r w:rsidR="0052172B">
              <w:rPr>
                <w:sz w:val="24"/>
              </w:rPr>
              <w:t xml:space="preserve">RECCo </w:t>
            </w:r>
            <w:r w:rsidR="000D631F">
              <w:rPr>
                <w:sz w:val="24"/>
              </w:rPr>
              <w:t>could put appropriate governance arrangements in place.</w:t>
            </w:r>
          </w:p>
          <w:p w14:paraId="79B69242" w14:textId="70EC0F87" w:rsidR="00BC6DE7" w:rsidRPr="000D631F" w:rsidRDefault="00BC6DE7" w:rsidP="00BC6DE7">
            <w:pPr>
              <w:pStyle w:val="ListParagraph"/>
              <w:numPr>
                <w:ilvl w:val="0"/>
                <w:numId w:val="17"/>
              </w:numPr>
              <w:rPr>
                <w:sz w:val="24"/>
              </w:rPr>
            </w:pPr>
            <w:r w:rsidRPr="00C93CE3">
              <w:rPr>
                <w:sz w:val="24"/>
              </w:rPr>
              <w:t>Stakeholder relationships</w:t>
            </w:r>
          </w:p>
          <w:p w14:paraId="2B1C8F3A" w14:textId="48B154DA" w:rsidR="000D631F" w:rsidRPr="000D631F" w:rsidRDefault="00474A0D" w:rsidP="000D631F">
            <w:pPr>
              <w:rPr>
                <w:sz w:val="24"/>
              </w:rPr>
            </w:pPr>
            <w:r>
              <w:rPr>
                <w:sz w:val="24"/>
              </w:rPr>
              <w:lastRenderedPageBreak/>
              <w:t>RECCo ha</w:t>
            </w:r>
            <w:r w:rsidR="00C57CB5">
              <w:rPr>
                <w:sz w:val="24"/>
              </w:rPr>
              <w:t xml:space="preserve">s recently procured and put in place code manager services to </w:t>
            </w:r>
            <w:r w:rsidR="00D56139">
              <w:rPr>
                <w:sz w:val="24"/>
              </w:rPr>
              <w:t xml:space="preserve">manage stakeholder relationships </w:t>
            </w:r>
            <w:r w:rsidR="008F4C84">
              <w:rPr>
                <w:sz w:val="24"/>
              </w:rPr>
              <w:t xml:space="preserve">on behalf of the REC. It is too early to say whether these </w:t>
            </w:r>
            <w:r w:rsidR="0002576E">
              <w:rPr>
                <w:sz w:val="24"/>
              </w:rPr>
              <w:t>will provide better value for money than Elexon via the BSC.</w:t>
            </w:r>
          </w:p>
          <w:p w14:paraId="6C15F093" w14:textId="56110C08" w:rsidR="00BC6DE7" w:rsidRPr="0002576E" w:rsidRDefault="00BC6DE7" w:rsidP="00BC6DE7">
            <w:pPr>
              <w:pStyle w:val="ListParagraph"/>
              <w:numPr>
                <w:ilvl w:val="0"/>
                <w:numId w:val="17"/>
              </w:numPr>
              <w:rPr>
                <w:sz w:val="24"/>
              </w:rPr>
            </w:pPr>
            <w:r w:rsidRPr="00C93CE3">
              <w:rPr>
                <w:sz w:val="24"/>
              </w:rPr>
              <w:t>Value for money, efficiency including ‘whole-of-system’ efficiency, and cost effectiveness</w:t>
            </w:r>
          </w:p>
          <w:p w14:paraId="4672345B" w14:textId="50C38379" w:rsidR="00536ACE" w:rsidRPr="00A533AB" w:rsidRDefault="00536ACE" w:rsidP="00536ACE">
            <w:pPr>
              <w:rPr>
                <w:sz w:val="24"/>
              </w:rPr>
            </w:pPr>
            <w:r>
              <w:rPr>
                <w:sz w:val="24"/>
              </w:rPr>
              <w:t xml:space="preserve">We are unable to provide a view as to whether RECCo via the REC provides better value for money than Elexon via the BSC. On the face of it RECCo compares more favourably than Elexon with a total overall headcount of </w:t>
            </w:r>
            <w:r w:rsidR="009A1362">
              <w:rPr>
                <w:sz w:val="24"/>
              </w:rPr>
              <w:t>30</w:t>
            </w:r>
            <w:r>
              <w:rPr>
                <w:sz w:val="24"/>
              </w:rPr>
              <w:t xml:space="preserve"> FTE within an overall budget of £</w:t>
            </w:r>
            <w:r w:rsidR="00F75703">
              <w:rPr>
                <w:sz w:val="24"/>
              </w:rPr>
              <w:t>28.6</w:t>
            </w:r>
            <w:r>
              <w:rPr>
                <w:sz w:val="24"/>
              </w:rPr>
              <w:t xml:space="preserve">m compared to </w:t>
            </w:r>
            <w:r w:rsidR="0000397B">
              <w:rPr>
                <w:sz w:val="24"/>
              </w:rPr>
              <w:t>Elexon</w:t>
            </w:r>
            <w:r>
              <w:rPr>
                <w:sz w:val="24"/>
              </w:rPr>
              <w:t xml:space="preserve"> with an overall headcount of </w:t>
            </w:r>
            <w:r w:rsidR="009A1362">
              <w:rPr>
                <w:sz w:val="24"/>
              </w:rPr>
              <w:t>171.4</w:t>
            </w:r>
            <w:r>
              <w:rPr>
                <w:sz w:val="24"/>
              </w:rPr>
              <w:t xml:space="preserve"> FTE within an overall budget of £</w:t>
            </w:r>
            <w:r w:rsidR="009A1362">
              <w:rPr>
                <w:sz w:val="24"/>
              </w:rPr>
              <w:t>98.2</w:t>
            </w:r>
            <w:r>
              <w:rPr>
                <w:sz w:val="24"/>
              </w:rPr>
              <w:t>m. However without further transpancy of how these costs are made up it is difficult to reach a final conclusion.</w:t>
            </w:r>
          </w:p>
          <w:p w14:paraId="4AB6D4F3" w14:textId="77777777" w:rsidR="000D631F" w:rsidRPr="000D631F" w:rsidRDefault="000D631F" w:rsidP="000D631F">
            <w:pPr>
              <w:pStyle w:val="ListParagraph"/>
              <w:rPr>
                <w:sz w:val="24"/>
              </w:rPr>
            </w:pPr>
          </w:p>
          <w:p w14:paraId="20BB2852" w14:textId="4ADB18D8" w:rsidR="00BC6DE7" w:rsidRPr="009737F7" w:rsidRDefault="00BC6DE7" w:rsidP="00BC6DE7">
            <w:pPr>
              <w:pStyle w:val="ListParagraph"/>
              <w:numPr>
                <w:ilvl w:val="0"/>
                <w:numId w:val="17"/>
              </w:numPr>
              <w:rPr>
                <w:sz w:val="24"/>
              </w:rPr>
            </w:pPr>
            <w:r w:rsidRPr="00C93CE3">
              <w:rPr>
                <w:sz w:val="24"/>
              </w:rPr>
              <w:t>Synergy with other services provided by an EDA operator, for example in terms of • Customer journey • Costs • Operations • Governance</w:t>
            </w:r>
          </w:p>
          <w:p w14:paraId="5E2F6601" w14:textId="26454D80" w:rsidR="00C63901" w:rsidRPr="00C63901" w:rsidRDefault="004A7BFD" w:rsidP="007811F7">
            <w:pPr>
              <w:rPr>
                <w:sz w:val="24"/>
              </w:rPr>
            </w:pPr>
            <w:r>
              <w:rPr>
                <w:sz w:val="24"/>
              </w:rPr>
              <w:t xml:space="preserve">We believe that </w:t>
            </w:r>
            <w:r w:rsidR="00C454F6">
              <w:rPr>
                <w:sz w:val="24"/>
              </w:rPr>
              <w:t>RECCo does have synergy with other services provided by an ED</w:t>
            </w:r>
            <w:r w:rsidR="005E11B2">
              <w:rPr>
                <w:sz w:val="24"/>
              </w:rPr>
              <w:t>A</w:t>
            </w:r>
            <w:r w:rsidR="00C454F6">
              <w:rPr>
                <w:sz w:val="24"/>
              </w:rPr>
              <w:t xml:space="preserve"> operator.</w:t>
            </w:r>
            <w:r w:rsidR="00AB1C42">
              <w:rPr>
                <w:sz w:val="24"/>
              </w:rPr>
              <w:t xml:space="preserve"> </w:t>
            </w:r>
            <w:r w:rsidR="009B349D">
              <w:rPr>
                <w:sz w:val="24"/>
              </w:rPr>
              <w:t xml:space="preserve">These services have all recently been put in place by the </w:t>
            </w:r>
            <w:r w:rsidR="007811F7">
              <w:rPr>
                <w:sz w:val="24"/>
              </w:rPr>
              <w:t>REC.</w:t>
            </w:r>
          </w:p>
          <w:p w14:paraId="34989F98" w14:textId="77777777" w:rsidR="00C63901" w:rsidRPr="00C63901" w:rsidRDefault="00C63901" w:rsidP="00C63901">
            <w:pPr>
              <w:rPr>
                <w:sz w:val="24"/>
              </w:rPr>
            </w:pPr>
          </w:p>
          <w:p w14:paraId="4706A170" w14:textId="4BBAE996" w:rsidR="00BC6DE7" w:rsidRPr="007811F7" w:rsidRDefault="00BC6DE7" w:rsidP="00BC6DE7">
            <w:pPr>
              <w:pStyle w:val="ListParagraph"/>
              <w:numPr>
                <w:ilvl w:val="0"/>
                <w:numId w:val="17"/>
              </w:numPr>
              <w:rPr>
                <w:sz w:val="24"/>
              </w:rPr>
            </w:pPr>
            <w:r w:rsidRPr="00C93CE3">
              <w:rPr>
                <w:sz w:val="24"/>
              </w:rPr>
              <w:t>Ability to ensure security and privacy of the service to an accreditable and certifiable standard</w:t>
            </w:r>
          </w:p>
          <w:p w14:paraId="5CA00146" w14:textId="3075E387" w:rsidR="007811F7" w:rsidRPr="007811F7" w:rsidRDefault="0032419E" w:rsidP="007811F7">
            <w:pPr>
              <w:rPr>
                <w:sz w:val="24"/>
              </w:rPr>
            </w:pPr>
            <w:r>
              <w:rPr>
                <w:sz w:val="24"/>
              </w:rPr>
              <w:t xml:space="preserve">RECCo has recently put in place security and privacy arrangements </w:t>
            </w:r>
            <w:r w:rsidR="008D2D1C">
              <w:rPr>
                <w:sz w:val="24"/>
              </w:rPr>
              <w:t xml:space="preserve">to an acredditable and certifiable standard. </w:t>
            </w:r>
          </w:p>
          <w:p w14:paraId="679B7044" w14:textId="77777777" w:rsidR="00C63901" w:rsidRPr="00C63901" w:rsidRDefault="00C63901" w:rsidP="00C63901">
            <w:pPr>
              <w:rPr>
                <w:sz w:val="24"/>
              </w:rPr>
            </w:pPr>
          </w:p>
          <w:p w14:paraId="5A7BF488" w14:textId="350C833E" w:rsidR="00BC6DE7" w:rsidRPr="00C63901" w:rsidRDefault="00BC6DE7" w:rsidP="00BC6DE7">
            <w:pPr>
              <w:pStyle w:val="ListParagraph"/>
              <w:numPr>
                <w:ilvl w:val="0"/>
                <w:numId w:val="17"/>
              </w:numPr>
              <w:rPr>
                <w:sz w:val="24"/>
              </w:rPr>
            </w:pPr>
            <w:r w:rsidRPr="00C93CE3">
              <w:rPr>
                <w:sz w:val="24"/>
              </w:rPr>
              <w:t>Information Security and Quality Assurance capability, covering Disaster Recovery and other Cloud Management capability</w:t>
            </w:r>
          </w:p>
          <w:p w14:paraId="5AF69CBE" w14:textId="60414CE4" w:rsidR="00C63901" w:rsidRPr="008B5DE7" w:rsidRDefault="007A7D4D" w:rsidP="008B5DE7">
            <w:pPr>
              <w:rPr>
                <w:sz w:val="24"/>
              </w:rPr>
            </w:pPr>
            <w:r>
              <w:rPr>
                <w:sz w:val="24"/>
              </w:rPr>
              <w:t xml:space="preserve">We believe that RECCo has </w:t>
            </w:r>
            <w:r w:rsidR="000D2332">
              <w:rPr>
                <w:sz w:val="24"/>
              </w:rPr>
              <w:t>information security a</w:t>
            </w:r>
            <w:r w:rsidR="00640473">
              <w:rPr>
                <w:sz w:val="24"/>
              </w:rPr>
              <w:t>nd a quality assurance capability</w:t>
            </w:r>
            <w:r w:rsidR="0004572D">
              <w:rPr>
                <w:sz w:val="24"/>
              </w:rPr>
              <w:t xml:space="preserve"> including disaster recovery and other cloud management </w:t>
            </w:r>
            <w:r w:rsidR="0004572D">
              <w:rPr>
                <w:sz w:val="24"/>
              </w:rPr>
              <w:lastRenderedPageBreak/>
              <w:t>capability</w:t>
            </w:r>
            <w:r w:rsidR="009123FA">
              <w:rPr>
                <w:sz w:val="24"/>
              </w:rPr>
              <w:t xml:space="preserve">. However due to the shorter period that REC has been in place </w:t>
            </w:r>
            <w:r w:rsidR="00E801E1">
              <w:rPr>
                <w:sz w:val="24"/>
              </w:rPr>
              <w:t>we believe that REC</w:t>
            </w:r>
            <w:r w:rsidR="008537AC">
              <w:rPr>
                <w:sz w:val="24"/>
              </w:rPr>
              <w:t>Co</w:t>
            </w:r>
            <w:r w:rsidR="00E801E1">
              <w:rPr>
                <w:sz w:val="24"/>
              </w:rPr>
              <w:t xml:space="preserve"> has a less proven capability than </w:t>
            </w:r>
            <w:r w:rsidR="008537AC">
              <w:rPr>
                <w:sz w:val="24"/>
              </w:rPr>
              <w:t>Elexon.</w:t>
            </w:r>
            <w:r w:rsidR="009123FA">
              <w:rPr>
                <w:sz w:val="24"/>
              </w:rPr>
              <w:t xml:space="preserve"> </w:t>
            </w:r>
          </w:p>
          <w:p w14:paraId="3C13B43F" w14:textId="77777777" w:rsidR="00C63901" w:rsidRPr="00C63901" w:rsidRDefault="00C63901" w:rsidP="00C63901">
            <w:pPr>
              <w:rPr>
                <w:sz w:val="24"/>
              </w:rPr>
            </w:pPr>
          </w:p>
          <w:p w14:paraId="366DDF5E" w14:textId="77777777" w:rsidR="00C849FC" w:rsidRPr="00C63901" w:rsidRDefault="00BC6DE7" w:rsidP="00BC6DE7">
            <w:pPr>
              <w:pStyle w:val="ListParagraph"/>
              <w:numPr>
                <w:ilvl w:val="0"/>
                <w:numId w:val="17"/>
              </w:numPr>
              <w:rPr>
                <w:sz w:val="24"/>
              </w:rPr>
            </w:pPr>
            <w:r w:rsidRPr="00C93CE3">
              <w:rPr>
                <w:sz w:val="24"/>
              </w:rPr>
              <w:t>Ability to operate the service in a way that does not distort competition and provides a level playing field</w:t>
            </w:r>
          </w:p>
          <w:p w14:paraId="49995733" w14:textId="7B2A9235" w:rsidR="008537AC" w:rsidRPr="00C63901" w:rsidRDefault="008537AC" w:rsidP="004F4B86">
            <w:pPr>
              <w:rPr>
                <w:sz w:val="24"/>
              </w:rPr>
            </w:pPr>
            <w:r>
              <w:rPr>
                <w:sz w:val="24"/>
              </w:rPr>
              <w:t xml:space="preserve">We believe RECCo has </w:t>
            </w:r>
            <w:r w:rsidR="00120358">
              <w:rPr>
                <w:sz w:val="24"/>
              </w:rPr>
              <w:t xml:space="preserve">put in place arrangements to operate </w:t>
            </w:r>
            <w:r>
              <w:rPr>
                <w:sz w:val="24"/>
              </w:rPr>
              <w:t>that do not distort competition and provid</w:t>
            </w:r>
            <w:r w:rsidR="0052172B">
              <w:rPr>
                <w:sz w:val="24"/>
              </w:rPr>
              <w:t>e</w:t>
            </w:r>
            <w:r>
              <w:rPr>
                <w:sz w:val="24"/>
              </w:rPr>
              <w:t xml:space="preserve"> a level playing field. </w:t>
            </w:r>
          </w:p>
        </w:tc>
      </w:tr>
    </w:tbl>
    <w:p w14:paraId="7C2A2FC0" w14:textId="77777777" w:rsidR="00C849FC" w:rsidRDefault="00C849FC" w:rsidP="00C849FC">
      <w:pPr>
        <w:pStyle w:val="Paragraph"/>
        <w:spacing w:before="0" w:after="0"/>
        <w:rPr>
          <w:b/>
          <w:bCs/>
        </w:rPr>
      </w:pPr>
    </w:p>
    <w:p w14:paraId="11DBEEBA" w14:textId="71E7F58E" w:rsidR="00C849FC" w:rsidRPr="00757B86" w:rsidRDefault="00C849FC" w:rsidP="00C849FC">
      <w:pPr>
        <w:pStyle w:val="Paragraph"/>
        <w:spacing w:before="0" w:after="0"/>
        <w:rPr>
          <w:b/>
          <w:bCs/>
        </w:rPr>
      </w:pPr>
      <w:r w:rsidRPr="00757B86">
        <w:rPr>
          <w:b/>
          <w:bCs/>
        </w:rPr>
        <w:t xml:space="preserve">Question </w:t>
      </w:r>
      <w:r>
        <w:rPr>
          <w:b/>
          <w:bCs/>
        </w:rPr>
        <w:t xml:space="preserve">9: </w:t>
      </w:r>
      <w:r w:rsidRPr="00AE514A">
        <w:rPr>
          <w:b/>
          <w:bCs/>
        </w:rPr>
        <w:t xml:space="preserve">Is there any other </w:t>
      </w:r>
      <w:r>
        <w:rPr>
          <w:b/>
          <w:bCs/>
        </w:rPr>
        <w:t>governance mechanism and</w:t>
      </w:r>
      <w:r w:rsidRPr="00AE514A">
        <w:rPr>
          <w:b/>
          <w:bCs/>
        </w:rPr>
        <w:t xml:space="preserve"> party that you consider would be better placed than </w:t>
      </w:r>
      <w:r>
        <w:rPr>
          <w:b/>
          <w:bCs/>
        </w:rPr>
        <w:t>BSC/</w:t>
      </w:r>
      <w:r w:rsidRPr="00AE514A">
        <w:rPr>
          <w:b/>
          <w:bCs/>
        </w:rPr>
        <w:t xml:space="preserve">Elexon or </w:t>
      </w:r>
      <w:r>
        <w:rPr>
          <w:b/>
          <w:bCs/>
        </w:rPr>
        <w:t>REC/</w:t>
      </w:r>
      <w:r w:rsidRPr="00AE514A">
        <w:rPr>
          <w:b/>
          <w:bCs/>
        </w:rPr>
        <w:t>RECCo to govern, operate and fund the EDA</w:t>
      </w:r>
      <w:r>
        <w:rPr>
          <w:b/>
          <w:bCs/>
        </w:rPr>
        <w:t>?</w:t>
      </w:r>
      <w:r w:rsidRPr="00AE514A">
        <w:rPr>
          <w:b/>
          <w:bCs/>
        </w:rPr>
        <w:t xml:space="preserve"> If there is, please substantiate your response by reference to each of the criteria </w:t>
      </w:r>
      <w:r>
        <w:rPr>
          <w:b/>
          <w:bCs/>
        </w:rPr>
        <w:t>and objectives</w:t>
      </w:r>
      <w:r w:rsidRPr="00AE514A">
        <w:rPr>
          <w:b/>
          <w:bCs/>
        </w:rPr>
        <w:t xml:space="preserve"> (including any additional ones that you propose).</w:t>
      </w:r>
    </w:p>
    <w:tbl>
      <w:tblPr>
        <w:tblpPr w:leftFromText="180" w:rightFromText="180" w:vertAnchor="text" w:horzAnchor="margin" w:tblpYSpec="bottom"/>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23"/>
      </w:tblGrid>
      <w:tr w:rsidR="00C849FC" w14:paraId="78DEB68A" w14:textId="77777777" w:rsidTr="00F67132">
        <w:trPr>
          <w:trHeight w:val="10764"/>
        </w:trPr>
        <w:tc>
          <w:tcPr>
            <w:tcW w:w="5000" w:type="pct"/>
          </w:tcPr>
          <w:p w14:paraId="3D6222D2" w14:textId="2B38086C" w:rsidR="00C849FC" w:rsidRDefault="00BC6DE7" w:rsidP="003C153C">
            <w:pPr>
              <w:rPr>
                <w:sz w:val="24"/>
              </w:rPr>
            </w:pPr>
            <w:r>
              <w:rPr>
                <w:sz w:val="24"/>
              </w:rPr>
              <w:lastRenderedPageBreak/>
              <w:t>We have not identified any other governance mechanism that we consider would be better placed than BSC/Elexon or REC/RECCo</w:t>
            </w:r>
            <w:r w:rsidR="00BE2D71">
              <w:rPr>
                <w:sz w:val="24"/>
              </w:rPr>
              <w:t>, although this view should not be seen to preclude consideration of other mechanisms or parties.  Should any further options be identified, we suggest further consultation on their suitability should take place, including against the criteria developed as a result of this consultation process.</w:t>
            </w:r>
          </w:p>
        </w:tc>
      </w:tr>
    </w:tbl>
    <w:p w14:paraId="738F002E" w14:textId="77777777" w:rsidR="00861965" w:rsidRPr="00861965" w:rsidRDefault="00861965" w:rsidP="00C849FC">
      <w:pPr>
        <w:pStyle w:val="Heading1"/>
        <w:spacing w:line="240" w:lineRule="auto"/>
        <w:rPr>
          <w:bCs/>
          <w:sz w:val="24"/>
        </w:rPr>
      </w:pPr>
    </w:p>
    <w:sectPr w:rsidR="00861965" w:rsidRPr="00861965" w:rsidSect="00265B97">
      <w:headerReference w:type="default" r:id="rId14"/>
      <w:footerReference w:type="even" r:id="rId15"/>
      <w:footerReference w:type="default" r:id="rId16"/>
      <w:pgSz w:w="11900" w:h="16840" w:code="9"/>
      <w:pgMar w:top="2592" w:right="1152"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40CF8" w14:textId="77777777" w:rsidR="005856BE" w:rsidRDefault="005856BE" w:rsidP="001F6E93">
      <w:r>
        <w:separator/>
      </w:r>
    </w:p>
  </w:endnote>
  <w:endnote w:type="continuationSeparator" w:id="0">
    <w:p w14:paraId="692EE30E" w14:textId="77777777" w:rsidR="005856BE" w:rsidRDefault="005856BE" w:rsidP="001F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82003186"/>
      <w:docPartObj>
        <w:docPartGallery w:val="Page Numbers (Bottom of Page)"/>
        <w:docPartUnique/>
      </w:docPartObj>
    </w:sdtPr>
    <w:sdtEndPr>
      <w:rPr>
        <w:rStyle w:val="PageNumber"/>
      </w:rPr>
    </w:sdtEndPr>
    <w:sdtContent>
      <w:p w14:paraId="1B65D8EE" w14:textId="77777777"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D3FEB71" w14:textId="77777777" w:rsidR="00000C82" w:rsidRDefault="00000C82" w:rsidP="001F6E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2088975"/>
      <w:docPartObj>
        <w:docPartGallery w:val="Page Numbers (Bottom of Page)"/>
        <w:docPartUnique/>
      </w:docPartObj>
    </w:sdtPr>
    <w:sdtEndPr>
      <w:rPr>
        <w:rStyle w:val="PageNumber"/>
      </w:rPr>
    </w:sdtEndPr>
    <w:sdtContent>
      <w:p w14:paraId="6CE66CEE" w14:textId="76F6692F" w:rsidR="00000C82" w:rsidRDefault="00000C82" w:rsidP="001F6E9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4C1670">
          <w:rPr>
            <w:rStyle w:val="PageNumber"/>
            <w:noProof/>
          </w:rPr>
          <w:t>1</w:t>
        </w:r>
        <w:r>
          <w:rPr>
            <w:rStyle w:val="PageNumber"/>
          </w:rPr>
          <w:fldChar w:fldCharType="end"/>
        </w:r>
      </w:p>
    </w:sdtContent>
  </w:sdt>
  <w:p w14:paraId="5EEDD37B" w14:textId="7E59ED1C" w:rsidR="00000C82" w:rsidRPr="00000C82" w:rsidRDefault="009905C7" w:rsidP="001F6E93">
    <w:pPr>
      <w:pStyle w:val="Footer"/>
    </w:pPr>
    <w:r>
      <w:rPr>
        <w:noProof/>
        <w:lang w:eastAsia="en-GB"/>
      </w:rPr>
      <w:drawing>
        <wp:anchor distT="0" distB="0" distL="114300" distR="114300" simplePos="0" relativeHeight="251659264" behindDoc="0" locked="0" layoutInCell="1" allowOverlap="1" wp14:anchorId="0184E612" wp14:editId="274B6707">
          <wp:simplePos x="0" y="0"/>
          <wp:positionH relativeFrom="column">
            <wp:posOffset>-338455</wp:posOffset>
          </wp:positionH>
          <wp:positionV relativeFrom="paragraph">
            <wp:posOffset>49960</wp:posOffset>
          </wp:positionV>
          <wp:extent cx="597600" cy="176400"/>
          <wp:effectExtent l="0" t="0" r="0" b="0"/>
          <wp:wrapNone/>
          <wp:docPr id="2" name="Picture 2" descr="Job number" title="OFG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FG1161.jpg"/>
                  <pic:cNvPicPr/>
                </pic:nvPicPr>
                <pic:blipFill>
                  <a:blip r:embed="rId1">
                    <a:extLst>
                      <a:ext uri="{28A0092B-C50C-407E-A947-70E740481C1C}">
                        <a14:useLocalDpi xmlns:a14="http://schemas.microsoft.com/office/drawing/2010/main" val="0"/>
                      </a:ext>
                    </a:extLst>
                  </a:blip>
                  <a:stretch>
                    <a:fillRect/>
                  </a:stretch>
                </pic:blipFill>
                <pic:spPr>
                  <a:xfrm>
                    <a:off x="0" y="0"/>
                    <a:ext cx="597600" cy="176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F501A" w14:textId="77777777" w:rsidR="005856BE" w:rsidRDefault="005856BE" w:rsidP="001F6E93">
      <w:r>
        <w:separator/>
      </w:r>
    </w:p>
  </w:footnote>
  <w:footnote w:type="continuationSeparator" w:id="0">
    <w:p w14:paraId="62D54A15" w14:textId="77777777" w:rsidR="005856BE" w:rsidRDefault="005856BE" w:rsidP="001F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94A6A" w14:textId="77777777" w:rsidR="00000C82" w:rsidRDefault="00000C82" w:rsidP="001F6E93">
    <w:pPr>
      <w:pStyle w:val="Header"/>
    </w:pPr>
    <w:r>
      <w:rPr>
        <w:noProof/>
        <w:lang w:eastAsia="en-GB"/>
      </w:rPr>
      <w:drawing>
        <wp:anchor distT="0" distB="0" distL="114300" distR="114300" simplePos="0" relativeHeight="251658240" behindDoc="1" locked="0" layoutInCell="1" allowOverlap="1" wp14:anchorId="080A6332" wp14:editId="167397A6">
          <wp:simplePos x="0" y="0"/>
          <wp:positionH relativeFrom="column">
            <wp:posOffset>4660900</wp:posOffset>
          </wp:positionH>
          <wp:positionV relativeFrom="paragraph">
            <wp:posOffset>0</wp:posOffset>
          </wp:positionV>
          <wp:extent cx="1554480" cy="905256"/>
          <wp:effectExtent l="0" t="0" r="0" b="0"/>
          <wp:wrapNone/>
          <wp:docPr id="1" name="Picture 1" descr="Ofgem logo" title="Ofgem - making a positive difference for energy consum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GEM-LOGO.jpg"/>
                  <pic:cNvPicPr/>
                </pic:nvPicPr>
                <pic:blipFill>
                  <a:blip r:embed="rId1">
                    <a:extLst>
                      <a:ext uri="{28A0092B-C50C-407E-A947-70E740481C1C}">
                        <a14:useLocalDpi xmlns:a14="http://schemas.microsoft.com/office/drawing/2010/main" val="0"/>
                      </a:ext>
                    </a:extLst>
                  </a:blip>
                  <a:stretch>
                    <a:fillRect/>
                  </a:stretch>
                </pic:blipFill>
                <pic:spPr>
                  <a:xfrm>
                    <a:off x="0" y="0"/>
                    <a:ext cx="1554480" cy="90525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763EC"/>
    <w:multiLevelType w:val="hybridMultilevel"/>
    <w:tmpl w:val="135C18BC"/>
    <w:lvl w:ilvl="0" w:tplc="CA5E26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883CEE"/>
    <w:multiLevelType w:val="hybridMultilevel"/>
    <w:tmpl w:val="1884E702"/>
    <w:lvl w:ilvl="0" w:tplc="ECECB2F4">
      <w:start w:val="1"/>
      <w:numFmt w:val="decimal"/>
      <w:lvlText w:val="%1."/>
      <w:lvlJc w:val="left"/>
      <w:pPr>
        <w:ind w:left="720" w:hanging="360"/>
      </w:pPr>
      <w:rPr>
        <w:rFonts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0A58E7"/>
    <w:multiLevelType w:val="hybridMultilevel"/>
    <w:tmpl w:val="698219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1100A2"/>
    <w:multiLevelType w:val="hybridMultilevel"/>
    <w:tmpl w:val="5B7AB734"/>
    <w:lvl w:ilvl="0" w:tplc="0809000F">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485336D"/>
    <w:multiLevelType w:val="hybridMultilevel"/>
    <w:tmpl w:val="7624A63E"/>
    <w:lvl w:ilvl="0" w:tplc="0809000F">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2C3A6B62"/>
    <w:multiLevelType w:val="multilevel"/>
    <w:tmpl w:val="6A085276"/>
    <w:lvl w:ilvl="0">
      <w:start w:val="1"/>
      <w:numFmt w:val="decimal"/>
      <w:suff w:val="space"/>
      <w:lvlText w:val="%1."/>
      <w:lvlJc w:val="left"/>
      <w:pPr>
        <w:ind w:left="360" w:hanging="360"/>
      </w:pPr>
      <w:rPr>
        <w:rFonts w:hint="default"/>
      </w:rPr>
    </w:lvl>
    <w:lvl w:ilvl="1">
      <w:start w:val="1"/>
      <w:numFmt w:val="decimal"/>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EA64AFC"/>
    <w:multiLevelType w:val="hybridMultilevel"/>
    <w:tmpl w:val="1724037E"/>
    <w:lvl w:ilvl="0" w:tplc="0809000F">
      <w:start w:val="7"/>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8C2301"/>
    <w:multiLevelType w:val="hybridMultilevel"/>
    <w:tmpl w:val="7624A63E"/>
    <w:lvl w:ilvl="0" w:tplc="0809000F">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2CE43FD"/>
    <w:multiLevelType w:val="hybridMultilevel"/>
    <w:tmpl w:val="A89CF748"/>
    <w:lvl w:ilvl="0" w:tplc="0809000F">
      <w:start w:val="7"/>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9F2F68"/>
    <w:multiLevelType w:val="hybridMultilevel"/>
    <w:tmpl w:val="61D8EFFA"/>
    <w:lvl w:ilvl="0" w:tplc="0809000F">
      <w:start w:val="7"/>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C887F00"/>
    <w:multiLevelType w:val="hybridMultilevel"/>
    <w:tmpl w:val="D0D048BA"/>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38C0FB1"/>
    <w:multiLevelType w:val="hybridMultilevel"/>
    <w:tmpl w:val="8F7E81AA"/>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FD85F61"/>
    <w:multiLevelType w:val="hybridMultilevel"/>
    <w:tmpl w:val="6B90EE9C"/>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20A10FB"/>
    <w:multiLevelType w:val="hybridMultilevel"/>
    <w:tmpl w:val="5E009BEA"/>
    <w:lvl w:ilvl="0" w:tplc="EC2266BE">
      <w:start w:val="1"/>
      <w:numFmt w:val="decimal"/>
      <w:lvlText w:val="%1."/>
      <w:lvlJc w:val="left"/>
      <w:pPr>
        <w:ind w:left="502" w:hanging="360"/>
      </w:pPr>
      <w:rPr>
        <w:rFonts w:ascii="Verdana" w:hAnsi="Verdana" w:hint="default"/>
        <w:b w:val="0"/>
        <w:color w:val="000000"/>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63B27EE9"/>
    <w:multiLevelType w:val="hybridMultilevel"/>
    <w:tmpl w:val="A6A6B264"/>
    <w:lvl w:ilvl="0" w:tplc="32926A8C">
      <w:start w:val="1"/>
      <w:numFmt w:val="decimal"/>
      <w:lvlText w:val="%1."/>
      <w:lvlJc w:val="left"/>
      <w:pPr>
        <w:ind w:left="720" w:hanging="360"/>
      </w:pPr>
      <w:rPr>
        <w:rFonts w:hint="default"/>
        <w:b w:val="0"/>
        <w:bCs/>
        <w:color w:val="auto"/>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027F3E"/>
    <w:multiLevelType w:val="hybridMultilevel"/>
    <w:tmpl w:val="9D2E7C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9C45C12"/>
    <w:multiLevelType w:val="hybridMultilevel"/>
    <w:tmpl w:val="22929D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3"/>
  </w:num>
  <w:num w:numId="3">
    <w:abstractNumId w:val="14"/>
  </w:num>
  <w:num w:numId="4">
    <w:abstractNumId w:val="1"/>
  </w:num>
  <w:num w:numId="5">
    <w:abstractNumId w:val="16"/>
  </w:num>
  <w:num w:numId="6">
    <w:abstractNumId w:val="10"/>
  </w:num>
  <w:num w:numId="7">
    <w:abstractNumId w:val="6"/>
  </w:num>
  <w:num w:numId="8">
    <w:abstractNumId w:val="9"/>
  </w:num>
  <w:num w:numId="9">
    <w:abstractNumId w:val="8"/>
  </w:num>
  <w:num w:numId="10">
    <w:abstractNumId w:val="11"/>
  </w:num>
  <w:num w:numId="11">
    <w:abstractNumId w:val="12"/>
  </w:num>
  <w:num w:numId="12">
    <w:abstractNumId w:val="3"/>
  </w:num>
  <w:num w:numId="13">
    <w:abstractNumId w:val="5"/>
  </w:num>
  <w:num w:numId="14">
    <w:abstractNumId w:val="15"/>
  </w:num>
  <w:num w:numId="15">
    <w:abstractNumId w:val="2"/>
  </w:num>
  <w:num w:numId="16">
    <w:abstractNumId w:val="4"/>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C82"/>
    <w:rsid w:val="00000C82"/>
    <w:rsid w:val="0000397B"/>
    <w:rsid w:val="0002576E"/>
    <w:rsid w:val="000279C3"/>
    <w:rsid w:val="0004572D"/>
    <w:rsid w:val="000458CA"/>
    <w:rsid w:val="000476C0"/>
    <w:rsid w:val="000731F6"/>
    <w:rsid w:val="000751E0"/>
    <w:rsid w:val="000761E4"/>
    <w:rsid w:val="00083B9D"/>
    <w:rsid w:val="00087FA2"/>
    <w:rsid w:val="000B6061"/>
    <w:rsid w:val="000D2332"/>
    <w:rsid w:val="000D631F"/>
    <w:rsid w:val="000D795B"/>
    <w:rsid w:val="000F4635"/>
    <w:rsid w:val="00106392"/>
    <w:rsid w:val="00112CF8"/>
    <w:rsid w:val="00120358"/>
    <w:rsid w:val="001431F3"/>
    <w:rsid w:val="00177460"/>
    <w:rsid w:val="001A68F2"/>
    <w:rsid w:val="001C06F4"/>
    <w:rsid w:val="001D4695"/>
    <w:rsid w:val="001F214F"/>
    <w:rsid w:val="001F6E93"/>
    <w:rsid w:val="00231D18"/>
    <w:rsid w:val="0024160A"/>
    <w:rsid w:val="0024423D"/>
    <w:rsid w:val="002450A6"/>
    <w:rsid w:val="00265B97"/>
    <w:rsid w:val="0028580A"/>
    <w:rsid w:val="002A27A4"/>
    <w:rsid w:val="002A42DB"/>
    <w:rsid w:val="002B25ED"/>
    <w:rsid w:val="002F327C"/>
    <w:rsid w:val="002F48C3"/>
    <w:rsid w:val="00306DFE"/>
    <w:rsid w:val="00311F8D"/>
    <w:rsid w:val="0032419E"/>
    <w:rsid w:val="00331426"/>
    <w:rsid w:val="003359E6"/>
    <w:rsid w:val="003566E1"/>
    <w:rsid w:val="003D0181"/>
    <w:rsid w:val="003D4E6E"/>
    <w:rsid w:val="003E022A"/>
    <w:rsid w:val="003E0566"/>
    <w:rsid w:val="003E0EED"/>
    <w:rsid w:val="00440CBC"/>
    <w:rsid w:val="00462631"/>
    <w:rsid w:val="00474A0D"/>
    <w:rsid w:val="004763A0"/>
    <w:rsid w:val="004824AC"/>
    <w:rsid w:val="004A6AEB"/>
    <w:rsid w:val="004A7BFD"/>
    <w:rsid w:val="004C1670"/>
    <w:rsid w:val="004D5FA0"/>
    <w:rsid w:val="004F4B86"/>
    <w:rsid w:val="00511043"/>
    <w:rsid w:val="00516FED"/>
    <w:rsid w:val="0052172B"/>
    <w:rsid w:val="005331D0"/>
    <w:rsid w:val="00536ACE"/>
    <w:rsid w:val="00536E5B"/>
    <w:rsid w:val="0054678E"/>
    <w:rsid w:val="0056239D"/>
    <w:rsid w:val="00573A60"/>
    <w:rsid w:val="005761CC"/>
    <w:rsid w:val="005847EB"/>
    <w:rsid w:val="005856BE"/>
    <w:rsid w:val="005A0E70"/>
    <w:rsid w:val="005A5E1D"/>
    <w:rsid w:val="005C0AA0"/>
    <w:rsid w:val="005C524A"/>
    <w:rsid w:val="005D4DAC"/>
    <w:rsid w:val="005E11B2"/>
    <w:rsid w:val="005F0460"/>
    <w:rsid w:val="005F6CC3"/>
    <w:rsid w:val="00623AFA"/>
    <w:rsid w:val="00627C69"/>
    <w:rsid w:val="00640473"/>
    <w:rsid w:val="0064127D"/>
    <w:rsid w:val="00646C1B"/>
    <w:rsid w:val="006874D5"/>
    <w:rsid w:val="00696CA3"/>
    <w:rsid w:val="006B6D47"/>
    <w:rsid w:val="006D211B"/>
    <w:rsid w:val="006E2C92"/>
    <w:rsid w:val="006E6DDB"/>
    <w:rsid w:val="00726192"/>
    <w:rsid w:val="00757B86"/>
    <w:rsid w:val="007811F7"/>
    <w:rsid w:val="0078376B"/>
    <w:rsid w:val="007A4F15"/>
    <w:rsid w:val="007A7D4D"/>
    <w:rsid w:val="007C0D12"/>
    <w:rsid w:val="007C5C72"/>
    <w:rsid w:val="007C7E9B"/>
    <w:rsid w:val="007D6A38"/>
    <w:rsid w:val="007F1638"/>
    <w:rsid w:val="007F4D07"/>
    <w:rsid w:val="007F737C"/>
    <w:rsid w:val="00800593"/>
    <w:rsid w:val="008105C6"/>
    <w:rsid w:val="00811F77"/>
    <w:rsid w:val="00834C7D"/>
    <w:rsid w:val="00844B94"/>
    <w:rsid w:val="008517F4"/>
    <w:rsid w:val="008537AC"/>
    <w:rsid w:val="00861965"/>
    <w:rsid w:val="0086475A"/>
    <w:rsid w:val="00875CBD"/>
    <w:rsid w:val="00877554"/>
    <w:rsid w:val="0089032C"/>
    <w:rsid w:val="008A1C51"/>
    <w:rsid w:val="008B264E"/>
    <w:rsid w:val="008B5DE7"/>
    <w:rsid w:val="008D2D1C"/>
    <w:rsid w:val="008F4C84"/>
    <w:rsid w:val="009123FA"/>
    <w:rsid w:val="00932670"/>
    <w:rsid w:val="00934E1C"/>
    <w:rsid w:val="00935854"/>
    <w:rsid w:val="00940B18"/>
    <w:rsid w:val="00962B82"/>
    <w:rsid w:val="00967DAE"/>
    <w:rsid w:val="00972881"/>
    <w:rsid w:val="009737F7"/>
    <w:rsid w:val="009801A6"/>
    <w:rsid w:val="009905C7"/>
    <w:rsid w:val="009944E4"/>
    <w:rsid w:val="009A1362"/>
    <w:rsid w:val="009B349D"/>
    <w:rsid w:val="009B35CD"/>
    <w:rsid w:val="009B7453"/>
    <w:rsid w:val="009E7E04"/>
    <w:rsid w:val="009F1186"/>
    <w:rsid w:val="009F33B6"/>
    <w:rsid w:val="00A053EF"/>
    <w:rsid w:val="00A12C0B"/>
    <w:rsid w:val="00A17F94"/>
    <w:rsid w:val="00A32ADF"/>
    <w:rsid w:val="00A35911"/>
    <w:rsid w:val="00A45F83"/>
    <w:rsid w:val="00A533AB"/>
    <w:rsid w:val="00AA4841"/>
    <w:rsid w:val="00AB1C42"/>
    <w:rsid w:val="00B05A64"/>
    <w:rsid w:val="00B05DBB"/>
    <w:rsid w:val="00B06FAD"/>
    <w:rsid w:val="00B1055D"/>
    <w:rsid w:val="00B16642"/>
    <w:rsid w:val="00B23746"/>
    <w:rsid w:val="00B36C28"/>
    <w:rsid w:val="00B410C2"/>
    <w:rsid w:val="00B51F6B"/>
    <w:rsid w:val="00B54EE9"/>
    <w:rsid w:val="00B6089D"/>
    <w:rsid w:val="00B7188E"/>
    <w:rsid w:val="00B82734"/>
    <w:rsid w:val="00B94813"/>
    <w:rsid w:val="00BC6DE7"/>
    <w:rsid w:val="00BE1936"/>
    <w:rsid w:val="00BE2D71"/>
    <w:rsid w:val="00C10BD0"/>
    <w:rsid w:val="00C42222"/>
    <w:rsid w:val="00C454F6"/>
    <w:rsid w:val="00C5030B"/>
    <w:rsid w:val="00C570BB"/>
    <w:rsid w:val="00C57CB5"/>
    <w:rsid w:val="00C63901"/>
    <w:rsid w:val="00C849FC"/>
    <w:rsid w:val="00C93CE3"/>
    <w:rsid w:val="00CB66ED"/>
    <w:rsid w:val="00CF1423"/>
    <w:rsid w:val="00CF3F99"/>
    <w:rsid w:val="00CF6C22"/>
    <w:rsid w:val="00D13887"/>
    <w:rsid w:val="00D217DF"/>
    <w:rsid w:val="00D55FEA"/>
    <w:rsid w:val="00D56139"/>
    <w:rsid w:val="00D61087"/>
    <w:rsid w:val="00D6578C"/>
    <w:rsid w:val="00D75F6A"/>
    <w:rsid w:val="00D82FB9"/>
    <w:rsid w:val="00D85EE5"/>
    <w:rsid w:val="00D948CF"/>
    <w:rsid w:val="00D94E5E"/>
    <w:rsid w:val="00DA0EE6"/>
    <w:rsid w:val="00DC00BF"/>
    <w:rsid w:val="00E108AC"/>
    <w:rsid w:val="00E21BF6"/>
    <w:rsid w:val="00E60B51"/>
    <w:rsid w:val="00E73F40"/>
    <w:rsid w:val="00E76021"/>
    <w:rsid w:val="00E801E1"/>
    <w:rsid w:val="00E833A6"/>
    <w:rsid w:val="00E85612"/>
    <w:rsid w:val="00E94895"/>
    <w:rsid w:val="00EE535B"/>
    <w:rsid w:val="00EF29FF"/>
    <w:rsid w:val="00F241C0"/>
    <w:rsid w:val="00F34692"/>
    <w:rsid w:val="00F50F8C"/>
    <w:rsid w:val="00F53EB9"/>
    <w:rsid w:val="00F64250"/>
    <w:rsid w:val="00F67132"/>
    <w:rsid w:val="00F75703"/>
    <w:rsid w:val="00F81EF5"/>
    <w:rsid w:val="00F90EF8"/>
    <w:rsid w:val="00F92DE6"/>
    <w:rsid w:val="00F95911"/>
    <w:rsid w:val="00F971B7"/>
    <w:rsid w:val="00F97D67"/>
    <w:rsid w:val="00FB4EE6"/>
    <w:rsid w:val="00FC4961"/>
    <w:rsid w:val="00FD6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1CB48A4"/>
  <w15:chartTrackingRefBased/>
  <w15:docId w15:val="{FFBC9B04-E0F7-AD47-B73C-9CB6B0FE1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5C6"/>
    <w:pPr>
      <w:spacing w:line="360" w:lineRule="auto"/>
    </w:pPr>
    <w:rPr>
      <w:rFonts w:ascii="Verdana" w:hAnsi="Verdana"/>
      <w:sz w:val="20"/>
      <w:lang w:val="en-GB"/>
    </w:rPr>
  </w:style>
  <w:style w:type="paragraph" w:styleId="Heading1">
    <w:name w:val="heading 1"/>
    <w:aliases w:val="Main heading"/>
    <w:basedOn w:val="Normal"/>
    <w:next w:val="Normal"/>
    <w:link w:val="Heading1Char"/>
    <w:uiPriority w:val="9"/>
    <w:qFormat/>
    <w:rsid w:val="004824AC"/>
    <w:pPr>
      <w:keepNext/>
      <w:keepLines/>
      <w:spacing w:before="240" w:after="360"/>
      <w:outlineLvl w:val="0"/>
    </w:pPr>
    <w:rPr>
      <w:rFonts w:eastAsiaTheme="majorEastAsia" w:cstheme="majorBidi"/>
      <w:b/>
      <w:sz w:val="28"/>
      <w:szCs w:val="32"/>
    </w:rPr>
  </w:style>
  <w:style w:type="paragraph" w:styleId="Heading2">
    <w:name w:val="heading 2"/>
    <w:aliases w:val="Subheading"/>
    <w:basedOn w:val="Normal"/>
    <w:next w:val="Normal"/>
    <w:link w:val="Heading2Char"/>
    <w:uiPriority w:val="9"/>
    <w:unhideWhenUsed/>
    <w:qFormat/>
    <w:rsid w:val="004824AC"/>
    <w:pPr>
      <w:keepNext/>
      <w:keepLines/>
      <w:spacing w:before="40" w:after="18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2A27A4"/>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C82"/>
    <w:pPr>
      <w:tabs>
        <w:tab w:val="center" w:pos="4680"/>
        <w:tab w:val="right" w:pos="9360"/>
      </w:tabs>
    </w:pPr>
  </w:style>
  <w:style w:type="character" w:customStyle="1" w:styleId="HeaderChar">
    <w:name w:val="Header Char"/>
    <w:basedOn w:val="DefaultParagraphFont"/>
    <w:link w:val="Header"/>
    <w:uiPriority w:val="99"/>
    <w:rsid w:val="00000C82"/>
  </w:style>
  <w:style w:type="paragraph" w:styleId="Footer">
    <w:name w:val="footer"/>
    <w:basedOn w:val="Normal"/>
    <w:link w:val="FooterChar"/>
    <w:uiPriority w:val="99"/>
    <w:unhideWhenUsed/>
    <w:rsid w:val="00000C82"/>
    <w:pPr>
      <w:tabs>
        <w:tab w:val="center" w:pos="4680"/>
        <w:tab w:val="right" w:pos="9360"/>
      </w:tabs>
    </w:pPr>
  </w:style>
  <w:style w:type="character" w:customStyle="1" w:styleId="FooterChar">
    <w:name w:val="Footer Char"/>
    <w:basedOn w:val="DefaultParagraphFont"/>
    <w:link w:val="Footer"/>
    <w:uiPriority w:val="99"/>
    <w:rsid w:val="00000C82"/>
  </w:style>
  <w:style w:type="character" w:styleId="PageNumber">
    <w:name w:val="page number"/>
    <w:basedOn w:val="DefaultParagraphFont"/>
    <w:uiPriority w:val="99"/>
    <w:semiHidden/>
    <w:unhideWhenUsed/>
    <w:rsid w:val="00000C82"/>
  </w:style>
  <w:style w:type="table" w:styleId="TableGrid">
    <w:name w:val="Table Grid"/>
    <w:basedOn w:val="TableNormal"/>
    <w:uiPriority w:val="39"/>
    <w:rsid w:val="00C50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5FA0"/>
    <w:pPr>
      <w:ind w:left="720"/>
      <w:contextualSpacing/>
    </w:pPr>
  </w:style>
  <w:style w:type="paragraph" w:styleId="Title">
    <w:name w:val="Title"/>
    <w:basedOn w:val="Normal"/>
    <w:next w:val="Normal"/>
    <w:link w:val="TitleChar"/>
    <w:uiPriority w:val="10"/>
    <w:qFormat/>
    <w:rsid w:val="00D217DF"/>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D217DF"/>
    <w:rPr>
      <w:rFonts w:ascii="Verdana" w:eastAsiaTheme="majorEastAsia" w:hAnsi="Verdana" w:cstheme="majorBidi"/>
      <w:b/>
      <w:spacing w:val="-10"/>
      <w:kern w:val="28"/>
      <w:sz w:val="20"/>
      <w:szCs w:val="56"/>
    </w:rPr>
  </w:style>
  <w:style w:type="character" w:customStyle="1" w:styleId="Heading1Char">
    <w:name w:val="Heading 1 Char"/>
    <w:aliases w:val="Main heading Char"/>
    <w:basedOn w:val="DefaultParagraphFont"/>
    <w:link w:val="Heading1"/>
    <w:uiPriority w:val="9"/>
    <w:rsid w:val="004824AC"/>
    <w:rPr>
      <w:rFonts w:ascii="Verdana" w:eastAsiaTheme="majorEastAsia" w:hAnsi="Verdana" w:cstheme="majorBidi"/>
      <w:b/>
      <w:sz w:val="28"/>
      <w:szCs w:val="32"/>
    </w:rPr>
  </w:style>
  <w:style w:type="character" w:customStyle="1" w:styleId="Heading2Char">
    <w:name w:val="Heading 2 Char"/>
    <w:aliases w:val="Subheading Char"/>
    <w:basedOn w:val="DefaultParagraphFont"/>
    <w:link w:val="Heading2"/>
    <w:uiPriority w:val="9"/>
    <w:rsid w:val="004824AC"/>
    <w:rPr>
      <w:rFonts w:ascii="Verdana" w:eastAsiaTheme="majorEastAsia" w:hAnsi="Verdana" w:cstheme="majorBidi"/>
      <w:b/>
      <w:szCs w:val="26"/>
    </w:rPr>
  </w:style>
  <w:style w:type="paragraph" w:styleId="Subtitle">
    <w:name w:val="Subtitle"/>
    <w:basedOn w:val="Normal"/>
    <w:next w:val="Normal"/>
    <w:link w:val="SubtitleChar"/>
    <w:uiPriority w:val="11"/>
    <w:qFormat/>
    <w:rsid w:val="001431F3"/>
    <w:pPr>
      <w:numPr>
        <w:ilvl w:val="1"/>
      </w:numPr>
      <w:spacing w:after="160"/>
    </w:pPr>
    <w:rPr>
      <w:rFonts w:eastAsiaTheme="minorEastAsia"/>
      <w:color w:val="5A5A5A" w:themeColor="text1" w:themeTint="A5"/>
      <w:spacing w:val="15"/>
      <w:szCs w:val="22"/>
    </w:rPr>
  </w:style>
  <w:style w:type="character" w:customStyle="1" w:styleId="SubtitleChar">
    <w:name w:val="Subtitle Char"/>
    <w:basedOn w:val="DefaultParagraphFont"/>
    <w:link w:val="Subtitle"/>
    <w:uiPriority w:val="11"/>
    <w:rsid w:val="001431F3"/>
    <w:rPr>
      <w:rFonts w:ascii="Verdana" w:eastAsiaTheme="minorEastAsia" w:hAnsi="Verdana"/>
      <w:color w:val="5A5A5A" w:themeColor="text1" w:themeTint="A5"/>
      <w:spacing w:val="15"/>
      <w:sz w:val="20"/>
      <w:szCs w:val="22"/>
    </w:rPr>
  </w:style>
  <w:style w:type="character" w:styleId="SubtleEmphasis">
    <w:name w:val="Subtle Emphasis"/>
    <w:basedOn w:val="DefaultParagraphFont"/>
    <w:uiPriority w:val="19"/>
    <w:qFormat/>
    <w:rsid w:val="001431F3"/>
    <w:rPr>
      <w:rFonts w:ascii="Verdana" w:hAnsi="Verdana"/>
      <w:i/>
      <w:iCs/>
      <w:color w:val="404040" w:themeColor="text1" w:themeTint="BF"/>
      <w:sz w:val="20"/>
    </w:rPr>
  </w:style>
  <w:style w:type="character" w:styleId="Emphasis">
    <w:name w:val="Emphasis"/>
    <w:basedOn w:val="DefaultParagraphFont"/>
    <w:uiPriority w:val="20"/>
    <w:qFormat/>
    <w:rsid w:val="001431F3"/>
    <w:rPr>
      <w:rFonts w:ascii="Verdana" w:hAnsi="Verdana"/>
      <w:i/>
      <w:iCs/>
      <w:sz w:val="20"/>
    </w:rPr>
  </w:style>
  <w:style w:type="character" w:styleId="Hyperlink">
    <w:name w:val="Hyperlink"/>
    <w:aliases w:val="TOC - Hyperlink"/>
    <w:basedOn w:val="DefaultParagraphFont"/>
    <w:uiPriority w:val="99"/>
    <w:rsid w:val="005D4DAC"/>
    <w:rPr>
      <w:rFonts w:ascii="Verdana" w:hAnsi="Verdana"/>
      <w:color w:val="191C9D"/>
      <w:sz w:val="20"/>
      <w:u w:val="single"/>
    </w:rPr>
  </w:style>
  <w:style w:type="character" w:customStyle="1" w:styleId="Heading3Char">
    <w:name w:val="Heading 3 Char"/>
    <w:basedOn w:val="DefaultParagraphFont"/>
    <w:link w:val="Heading3"/>
    <w:uiPriority w:val="9"/>
    <w:semiHidden/>
    <w:rsid w:val="002A27A4"/>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516FE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6FED"/>
    <w:rPr>
      <w:rFonts w:ascii="Segoe UI" w:hAnsi="Segoe UI" w:cs="Segoe UI"/>
      <w:sz w:val="18"/>
      <w:szCs w:val="18"/>
      <w:lang w:val="en-GB"/>
    </w:rPr>
  </w:style>
  <w:style w:type="paragraph" w:styleId="NoSpacing">
    <w:name w:val="No Spacing"/>
    <w:uiPriority w:val="1"/>
    <w:qFormat/>
    <w:rsid w:val="00F81EF5"/>
    <w:rPr>
      <w:rFonts w:ascii="Verdana" w:hAnsi="Verdana"/>
      <w:sz w:val="20"/>
      <w:lang w:val="en-GB"/>
    </w:rPr>
  </w:style>
  <w:style w:type="paragraph" w:customStyle="1" w:styleId="Paragraph">
    <w:name w:val="Paragraph"/>
    <w:aliases w:val="numbered,MHHS - Paragraph"/>
    <w:basedOn w:val="Normal"/>
    <w:qFormat/>
    <w:rsid w:val="004A6AEB"/>
    <w:pPr>
      <w:spacing w:before="360" w:after="360"/>
    </w:pPr>
    <w:rPr>
      <w:rFonts w:eastAsia="Times New Roman" w:cs="Times New Roman"/>
      <w:szCs w:val="20"/>
    </w:rPr>
  </w:style>
  <w:style w:type="paragraph" w:customStyle="1" w:styleId="Appendixtext-Numbered">
    <w:name w:val="Appendix text - Numbered"/>
    <w:basedOn w:val="Normal"/>
    <w:link w:val="Appendixtext-NumberedChar"/>
    <w:qFormat/>
    <w:rsid w:val="001F214F"/>
    <w:pPr>
      <w:spacing w:before="120" w:after="360"/>
    </w:pPr>
    <w:rPr>
      <w:rFonts w:eastAsia="Times New Roman" w:cs="Times New Roman"/>
    </w:rPr>
  </w:style>
  <w:style w:type="character" w:customStyle="1" w:styleId="Appendixtext-NumberedChar">
    <w:name w:val="Appendix text - Numbered Char"/>
    <w:basedOn w:val="DefaultParagraphFont"/>
    <w:link w:val="Appendixtext-Numbered"/>
    <w:rsid w:val="001F214F"/>
    <w:rPr>
      <w:rFonts w:ascii="Verdana" w:eastAsia="Times New Roman" w:hAnsi="Verdana" w:cs="Times New Roman"/>
      <w:sz w:val="20"/>
      <w:lang w:val="en-GB"/>
    </w:rPr>
  </w:style>
  <w:style w:type="character" w:customStyle="1" w:styleId="Titleheading">
    <w:name w:val="Title heading"/>
    <w:basedOn w:val="DefaultParagraphFont"/>
    <w:rsid w:val="00757B86"/>
    <w:rPr>
      <w:rFonts w:ascii="Verdana" w:hAnsi="Verdana"/>
      <w:b/>
      <w:bCs/>
      <w:sz w:val="24"/>
    </w:rPr>
  </w:style>
  <w:style w:type="paragraph" w:customStyle="1" w:styleId="Sectiontitle">
    <w:name w:val="Section title"/>
    <w:basedOn w:val="Heading1"/>
    <w:next w:val="Normal"/>
    <w:rsid w:val="00C849FC"/>
    <w:pPr>
      <w:keepNext w:val="0"/>
      <w:keepLines w:val="0"/>
      <w:pageBreakBefore/>
      <w:tabs>
        <w:tab w:val="left" w:pos="2581"/>
      </w:tabs>
      <w:spacing w:before="0" w:after="200" w:line="276" w:lineRule="auto"/>
      <w:ind w:left="360" w:hanging="360"/>
    </w:pPr>
    <w:rPr>
      <w:rFonts w:eastAsia="Times New Roman" w:cs="Times New Roman"/>
      <w:bCs/>
      <w:color w:val="F68220"/>
      <w:szCs w:val="20"/>
    </w:rPr>
  </w:style>
  <w:style w:type="character" w:styleId="CommentReference">
    <w:name w:val="annotation reference"/>
    <w:basedOn w:val="DefaultParagraphFont"/>
    <w:semiHidden/>
    <w:rsid w:val="00C849FC"/>
    <w:rPr>
      <w:sz w:val="16"/>
      <w:szCs w:val="16"/>
    </w:rPr>
  </w:style>
  <w:style w:type="paragraph" w:styleId="CommentText">
    <w:name w:val="annotation text"/>
    <w:basedOn w:val="Normal"/>
    <w:link w:val="CommentTextChar"/>
    <w:semiHidden/>
    <w:rsid w:val="00C849FC"/>
    <w:rPr>
      <w:rFonts w:eastAsia="Times New Roman" w:cs="Times New Roman"/>
      <w:szCs w:val="20"/>
    </w:rPr>
  </w:style>
  <w:style w:type="character" w:customStyle="1" w:styleId="CommentTextChar">
    <w:name w:val="Comment Text Char"/>
    <w:basedOn w:val="DefaultParagraphFont"/>
    <w:link w:val="CommentText"/>
    <w:semiHidden/>
    <w:rsid w:val="00C849FC"/>
    <w:rPr>
      <w:rFonts w:ascii="Verdana" w:eastAsia="Times New Roman" w:hAnsi="Verdana"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444561">
      <w:bodyDiv w:val="1"/>
      <w:marLeft w:val="0"/>
      <w:marRight w:val="0"/>
      <w:marTop w:val="0"/>
      <w:marBottom w:val="0"/>
      <w:divBdr>
        <w:top w:val="none" w:sz="0" w:space="0" w:color="auto"/>
        <w:left w:val="none" w:sz="0" w:space="0" w:color="auto"/>
        <w:bottom w:val="none" w:sz="0" w:space="0" w:color="auto"/>
        <w:right w:val="none" w:sz="0" w:space="0" w:color="auto"/>
      </w:divBdr>
    </w:div>
    <w:div w:id="643586715">
      <w:bodyDiv w:val="1"/>
      <w:marLeft w:val="0"/>
      <w:marRight w:val="0"/>
      <w:marTop w:val="0"/>
      <w:marBottom w:val="0"/>
      <w:divBdr>
        <w:top w:val="none" w:sz="0" w:space="0" w:color="auto"/>
        <w:left w:val="none" w:sz="0" w:space="0" w:color="auto"/>
        <w:bottom w:val="none" w:sz="0" w:space="0" w:color="auto"/>
        <w:right w:val="none" w:sz="0" w:space="0" w:color="auto"/>
      </w:divBdr>
    </w:div>
    <w:div w:id="1029985250">
      <w:bodyDiv w:val="1"/>
      <w:marLeft w:val="0"/>
      <w:marRight w:val="0"/>
      <w:marTop w:val="0"/>
      <w:marBottom w:val="0"/>
      <w:divBdr>
        <w:top w:val="none" w:sz="0" w:space="0" w:color="auto"/>
        <w:left w:val="none" w:sz="0" w:space="0" w:color="auto"/>
        <w:bottom w:val="none" w:sz="0" w:space="0" w:color="auto"/>
        <w:right w:val="none" w:sz="0" w:space="0" w:color="auto"/>
      </w:divBdr>
    </w:div>
    <w:div w:id="1031958683">
      <w:bodyDiv w:val="1"/>
      <w:marLeft w:val="0"/>
      <w:marRight w:val="0"/>
      <w:marTop w:val="0"/>
      <w:marBottom w:val="0"/>
      <w:divBdr>
        <w:top w:val="none" w:sz="0" w:space="0" w:color="auto"/>
        <w:left w:val="none" w:sz="0" w:space="0" w:color="auto"/>
        <w:bottom w:val="none" w:sz="0" w:space="0" w:color="auto"/>
        <w:right w:val="none" w:sz="0" w:space="0" w:color="auto"/>
      </w:divBdr>
    </w:div>
    <w:div w:id="1149981163">
      <w:bodyDiv w:val="1"/>
      <w:marLeft w:val="0"/>
      <w:marRight w:val="0"/>
      <w:marTop w:val="0"/>
      <w:marBottom w:val="0"/>
      <w:divBdr>
        <w:top w:val="none" w:sz="0" w:space="0" w:color="auto"/>
        <w:left w:val="none" w:sz="0" w:space="0" w:color="auto"/>
        <w:bottom w:val="none" w:sz="0" w:space="0" w:color="auto"/>
        <w:right w:val="none" w:sz="0" w:space="0" w:color="auto"/>
      </w:divBdr>
    </w:div>
    <w:div w:id="1431126719">
      <w:bodyDiv w:val="1"/>
      <w:marLeft w:val="0"/>
      <w:marRight w:val="0"/>
      <w:marTop w:val="0"/>
      <w:marBottom w:val="0"/>
      <w:divBdr>
        <w:top w:val="none" w:sz="0" w:space="0" w:color="auto"/>
        <w:left w:val="none" w:sz="0" w:space="0" w:color="auto"/>
        <w:bottom w:val="none" w:sz="0" w:space="0" w:color="auto"/>
        <w:right w:val="none" w:sz="0" w:space="0" w:color="auto"/>
      </w:divBdr>
    </w:div>
    <w:div w:id="1544908017">
      <w:bodyDiv w:val="1"/>
      <w:marLeft w:val="0"/>
      <w:marRight w:val="0"/>
      <w:marTop w:val="0"/>
      <w:marBottom w:val="0"/>
      <w:divBdr>
        <w:top w:val="none" w:sz="0" w:space="0" w:color="auto"/>
        <w:left w:val="none" w:sz="0" w:space="0" w:color="auto"/>
        <w:bottom w:val="none" w:sz="0" w:space="0" w:color="auto"/>
        <w:right w:val="none" w:sz="0" w:space="0" w:color="auto"/>
      </w:divBdr>
    </w:div>
    <w:div w:id="1758551224">
      <w:bodyDiv w:val="1"/>
      <w:marLeft w:val="0"/>
      <w:marRight w:val="0"/>
      <w:marTop w:val="0"/>
      <w:marBottom w:val="0"/>
      <w:divBdr>
        <w:top w:val="none" w:sz="0" w:space="0" w:color="auto"/>
        <w:left w:val="none" w:sz="0" w:space="0" w:color="auto"/>
        <w:bottom w:val="none" w:sz="0" w:space="0" w:color="auto"/>
        <w:right w:val="none" w:sz="0" w:space="0" w:color="auto"/>
      </w:divBdr>
    </w:div>
    <w:div w:id="1824468223">
      <w:bodyDiv w:val="1"/>
      <w:marLeft w:val="0"/>
      <w:marRight w:val="0"/>
      <w:marTop w:val="0"/>
      <w:marBottom w:val="0"/>
      <w:divBdr>
        <w:top w:val="none" w:sz="0" w:space="0" w:color="auto"/>
        <w:left w:val="none" w:sz="0" w:space="0" w:color="auto"/>
        <w:bottom w:val="none" w:sz="0" w:space="0" w:color="auto"/>
        <w:right w:val="none" w:sz="0" w:space="0" w:color="auto"/>
      </w:divBdr>
    </w:div>
    <w:div w:id="1912620936">
      <w:bodyDiv w:val="1"/>
      <w:marLeft w:val="0"/>
      <w:marRight w:val="0"/>
      <w:marTop w:val="0"/>
      <w:marBottom w:val="0"/>
      <w:divBdr>
        <w:top w:val="none" w:sz="0" w:space="0" w:color="auto"/>
        <w:left w:val="none" w:sz="0" w:space="0" w:color="auto"/>
        <w:bottom w:val="none" w:sz="0" w:space="0" w:color="auto"/>
        <w:right w:val="none" w:sz="0" w:space="0" w:color="auto"/>
      </w:divBdr>
    </w:div>
    <w:div w:id="2105026086">
      <w:bodyDiv w:val="1"/>
      <w:marLeft w:val="0"/>
      <w:marRight w:val="0"/>
      <w:marTop w:val="0"/>
      <w:marBottom w:val="0"/>
      <w:divBdr>
        <w:top w:val="none" w:sz="0" w:space="0" w:color="auto"/>
        <w:left w:val="none" w:sz="0" w:space="0" w:color="auto"/>
        <w:bottom w:val="none" w:sz="0" w:space="0" w:color="auto"/>
        <w:right w:val="none" w:sz="0" w:space="0" w:color="auto"/>
      </w:divBdr>
    </w:div>
    <w:div w:id="211825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ofgem.gov.u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alfHourlySettlement@ofgem.gov.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CB79738CE2D774A9D58D5BC707E9BB9" ma:contentTypeVersion="0" ma:contentTypeDescription="Create a new document." ma:contentTypeScope="" ma:versionID="a81d6170c48fb9baa20e17ac50a67b04">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2A55783D-6ADA-4A21-A049-7D1E54396865}">
  <ds:schemaRefs>
    <ds:schemaRef ds:uri="http://schemas.microsoft.com/sharepoint/v3/contenttype/forms"/>
  </ds:schemaRefs>
</ds:datastoreItem>
</file>

<file path=customXml/itemProps2.xml><?xml version="1.0" encoding="utf-8"?>
<ds:datastoreItem xmlns:ds="http://schemas.openxmlformats.org/officeDocument/2006/customXml" ds:itemID="{14E82F54-144E-4A60-B50E-47A6162B3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8825B2-374B-43E1-B290-0D0514A5219D}">
  <ds:schemaRefs>
    <ds:schemaRef ds:uri="http://schemas.openxmlformats.org/officeDocument/2006/bibliography"/>
  </ds:schemaRefs>
</ds:datastoreItem>
</file>

<file path=customXml/itemProps4.xml><?xml version="1.0" encoding="utf-8"?>
<ds:datastoreItem xmlns:ds="http://schemas.openxmlformats.org/officeDocument/2006/customXml" ds:itemID="{17B6FF5B-3AEB-4958-8F9A-3BECEC9B70F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448A78D-1CF0-4255-9993-2D6709D5F12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1876</Words>
  <Characters>10695</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Implementation Arrangements Consultation Response Form</vt:lpstr>
    </vt:vector>
  </TitlesOfParts>
  <Company>Ofgem</Company>
  <LinksUpToDate>false</LinksUpToDate>
  <CharactersWithSpaces>12546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Implementation Arrangements Consultation Response Form</dc:title>
  <dc:subject/>
  <dc:creator>Ofgem</dc:creator>
  <cp:keywords/>
  <dc:description/>
  <cp:lastModifiedBy>Sinead Quinn</cp:lastModifiedBy>
  <cp:revision>2</cp:revision>
  <dcterms:created xsi:type="dcterms:W3CDTF">2022-02-17T10:45:00Z</dcterms:created>
  <dcterms:modified xsi:type="dcterms:W3CDTF">2022-02-17T10:45:00Z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0x0101000CB79738CE2D774A9D58D5BC707E9BB9</vt:lpwstr>
  </property>
  <property fmtid="{D5CDD505-2E9C-101B-9397-08002B2CF9AE}" pid="3" name="docIndexRef">
    <vt:lpwstr>11afde24-c073-40a9-8bde-dfca523567f9</vt:lpwstr>
  </property>
  <property fmtid="{D5CDD505-2E9C-101B-9397-08002B2CF9AE}" pid="4" name="bjSaver">
    <vt:lpwstr>WXoYCeGbFqQc8FZh5Mhj3Bj0oqW2Gt1E</vt:lpwstr>
  </property>
  <property fmtid="{D5CDD505-2E9C-101B-9397-08002B2CF9AE}" pid="5" name="OIAssociatedTeam">
    <vt:lpwstr/>
  </property>
  <property fmtid="{D5CDD505-2E9C-101B-9397-08002B2CF9AE}" pid="6" name="bjClsUserRVM">
    <vt:lpwstr>[]</vt:lpwstr>
  </property>
  <property fmtid="{D5CDD505-2E9C-101B-9397-08002B2CF9AE}" pid="7" name="Order">
    <vt:r8>5700</vt:r8>
  </property>
  <property fmtid="{D5CDD505-2E9C-101B-9397-08002B2CF9AE}" pid="8" name="bjDocumentSecurityLabel">
    <vt:lpwstr>This item has no classification</vt:lpwstr>
  </property>
  <property fmtid="{D5CDD505-2E9C-101B-9397-08002B2CF9AE}" pid="9" name="MSIP_Label_065f1a46-1149-4b07-97f4-ee5ba49b485b_Enabled">
    <vt:lpwstr>true</vt:lpwstr>
  </property>
  <property fmtid="{D5CDD505-2E9C-101B-9397-08002B2CF9AE}" pid="10" name="MSIP_Label_065f1a46-1149-4b07-97f4-ee5ba49b485b_SetDate">
    <vt:lpwstr>2022-02-10T17:35:12Z</vt:lpwstr>
  </property>
  <property fmtid="{D5CDD505-2E9C-101B-9397-08002B2CF9AE}" pid="11" name="MSIP_Label_065f1a46-1149-4b07-97f4-ee5ba49b485b_Method">
    <vt:lpwstr>Standard</vt:lpwstr>
  </property>
  <property fmtid="{D5CDD505-2E9C-101B-9397-08002B2CF9AE}" pid="12" name="MSIP_Label_065f1a46-1149-4b07-97f4-ee5ba49b485b_Name">
    <vt:lpwstr>065f1a46-1149-4b07-97f4-ee5ba49b485b</vt:lpwstr>
  </property>
  <property fmtid="{D5CDD505-2E9C-101B-9397-08002B2CF9AE}" pid="13" name="MSIP_Label_065f1a46-1149-4b07-97f4-ee5ba49b485b_SiteId">
    <vt:lpwstr>a603898f-7de2-45ba-b67d-d35fb519b2cf</vt:lpwstr>
  </property>
  <property fmtid="{D5CDD505-2E9C-101B-9397-08002B2CF9AE}" pid="14" name="MSIP_Label_065f1a46-1149-4b07-97f4-ee5ba49b485b_ActionId">
    <vt:lpwstr>8ed3dcfc-1347-422a-9199-76ed494c052e</vt:lpwstr>
  </property>
  <property fmtid="{D5CDD505-2E9C-101B-9397-08002B2CF9AE}" pid="15" name="MSIP_Label_065f1a46-1149-4b07-97f4-ee5ba49b485b_ContentBits">
    <vt:lpwstr>0</vt:lpwstr>
  </property>
</Properties>
</file>