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5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730"/>
        <w:gridCol w:w="2823"/>
        <w:gridCol w:w="3403"/>
      </w:tblGrid>
      <w:tr w:rsidR="00F92DE6" w14:paraId="247D903F" w14:textId="77777777" w:rsidTr="00F81EF5">
        <w:trPr>
          <w:cantSplit/>
          <w:trHeight w:hRule="exact" w:val="277"/>
          <w:tblHeader/>
        </w:trPr>
        <w:tc>
          <w:tcPr>
            <w:tcW w:w="3730"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823"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403"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F81EF5">
        <w:trPr>
          <w:cantSplit/>
          <w:trHeight w:hRule="exact" w:val="2499"/>
          <w:tblHeader/>
        </w:trPr>
        <w:tc>
          <w:tcPr>
            <w:tcW w:w="995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3D10C72B" w14:textId="77777777" w:rsidR="00F81EF5" w:rsidRDefault="00F81EF5" w:rsidP="00F81EF5">
            <w:pPr>
              <w:tabs>
                <w:tab w:val="left" w:pos="8250"/>
              </w:tabs>
              <w:rPr>
                <w:rFonts w:eastAsia="Times New Roman" w:cs="Calibri"/>
                <w:b/>
                <w:sz w:val="32"/>
                <w:u w:val="single"/>
                <w:lang w:eastAsia="en-GB"/>
              </w:rPr>
            </w:pPr>
            <w:r>
              <w:rPr>
                <w:rFonts w:eastAsia="Times New Roman" w:cs="Calibri"/>
                <w:b/>
                <w:sz w:val="32"/>
                <w:u w:val="single"/>
                <w:lang w:eastAsia="en-GB"/>
              </w:rPr>
              <w:t>Response</w:t>
            </w:r>
            <w:r w:rsidRPr="00CA3393">
              <w:rPr>
                <w:rFonts w:eastAsia="Times New Roman" w:cs="Calibri"/>
                <w:b/>
                <w:sz w:val="32"/>
                <w:u w:val="single"/>
                <w:lang w:eastAsia="en-GB"/>
              </w:rPr>
              <w:t xml:space="preserve"> Form</w:t>
            </w:r>
          </w:p>
          <w:p w14:paraId="47B59C01" w14:textId="02019609" w:rsidR="00F81EF5" w:rsidRPr="00CA3393" w:rsidRDefault="00757B86" w:rsidP="00F81EF5">
            <w:pPr>
              <w:tabs>
                <w:tab w:val="left" w:pos="8250"/>
              </w:tabs>
              <w:rPr>
                <w:rFonts w:eastAsia="Times New Roman" w:cs="Calibri"/>
                <w:b/>
                <w:sz w:val="32"/>
                <w:u w:val="single"/>
                <w:lang w:eastAsia="en-GB"/>
              </w:rPr>
            </w:pPr>
            <w:r>
              <w:rPr>
                <w:rStyle w:val="Titleheading"/>
              </w:rPr>
              <w:t xml:space="preserve">Consultation on Governance, </w:t>
            </w:r>
            <w:r w:rsidR="001D4695">
              <w:rPr>
                <w:rStyle w:val="Titleheading"/>
              </w:rPr>
              <w:t>funding,</w:t>
            </w:r>
            <w:r>
              <w:rPr>
                <w:rStyle w:val="Titleheading"/>
              </w:rPr>
              <w:t xml:space="preserve"> and operation of an Event Driven Architecture for </w:t>
            </w:r>
            <w:r w:rsidRPr="00757B86">
              <w:rPr>
                <w:b/>
                <w:sz w:val="24"/>
                <w:szCs w:val="32"/>
              </w:rPr>
              <w:t>Market-Wide Half-Hourly Settlement</w:t>
            </w:r>
          </w:p>
          <w:p w14:paraId="001377F7" w14:textId="6772E039" w:rsidR="00D217DF" w:rsidRPr="001F6E93" w:rsidRDefault="00D217DF" w:rsidP="001F6E93">
            <w:pPr>
              <w:pStyle w:val="Title"/>
              <w:rPr>
                <w:noProof/>
                <w:sz w:val="22"/>
                <w:szCs w:val="22"/>
              </w:rPr>
            </w:pPr>
          </w:p>
        </w:tc>
      </w:tr>
    </w:tbl>
    <w:p w14:paraId="119A6DA6" w14:textId="77777777" w:rsidR="00FD689B" w:rsidRDefault="00FD689B" w:rsidP="001F6E93"/>
    <w:p w14:paraId="0C3B11AB" w14:textId="77777777" w:rsidR="00F81EF5" w:rsidRDefault="00F81EF5" w:rsidP="00F81EF5">
      <w:pPr>
        <w:tabs>
          <w:tab w:val="left" w:pos="8250"/>
        </w:tabs>
        <w:rPr>
          <w:i/>
          <w:iCs/>
        </w:rPr>
      </w:pPr>
    </w:p>
    <w:p w14:paraId="32C9F755" w14:textId="07CB5830" w:rsidR="00F81EF5" w:rsidRDefault="00F81EF5" w:rsidP="00F81EF5">
      <w:pPr>
        <w:tabs>
          <w:tab w:val="left" w:pos="8250"/>
        </w:tabs>
        <w:rPr>
          <w:rFonts w:eastAsia="Times New Roman" w:cs="Calibri"/>
          <w:i/>
          <w:lang w:eastAsia="en-GB"/>
        </w:rPr>
      </w:pPr>
      <w:r>
        <w:rPr>
          <w:i/>
          <w:iCs/>
        </w:rPr>
        <w:t xml:space="preserve">The deadline for responses is </w:t>
      </w:r>
      <w:r w:rsidR="00757B86" w:rsidRPr="005847EB">
        <w:rPr>
          <w:b/>
          <w:bCs/>
          <w:i/>
          <w:iCs/>
        </w:rPr>
        <w:t>1</w:t>
      </w:r>
      <w:r w:rsidR="005847EB" w:rsidRPr="005847EB">
        <w:rPr>
          <w:b/>
          <w:bCs/>
          <w:i/>
          <w:iCs/>
        </w:rPr>
        <w:t>7</w:t>
      </w:r>
      <w:r w:rsidRPr="005847EB">
        <w:rPr>
          <w:b/>
          <w:bCs/>
          <w:i/>
          <w:iCs/>
        </w:rPr>
        <w:t xml:space="preserve"> </w:t>
      </w:r>
      <w:r w:rsidR="00757B86" w:rsidRPr="005847EB">
        <w:rPr>
          <w:b/>
          <w:bCs/>
          <w:i/>
          <w:iCs/>
        </w:rPr>
        <w:t>February</w:t>
      </w:r>
      <w:r w:rsidRPr="005847EB">
        <w:rPr>
          <w:b/>
          <w:bCs/>
          <w:i/>
          <w:iCs/>
        </w:rPr>
        <w:t xml:space="preserve"> 202</w:t>
      </w:r>
      <w:r w:rsidR="00757B86" w:rsidRPr="005847EB">
        <w:rPr>
          <w:b/>
          <w:bCs/>
          <w:i/>
          <w:iCs/>
        </w:rPr>
        <w:t>2</w:t>
      </w:r>
      <w:r>
        <w:rPr>
          <w:i/>
          <w:iCs/>
        </w:rPr>
        <w:t>.</w:t>
      </w:r>
      <w:r>
        <w:rPr>
          <w:rFonts w:eastAsia="Times New Roman" w:cs="Calibri"/>
          <w:i/>
          <w:lang w:eastAsia="en-GB"/>
        </w:rPr>
        <w:t xml:space="preserve"> P</w:t>
      </w:r>
      <w:r w:rsidRPr="00733F3B">
        <w:rPr>
          <w:rFonts w:eastAsia="Times New Roman" w:cs="Calibri"/>
          <w:i/>
          <w:lang w:eastAsia="en-GB"/>
        </w:rPr>
        <w:t xml:space="preserve">lease send this form to </w:t>
      </w:r>
      <w:hyperlink r:id="rId12" w:history="1">
        <w:r w:rsidRPr="00733F3B">
          <w:rPr>
            <w:rFonts w:eastAsia="Times New Roman" w:cs="Calibri"/>
            <w:b/>
            <w:i/>
            <w:color w:val="0000FF"/>
            <w:u w:val="single"/>
            <w:lang w:eastAsia="en-GB"/>
          </w:rPr>
          <w:t>HalfHourlySettlement@ofgem.gov.uk</w:t>
        </w:r>
      </w:hyperlink>
      <w:r>
        <w:rPr>
          <w:rFonts w:eastAsia="Times New Roman" w:cs="Calibri"/>
          <w:i/>
          <w:lang w:eastAsia="en-GB"/>
        </w:rPr>
        <w:t xml:space="preserve"> once completed.</w:t>
      </w:r>
    </w:p>
    <w:p w14:paraId="09224DAD" w14:textId="77777777" w:rsidR="00F81EF5" w:rsidRDefault="00F81EF5" w:rsidP="00F81EF5">
      <w:pPr>
        <w:tabs>
          <w:tab w:val="left" w:pos="8250"/>
        </w:tabs>
        <w:rPr>
          <w:rFonts w:eastAsia="Times New Roman" w:cs="Calibri"/>
          <w:i/>
          <w:lang w:eastAsia="en-GB"/>
        </w:rPr>
      </w:pPr>
    </w:p>
    <w:p w14:paraId="040A9881" w14:textId="77777777" w:rsidR="00F81EF5" w:rsidRPr="00CA3393" w:rsidRDefault="00F81EF5" w:rsidP="00F81EF5">
      <w:pPr>
        <w:tabs>
          <w:tab w:val="left" w:pos="8250"/>
        </w:tabs>
        <w:rPr>
          <w:rFonts w:eastAsia="Times New Roman" w:cs="Calibri"/>
          <w:b/>
          <w:u w:val="single"/>
          <w:lang w:eastAsia="en-GB"/>
        </w:rPr>
      </w:pPr>
      <w:r>
        <w:rPr>
          <w:rFonts w:eastAsia="Times New Roman" w:cs="Calibri"/>
          <w:b/>
          <w:noProof/>
          <w:sz w:val="24"/>
          <w:lang w:eastAsia="en-GB"/>
        </w:rPr>
        <mc:AlternateContent>
          <mc:Choice Requires="wps">
            <w:drawing>
              <wp:anchor distT="0" distB="0" distL="114300" distR="114300" simplePos="0" relativeHeight="251659264" behindDoc="0" locked="0" layoutInCell="1" allowOverlap="1" wp14:anchorId="64FFB701" wp14:editId="5EBE0BFD">
                <wp:simplePos x="0" y="0"/>
                <wp:positionH relativeFrom="column">
                  <wp:posOffset>1232452</wp:posOffset>
                </wp:positionH>
                <wp:positionV relativeFrom="paragraph">
                  <wp:posOffset>198148</wp:posOffset>
                </wp:positionV>
                <wp:extent cx="4805045" cy="310100"/>
                <wp:effectExtent l="0" t="0" r="14605" b="13970"/>
                <wp:wrapNone/>
                <wp:docPr id="3" name="Text Box 3"/>
                <wp:cNvGraphicFramePr/>
                <a:graphic xmlns:a="http://schemas.openxmlformats.org/drawingml/2006/main">
                  <a:graphicData uri="http://schemas.microsoft.com/office/word/2010/wordprocessingShape">
                    <wps:wsp>
                      <wps:cNvSpPr txBox="1"/>
                      <wps:spPr>
                        <a:xfrm>
                          <a:off x="0" y="0"/>
                          <a:ext cx="4805045" cy="310100"/>
                        </a:xfrm>
                        <a:prstGeom prst="rect">
                          <a:avLst/>
                        </a:prstGeom>
                        <a:solidFill>
                          <a:schemeClr val="lt1"/>
                        </a:solidFill>
                        <a:ln w="6350">
                          <a:solidFill>
                            <a:schemeClr val="bg1"/>
                          </a:solidFill>
                        </a:ln>
                      </wps:spPr>
                      <wps:txbx>
                        <w:txbxContent>
                          <w:p w14:paraId="725DB740" w14:textId="5F42F430" w:rsidR="00F81EF5" w:rsidRDefault="00323741" w:rsidP="00F81EF5">
                            <w:r>
                              <w:t>Electricity North West Limited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FFB701" id="_x0000_t202" coordsize="21600,21600" o:spt="202" path="m,l,21600r21600,l21600,xe">
                <v:stroke joinstyle="miter"/>
                <v:path gradientshapeok="t" o:connecttype="rect"/>
              </v:shapetype>
              <v:shape id="Text Box 3" o:spid="_x0000_s1026" type="#_x0000_t202" style="position:absolute;margin-left:97.05pt;margin-top:15.6pt;width:378.35pt;height:24.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" fillcolor="white [3201]" strokecolor="white [3212]" strokeweight=".5pt">
                <v:textbox>
                  <w:txbxContent>
                    <w:p w14:paraId="725DB740" w14:textId="5F42F430" w:rsidR="00F81EF5" w:rsidRDefault="00323741" w:rsidP="00F81EF5">
                      <w:r>
                        <w:t>Electricity North West Limited</w:t>
                      </w:r>
                    </w:p>
                  </w:txbxContent>
                </v:textbox>
              </v:shape>
            </w:pict>
          </mc:Fallback>
        </mc:AlternateContent>
      </w:r>
    </w:p>
    <w:p w14:paraId="25893840" w14:textId="77777777" w:rsidR="00F81EF5" w:rsidRDefault="00F81EF5" w:rsidP="00F81EF5">
      <w:pPr>
        <w:tabs>
          <w:tab w:val="left" w:pos="8250"/>
        </w:tabs>
        <w:rPr>
          <w:rFonts w:eastAsia="Times New Roman" w:cs="Calibri"/>
          <w:b/>
          <w:sz w:val="24"/>
          <w:lang w:eastAsia="en-GB"/>
        </w:rPr>
      </w:pPr>
      <w:r w:rsidRPr="00CA3393">
        <w:rPr>
          <w:rFonts w:eastAsia="Times New Roman" w:cs="Calibri"/>
          <w:b/>
          <w:sz w:val="24"/>
          <w:lang w:eastAsia="en-GB"/>
        </w:rPr>
        <w:t>Organisation:</w:t>
      </w:r>
    </w:p>
    <w:p w14:paraId="1C3FA93F" w14:textId="77777777" w:rsidR="00F81EF5" w:rsidRPr="00CA3393" w:rsidRDefault="00F81EF5" w:rsidP="00F81EF5">
      <w:pPr>
        <w:tabs>
          <w:tab w:val="left" w:pos="8250"/>
        </w:tabs>
        <w:rPr>
          <w:rFonts w:eastAsia="Times New Roman" w:cs="Calibri"/>
          <w:b/>
          <w:sz w:val="24"/>
          <w:lang w:eastAsia="en-GB"/>
        </w:rPr>
      </w:pPr>
      <w:r>
        <w:rPr>
          <w:rFonts w:eastAsia="Times New Roman" w:cs="Calibri"/>
          <w:b/>
          <w:noProof/>
          <w:sz w:val="24"/>
          <w:lang w:eastAsia="en-GB"/>
        </w:rPr>
        <mc:AlternateContent>
          <mc:Choice Requires="wps">
            <w:drawing>
              <wp:anchor distT="0" distB="0" distL="114300" distR="114300" simplePos="0" relativeHeight="251660288" behindDoc="0" locked="0" layoutInCell="1" allowOverlap="1" wp14:anchorId="00C2BC9F" wp14:editId="7CB39598">
                <wp:simplePos x="0" y="0"/>
                <wp:positionH relativeFrom="column">
                  <wp:posOffset>779228</wp:posOffset>
                </wp:positionH>
                <wp:positionV relativeFrom="paragraph">
                  <wp:posOffset>253420</wp:posOffset>
                </wp:positionV>
                <wp:extent cx="5098415" cy="294198"/>
                <wp:effectExtent l="0" t="0" r="26035" b="10795"/>
                <wp:wrapNone/>
                <wp:docPr id="4" name="Text Box 4"/>
                <wp:cNvGraphicFramePr/>
                <a:graphic xmlns:a="http://schemas.openxmlformats.org/drawingml/2006/main">
                  <a:graphicData uri="http://schemas.microsoft.com/office/word/2010/wordprocessingShape">
                    <wps:wsp>
                      <wps:cNvSpPr txBox="1"/>
                      <wps:spPr>
                        <a:xfrm>
                          <a:off x="0" y="0"/>
                          <a:ext cx="5098415" cy="294198"/>
                        </a:xfrm>
                        <a:prstGeom prst="rect">
                          <a:avLst/>
                        </a:prstGeom>
                        <a:solidFill>
                          <a:schemeClr val="lt1"/>
                        </a:solidFill>
                        <a:ln w="6350">
                          <a:solidFill>
                            <a:schemeClr val="bg1"/>
                          </a:solidFill>
                        </a:ln>
                      </wps:spPr>
                      <wps:txbx>
                        <w:txbxContent>
                          <w:p w14:paraId="104BFCF3" w14:textId="759899B1" w:rsidR="00F81EF5" w:rsidRDefault="00323741" w:rsidP="00F81EF5">
                            <w:r>
                              <w:t>Bryan Heap (bryan.heap@enwl.co.uk)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C2BC9F" id="Text Box 4" o:spid="_x0000_s1027" type="#_x0000_t202" style="position:absolute;margin-left:61.35pt;margin-top:19.95pt;width:401.45pt;height:23.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" fillcolor="white [3201]" strokecolor="white [3212]" strokeweight=".5pt">
                <v:textbox>
                  <w:txbxContent>
                    <w:p w14:paraId="104BFCF3" w14:textId="759899B1" w:rsidR="00F81EF5" w:rsidRDefault="00323741" w:rsidP="00F81EF5">
                      <w:r>
                        <w:t>Bryan Heap (bryan.heap@enwl.co.uk)</w:t>
                      </w:r>
                    </w:p>
                  </w:txbxContent>
                </v:textbox>
              </v:shape>
            </w:pict>
          </mc:Fallback>
        </mc:AlternateContent>
      </w:r>
    </w:p>
    <w:p w14:paraId="514C9FFD" w14:textId="77777777" w:rsidR="00F81EF5" w:rsidRPr="00CA3393" w:rsidRDefault="00F81EF5" w:rsidP="00F81EF5">
      <w:pPr>
        <w:tabs>
          <w:tab w:val="left" w:pos="8250"/>
        </w:tabs>
        <w:rPr>
          <w:rFonts w:eastAsia="Times New Roman" w:cs="Calibri"/>
          <w:b/>
          <w:sz w:val="24"/>
          <w:lang w:eastAsia="en-GB"/>
        </w:rPr>
      </w:pPr>
      <w:r w:rsidRPr="00CA3393">
        <w:rPr>
          <w:rFonts w:eastAsia="Times New Roman" w:cs="Calibri"/>
          <w:b/>
          <w:sz w:val="24"/>
          <w:lang w:eastAsia="en-GB"/>
        </w:rPr>
        <w:t>Contact:</w:t>
      </w:r>
      <w:r>
        <w:rPr>
          <w:rFonts w:eastAsia="Times New Roman" w:cs="Calibri"/>
          <w:b/>
          <w:sz w:val="24"/>
          <w:lang w:eastAsia="en-GB"/>
        </w:rPr>
        <w:t xml:space="preserve"> </w:t>
      </w:r>
    </w:p>
    <w:p w14:paraId="03A29F68" w14:textId="77777777" w:rsidR="00F81EF5" w:rsidRPr="00CA3393" w:rsidRDefault="00F81EF5" w:rsidP="00F81EF5">
      <w:pPr>
        <w:tabs>
          <w:tab w:val="left" w:pos="8250"/>
        </w:tabs>
        <w:rPr>
          <w:rFonts w:eastAsia="Times New Roman" w:cs="Calibri"/>
          <w:b/>
          <w:sz w:val="24"/>
          <w:lang w:eastAsia="en-GB"/>
        </w:rPr>
      </w:pPr>
    </w:p>
    <w:p w14:paraId="10C9FAE0" w14:textId="7773403B" w:rsidR="00F81EF5" w:rsidRPr="00CA3393" w:rsidRDefault="00F81EF5" w:rsidP="00F81EF5">
      <w:pPr>
        <w:tabs>
          <w:tab w:val="left" w:pos="4925"/>
          <w:tab w:val="left" w:pos="5387"/>
          <w:tab w:val="left" w:pos="7088"/>
          <w:tab w:val="left" w:pos="8250"/>
        </w:tabs>
        <w:rPr>
          <w:rFonts w:eastAsia="Times New Roman" w:cs="Calibri"/>
          <w:b/>
          <w:sz w:val="24"/>
          <w:lang w:eastAsia="en-GB"/>
        </w:rPr>
      </w:pPr>
      <w:r w:rsidRPr="00CA3393">
        <w:rPr>
          <w:rFonts w:eastAsia="Times New Roman" w:cs="Calibri"/>
          <w:b/>
          <w:sz w:val="24"/>
          <w:lang w:eastAsia="en-GB"/>
        </w:rPr>
        <w:t>Is your feedback confidential?</w:t>
      </w:r>
      <w:r w:rsidRPr="00CA3393">
        <w:rPr>
          <w:rFonts w:eastAsia="Times New Roman" w:cs="Calibri"/>
          <w:b/>
          <w:sz w:val="24"/>
          <w:lang w:eastAsia="en-GB"/>
        </w:rPr>
        <w:tab/>
      </w:r>
      <w:r w:rsidRPr="006D77DC">
        <w:rPr>
          <w:rFonts w:eastAsia="Times New Roman" w:cs="Calibri"/>
          <w:sz w:val="28"/>
          <w:szCs w:val="28"/>
          <w:lang w:eastAsia="en-GB"/>
        </w:rPr>
        <w:t>NO</w:t>
      </w:r>
      <w:r w:rsidRPr="00CA3393">
        <w:rPr>
          <w:rFonts w:eastAsia="Times New Roman" w:cs="Calibri"/>
          <w:sz w:val="44"/>
          <w:szCs w:val="44"/>
          <w:lang w:eastAsia="en-GB"/>
        </w:rPr>
        <w:t xml:space="preserve"> </w:t>
      </w:r>
      <w:sdt>
        <w:sdtPr>
          <w:rPr>
            <w:rFonts w:eastAsia="Times New Roman" w:cs="Calibri"/>
            <w:b/>
            <w:sz w:val="36"/>
            <w:szCs w:val="52"/>
            <w:lang w:eastAsia="en-GB"/>
          </w:rPr>
          <w:id w:val="1823162767"/>
          <w14:checkbox>
            <w14:checked w14:val="1"/>
            <w14:checkedState w14:val="2612" w14:font="MS Gothic"/>
            <w14:uncheckedState w14:val="2610" w14:font="MS Gothic"/>
          </w14:checkbox>
        </w:sdtPr>
        <w:sdtEndPr/>
        <w:sdtContent>
          <w:r w:rsidR="00323741">
            <w:rPr>
              <w:rFonts w:ascii="MS Gothic" w:eastAsia="MS Gothic" w:hAnsi="MS Gothic" w:cs="Calibri" w:hint="eastAsia"/>
              <w:b/>
              <w:sz w:val="36"/>
              <w:szCs w:val="52"/>
              <w:lang w:eastAsia="en-GB"/>
            </w:rPr>
            <w:t>☒</w:t>
          </w:r>
        </w:sdtContent>
      </w:sdt>
      <w:r w:rsidRPr="00CA3393">
        <w:rPr>
          <w:rFonts w:eastAsia="Times New Roman" w:cs="Calibri"/>
          <w:b/>
          <w:sz w:val="24"/>
          <w:lang w:eastAsia="en-GB"/>
        </w:rPr>
        <w:tab/>
      </w:r>
      <w:r w:rsidRPr="006D77DC">
        <w:rPr>
          <w:rFonts w:eastAsia="Times New Roman" w:cs="Calibri"/>
          <w:sz w:val="28"/>
          <w:szCs w:val="44"/>
          <w:lang w:eastAsia="en-GB"/>
        </w:rPr>
        <w:t>YES</w:t>
      </w:r>
      <w:r w:rsidRPr="00CA3393">
        <w:rPr>
          <w:rFonts w:eastAsia="Times New Roman" w:cs="Calibri"/>
          <w:b/>
          <w:sz w:val="44"/>
          <w:szCs w:val="44"/>
          <w:lang w:eastAsia="en-GB"/>
        </w:rPr>
        <w:t xml:space="preserve"> </w:t>
      </w:r>
      <w:sdt>
        <w:sdtPr>
          <w:rPr>
            <w:rFonts w:eastAsia="Times New Roman" w:cs="Calibri"/>
            <w:b/>
            <w:sz w:val="36"/>
            <w:szCs w:val="52"/>
            <w:lang w:eastAsia="en-GB"/>
          </w:rPr>
          <w:id w:val="469479282"/>
          <w14:checkbox>
            <w14:checked w14:val="0"/>
            <w14:checkedState w14:val="2612" w14:font="MS Gothic"/>
            <w14:uncheckedState w14:val="2610" w14:font="MS Gothic"/>
          </w14:checkbox>
        </w:sdtPr>
        <w:sdtEndPr/>
        <w:sdtContent>
          <w:r w:rsidR="00FB4EE6">
            <w:rPr>
              <w:rFonts w:ascii="MS Gothic" w:eastAsia="MS Gothic" w:hAnsi="MS Gothic" w:cs="Calibri" w:hint="eastAsia"/>
              <w:b/>
              <w:sz w:val="36"/>
              <w:szCs w:val="52"/>
              <w:lang w:eastAsia="en-GB"/>
            </w:rPr>
            <w:t>☐</w:t>
          </w:r>
        </w:sdtContent>
      </w:sdt>
      <w:r w:rsidRPr="006D77DC">
        <w:rPr>
          <w:rFonts w:eastAsia="Times New Roman" w:cs="Calibri"/>
          <w:b/>
          <w:sz w:val="16"/>
          <w:lang w:eastAsia="en-GB"/>
        </w:rPr>
        <w:tab/>
      </w:r>
    </w:p>
    <w:p w14:paraId="2FAA2FA7" w14:textId="77777777" w:rsidR="00F81EF5" w:rsidRDefault="00F81EF5" w:rsidP="00F81EF5">
      <w:pPr>
        <w:rPr>
          <w:rFonts w:eastAsia="Times New Roman" w:cs="Calibri"/>
          <w:lang w:eastAsia="en-GB"/>
        </w:rPr>
      </w:pPr>
    </w:p>
    <w:p w14:paraId="2EF2F010" w14:textId="77777777" w:rsidR="00F81EF5" w:rsidRPr="006D77DC" w:rsidRDefault="00F81EF5" w:rsidP="00F81EF5">
      <w:pPr>
        <w:rPr>
          <w:rFonts w:eastAsia="Times New Roman" w:cs="Calibri"/>
          <w:lang w:eastAsia="en-GB"/>
        </w:rPr>
      </w:pPr>
      <w:r w:rsidRPr="006D77DC">
        <w:rPr>
          <w:rFonts w:eastAsia="Times New Roman" w:cs="Calibri"/>
          <w:lang w:eastAsia="en-GB"/>
        </w:rPr>
        <w:t xml:space="preserve">Unless you mark your response confidential, we will publish it on our website, </w:t>
      </w:r>
      <w:hyperlink r:id="rId13" w:history="1">
        <w:r w:rsidRPr="006D77DC">
          <w:rPr>
            <w:rFonts w:eastAsia="Times New Roman" w:cs="Calibri"/>
            <w:color w:val="0000FF"/>
            <w:u w:val="single"/>
            <w:lang w:eastAsia="en-GB"/>
          </w:rPr>
          <w:t>www.ofgem.gov.uk</w:t>
        </w:r>
      </w:hyperlink>
      <w:r w:rsidRPr="006D77DC">
        <w:rPr>
          <w:rFonts w:eastAsia="Times New Roman" w:cs="Calibri"/>
          <w:lang w:eastAsia="en-GB"/>
        </w:rPr>
        <w:t xml:space="preserve">, and put it in our library. You can ask us to keep your response confidential, and we will respect this, subject to obligations to disclose information, for example, under the Freedom of Information Act 2000 or the Environmental Information Regulations 2004. If you want us to keep your response confidential, you should clearly mark your response to that effect and include reasons. </w:t>
      </w:r>
    </w:p>
    <w:p w14:paraId="38F059D9" w14:textId="77777777" w:rsidR="00F81EF5" w:rsidRPr="006D77DC" w:rsidRDefault="00F81EF5" w:rsidP="00F81EF5">
      <w:pPr>
        <w:rPr>
          <w:rFonts w:eastAsia="Times New Roman" w:cs="Calibri"/>
          <w:lang w:eastAsia="en-GB"/>
        </w:rPr>
      </w:pPr>
    </w:p>
    <w:p w14:paraId="77B3B0F8" w14:textId="77777777" w:rsidR="00F81EF5" w:rsidRPr="006D77DC" w:rsidRDefault="00F81EF5" w:rsidP="00F81EF5">
      <w:pPr>
        <w:rPr>
          <w:rFonts w:eastAsia="Times New Roman" w:cs="Calibri"/>
          <w:lang w:eastAsia="en-GB"/>
        </w:rPr>
      </w:pPr>
      <w:r w:rsidRPr="006D77DC">
        <w:rPr>
          <w:rFonts w:eastAsia="Times New Roman" w:cs="Calibri"/>
          <w:lang w:eastAsia="en-GB"/>
        </w:rPr>
        <w:t>If the information you give in your response contains personal data under General Data Protection Regulation (EU) 2016/679 and Data Protection Act 2018, the Gas and Electricity Markets Authority will be the data controller. Ofgem uses the information in responses in performing its statutory functions and in accordance with section 105 of the Utilities Act 2000. If you are including any confidential material in your response, please put it in the appendices.</w:t>
      </w:r>
    </w:p>
    <w:p w14:paraId="6A770E57" w14:textId="160A41C6" w:rsidR="00F81EF5" w:rsidRPr="00757B86" w:rsidRDefault="00F81EF5" w:rsidP="00757B86">
      <w:pPr>
        <w:rPr>
          <w:b/>
          <w:color w:val="ED7D31" w:themeColor="accent2"/>
          <w:sz w:val="28"/>
          <w:szCs w:val="28"/>
        </w:rPr>
      </w:pPr>
      <w:r>
        <w:rPr>
          <w:b/>
          <w:color w:val="ED7D31" w:themeColor="accent2"/>
          <w:sz w:val="28"/>
          <w:szCs w:val="28"/>
        </w:rPr>
        <w:br w:type="page"/>
      </w:r>
      <w:bookmarkStart w:id="0" w:name="_Toc62037744"/>
    </w:p>
    <w:bookmarkEnd w:id="0"/>
    <w:p w14:paraId="52F64FF1" w14:textId="0E2FBBAE" w:rsidR="004A6AEB" w:rsidRDefault="00757B86" w:rsidP="001F214F">
      <w:pPr>
        <w:pStyle w:val="Appendixtext-Numbered"/>
      </w:pPr>
      <w:r>
        <w:rPr>
          <w:b/>
          <w:bCs/>
        </w:rPr>
        <w:lastRenderedPageBreak/>
        <w:t xml:space="preserve">Question </w:t>
      </w:r>
      <w:r w:rsidR="001F214F" w:rsidRPr="00757B86">
        <w:rPr>
          <w:b/>
          <w:bCs/>
        </w:rPr>
        <w:t>1</w:t>
      </w:r>
      <w:r w:rsidR="00C849FC">
        <w:rPr>
          <w:b/>
          <w:bCs/>
        </w:rPr>
        <w:t>:</w:t>
      </w:r>
      <w:r w:rsidR="001F214F">
        <w:t xml:space="preserve"> </w:t>
      </w:r>
      <w:r>
        <w:rPr>
          <w:b/>
          <w:bCs/>
        </w:rPr>
        <w:t>Do you agree with the proposed criteria for making our decision?</w:t>
      </w:r>
    </w:p>
    <w:tbl>
      <w:tblPr>
        <w:tblpPr w:leftFromText="180" w:rightFromText="180" w:vertAnchor="text" w:tblpXSpec="center"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6"/>
      </w:tblGrid>
      <w:tr w:rsidR="00F81EF5" w14:paraId="27F02358" w14:textId="77777777" w:rsidTr="004A6AEB">
        <w:trPr>
          <w:trHeight w:val="10399"/>
        </w:trPr>
        <w:tc>
          <w:tcPr>
            <w:tcW w:w="5000" w:type="pct"/>
          </w:tcPr>
          <w:p w14:paraId="07C92C01" w14:textId="77777777" w:rsidR="00323741" w:rsidRDefault="00323741" w:rsidP="00323741">
            <w:pPr>
              <w:pStyle w:val="Default"/>
              <w:rPr>
                <w:rFonts w:cstheme="minorBidi"/>
                <w:color w:val="auto"/>
              </w:rPr>
            </w:pPr>
          </w:p>
          <w:p w14:paraId="413AA770" w14:textId="42BCBEC3" w:rsidR="00F81EF5" w:rsidRDefault="008F659D" w:rsidP="00F719B0">
            <w:pPr>
              <w:pStyle w:val="Default"/>
            </w:pPr>
            <w:r>
              <w:rPr>
                <w:sz w:val="20"/>
                <w:szCs w:val="20"/>
              </w:rPr>
              <w:t xml:space="preserve">We support the proposed </w:t>
            </w:r>
            <w:r w:rsidR="00323741">
              <w:rPr>
                <w:sz w:val="20"/>
                <w:szCs w:val="20"/>
              </w:rPr>
              <w:t>assessment criteria</w:t>
            </w:r>
            <w:r w:rsidR="00F719B0">
              <w:rPr>
                <w:sz w:val="20"/>
                <w:szCs w:val="20"/>
              </w:rPr>
              <w:t xml:space="preserve">. They are reflective of the importance of the role and the requirements to develop and deliver a timely, cost effective solution.  </w:t>
            </w:r>
          </w:p>
          <w:p w14:paraId="02364F41" w14:textId="77777777" w:rsidR="00F81EF5" w:rsidRDefault="00F81EF5" w:rsidP="0000553B">
            <w:pPr>
              <w:rPr>
                <w:sz w:val="24"/>
              </w:rPr>
            </w:pPr>
          </w:p>
          <w:p w14:paraId="788B22BD" w14:textId="77777777" w:rsidR="00F81EF5" w:rsidRDefault="00F81EF5" w:rsidP="0000553B">
            <w:pPr>
              <w:rPr>
                <w:sz w:val="24"/>
              </w:rPr>
            </w:pPr>
          </w:p>
          <w:p w14:paraId="0CC09A5C" w14:textId="77777777" w:rsidR="00F81EF5" w:rsidRDefault="00F81EF5" w:rsidP="0000553B">
            <w:pPr>
              <w:rPr>
                <w:sz w:val="24"/>
              </w:rPr>
            </w:pPr>
          </w:p>
          <w:p w14:paraId="53EE82FA" w14:textId="77777777" w:rsidR="00F81EF5" w:rsidRDefault="00F81EF5" w:rsidP="0000553B">
            <w:pPr>
              <w:rPr>
                <w:sz w:val="24"/>
              </w:rPr>
            </w:pPr>
          </w:p>
          <w:p w14:paraId="00239C92" w14:textId="77777777" w:rsidR="00F81EF5" w:rsidRDefault="00F81EF5" w:rsidP="0000553B">
            <w:pPr>
              <w:rPr>
                <w:sz w:val="24"/>
              </w:rPr>
            </w:pPr>
          </w:p>
          <w:p w14:paraId="713A4828" w14:textId="77777777" w:rsidR="00F81EF5" w:rsidRDefault="00F81EF5" w:rsidP="0000553B">
            <w:pPr>
              <w:rPr>
                <w:sz w:val="24"/>
              </w:rPr>
            </w:pPr>
          </w:p>
          <w:p w14:paraId="63EF0C6F" w14:textId="77777777" w:rsidR="00F81EF5" w:rsidRDefault="00F81EF5" w:rsidP="0000553B">
            <w:pPr>
              <w:rPr>
                <w:sz w:val="24"/>
              </w:rPr>
            </w:pPr>
          </w:p>
          <w:p w14:paraId="64BCE7BF" w14:textId="77777777" w:rsidR="00F81EF5" w:rsidRDefault="00F81EF5" w:rsidP="0000553B">
            <w:pPr>
              <w:rPr>
                <w:sz w:val="24"/>
              </w:rPr>
            </w:pPr>
          </w:p>
          <w:p w14:paraId="3E137A08" w14:textId="77777777" w:rsidR="00F81EF5" w:rsidRDefault="00F81EF5" w:rsidP="0000553B">
            <w:pPr>
              <w:rPr>
                <w:sz w:val="24"/>
              </w:rPr>
            </w:pPr>
          </w:p>
          <w:p w14:paraId="0C3D511D" w14:textId="77777777" w:rsidR="00F81EF5" w:rsidRDefault="00F81EF5" w:rsidP="0000553B">
            <w:pPr>
              <w:rPr>
                <w:sz w:val="24"/>
              </w:rPr>
            </w:pPr>
          </w:p>
          <w:p w14:paraId="275D6E99" w14:textId="77777777" w:rsidR="00F81EF5" w:rsidRDefault="00F81EF5" w:rsidP="0000553B">
            <w:pPr>
              <w:rPr>
                <w:sz w:val="24"/>
              </w:rPr>
            </w:pPr>
          </w:p>
          <w:p w14:paraId="4668ABBD" w14:textId="77777777" w:rsidR="00F81EF5" w:rsidRDefault="00F81EF5" w:rsidP="0000553B">
            <w:pPr>
              <w:rPr>
                <w:sz w:val="24"/>
              </w:rPr>
            </w:pPr>
          </w:p>
          <w:p w14:paraId="3891486E" w14:textId="77777777" w:rsidR="00F81EF5" w:rsidRDefault="00F81EF5" w:rsidP="0000553B">
            <w:pPr>
              <w:rPr>
                <w:sz w:val="24"/>
              </w:rPr>
            </w:pPr>
          </w:p>
          <w:p w14:paraId="3894647A" w14:textId="77777777" w:rsidR="00F81EF5" w:rsidRDefault="00F81EF5" w:rsidP="0000553B">
            <w:pPr>
              <w:rPr>
                <w:sz w:val="24"/>
              </w:rPr>
            </w:pPr>
          </w:p>
          <w:p w14:paraId="2FDF5EDC" w14:textId="77777777" w:rsidR="00F81EF5" w:rsidRDefault="00F81EF5" w:rsidP="0000553B">
            <w:pPr>
              <w:rPr>
                <w:sz w:val="24"/>
              </w:rPr>
            </w:pPr>
          </w:p>
          <w:p w14:paraId="2746DCCA" w14:textId="77777777" w:rsidR="00F81EF5" w:rsidRDefault="00F81EF5" w:rsidP="0000553B">
            <w:pPr>
              <w:rPr>
                <w:sz w:val="24"/>
              </w:rPr>
            </w:pPr>
          </w:p>
          <w:p w14:paraId="6490F411" w14:textId="0E9938AD" w:rsidR="00FB4EE6" w:rsidRDefault="00FB4EE6" w:rsidP="0000553B">
            <w:pPr>
              <w:rPr>
                <w:sz w:val="24"/>
              </w:rPr>
            </w:pPr>
          </w:p>
        </w:tc>
      </w:tr>
    </w:tbl>
    <w:p w14:paraId="2EA291DD" w14:textId="77777777" w:rsidR="00757B86" w:rsidRDefault="00757B86" w:rsidP="001F214F">
      <w:pPr>
        <w:pStyle w:val="Appendixtext-Numbered"/>
      </w:pPr>
    </w:p>
    <w:p w14:paraId="1AEA407A" w14:textId="77777777" w:rsidR="00757B86" w:rsidRDefault="00757B86" w:rsidP="001F214F">
      <w:pPr>
        <w:pStyle w:val="Appendixtext-Numbered"/>
      </w:pPr>
    </w:p>
    <w:p w14:paraId="215869E3" w14:textId="68B308B3" w:rsidR="004A6AEB" w:rsidRDefault="00757B86" w:rsidP="001F214F">
      <w:pPr>
        <w:pStyle w:val="Appendixtext-Numbered"/>
      </w:pPr>
      <w:r w:rsidRPr="00757B86">
        <w:rPr>
          <w:b/>
          <w:bCs/>
        </w:rPr>
        <w:lastRenderedPageBreak/>
        <w:t xml:space="preserve">Question </w:t>
      </w:r>
      <w:r w:rsidR="001F214F" w:rsidRPr="00757B86">
        <w:rPr>
          <w:b/>
          <w:bCs/>
        </w:rPr>
        <w:t>2</w:t>
      </w:r>
      <w:r>
        <w:rPr>
          <w:b/>
          <w:bCs/>
        </w:rPr>
        <w:t>:</w:t>
      </w:r>
      <w:r w:rsidR="001F214F">
        <w:t xml:space="preserve"> </w:t>
      </w:r>
      <w:r>
        <w:rPr>
          <w:b/>
          <w:bCs/>
        </w:rPr>
        <w:t>Do you have any views about the relative importance of the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6"/>
      </w:tblGrid>
      <w:tr w:rsidR="00F81EF5" w14:paraId="323072AF" w14:textId="77777777" w:rsidTr="004A6AEB">
        <w:trPr>
          <w:trHeight w:val="10405"/>
          <w:jc w:val="center"/>
        </w:trPr>
        <w:tc>
          <w:tcPr>
            <w:tcW w:w="5000" w:type="pct"/>
          </w:tcPr>
          <w:p w14:paraId="71BE7236" w14:textId="6CFC836C" w:rsidR="00F81EF5" w:rsidRDefault="007E4A1C" w:rsidP="005C284A">
            <w:pPr>
              <w:pStyle w:val="Default"/>
            </w:pPr>
            <w:bookmarkStart w:id="1" w:name="_Hlk69848704"/>
            <w:r w:rsidRPr="005C284A">
              <w:rPr>
                <w:sz w:val="20"/>
                <w:szCs w:val="20"/>
              </w:rPr>
              <w:t xml:space="preserve">We would suggest that </w:t>
            </w:r>
            <w:r w:rsidR="002E3502" w:rsidRPr="005C284A">
              <w:rPr>
                <w:sz w:val="20"/>
                <w:szCs w:val="20"/>
              </w:rPr>
              <w:t xml:space="preserve">Criteria 3 and 7 are the most important. </w:t>
            </w:r>
            <w:r w:rsidRPr="005C284A">
              <w:rPr>
                <w:sz w:val="20"/>
                <w:szCs w:val="20"/>
              </w:rPr>
              <w:t xml:space="preserve">The EDA must be delivered in line with the MHHS timeline and in an efficient manner. Criteria 3 should allow Ofgem to determine if the </w:t>
            </w:r>
            <w:r w:rsidR="002E3502" w:rsidRPr="005C284A">
              <w:rPr>
                <w:sz w:val="20"/>
                <w:szCs w:val="20"/>
              </w:rPr>
              <w:t xml:space="preserve">proposed party has a history of delivering similar scale projects to time and specification. </w:t>
            </w:r>
            <w:r w:rsidR="00006A47" w:rsidRPr="005C284A">
              <w:rPr>
                <w:sz w:val="20"/>
                <w:szCs w:val="20"/>
              </w:rPr>
              <w:t xml:space="preserve">We need to be mindful of the impact of the cost impact for customers of any change programme, especially at a time when energy prices are beingsignificantly increased to address current market issues. </w:t>
            </w:r>
            <w:r w:rsidR="002E3502" w:rsidRPr="005C284A">
              <w:rPr>
                <w:sz w:val="20"/>
                <w:szCs w:val="20"/>
              </w:rPr>
              <w:t>Criteria 7 should allow Ofgem to test the ability of the proposed party to deliver in a whole life cost efficient manner.</w:t>
            </w:r>
            <w:r>
              <w:t xml:space="preserve"> </w:t>
            </w:r>
          </w:p>
        </w:tc>
      </w:tr>
      <w:bookmarkEnd w:id="1"/>
    </w:tbl>
    <w:p w14:paraId="5A046F38" w14:textId="77777777" w:rsidR="00757B86" w:rsidRDefault="00757B86" w:rsidP="001F214F">
      <w:pPr>
        <w:pStyle w:val="Appendixtext-Numbered"/>
      </w:pPr>
    </w:p>
    <w:p w14:paraId="60F9E0E1" w14:textId="77777777" w:rsidR="00757B86" w:rsidRDefault="00757B86" w:rsidP="001F214F">
      <w:pPr>
        <w:pStyle w:val="Appendixtext-Numbered"/>
      </w:pPr>
    </w:p>
    <w:p w14:paraId="35809D65" w14:textId="7E919A92" w:rsidR="004A6AEB" w:rsidRPr="00757B86" w:rsidRDefault="00757B86" w:rsidP="001F214F">
      <w:pPr>
        <w:pStyle w:val="Appendixtext-Numbered"/>
        <w:rPr>
          <w:b/>
          <w:bCs/>
        </w:rPr>
      </w:pPr>
      <w:r w:rsidRPr="00757B86">
        <w:rPr>
          <w:b/>
          <w:bCs/>
        </w:rPr>
        <w:lastRenderedPageBreak/>
        <w:t xml:space="preserve">Question </w:t>
      </w:r>
      <w:r w:rsidR="001F214F" w:rsidRPr="00757B86">
        <w:rPr>
          <w:b/>
          <w:bCs/>
        </w:rPr>
        <w:t>3</w:t>
      </w:r>
      <w:r>
        <w:rPr>
          <w:b/>
          <w:bCs/>
        </w:rPr>
        <w:t>:</w:t>
      </w:r>
      <w:r w:rsidR="001F214F" w:rsidRPr="00757B86">
        <w:rPr>
          <w:b/>
          <w:bCs/>
        </w:rPr>
        <w:t xml:space="preserve"> </w:t>
      </w:r>
      <w:r>
        <w:rPr>
          <w:b/>
          <w:bCs/>
        </w:rPr>
        <w:t>Are there any other criteria we should consider in making our decision?</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4A6AEB" w14:paraId="0C9DDCDE" w14:textId="77777777" w:rsidTr="004A6AEB">
        <w:trPr>
          <w:trHeight w:val="11155"/>
        </w:trPr>
        <w:tc>
          <w:tcPr>
            <w:tcW w:w="5000" w:type="pct"/>
          </w:tcPr>
          <w:p w14:paraId="18ABA9CD" w14:textId="7AFB7244" w:rsidR="004A6AEB" w:rsidRDefault="00F719B0" w:rsidP="0089642A">
            <w:pPr>
              <w:pStyle w:val="Default"/>
            </w:pPr>
            <w:bookmarkStart w:id="2" w:name="_Hlk69899508"/>
            <w:r w:rsidRPr="0089642A">
              <w:rPr>
                <w:sz w:val="20"/>
                <w:szCs w:val="20"/>
              </w:rPr>
              <w:t>No</w:t>
            </w:r>
          </w:p>
        </w:tc>
      </w:tr>
      <w:bookmarkEnd w:id="2"/>
    </w:tbl>
    <w:p w14:paraId="5C8E3D74" w14:textId="77777777" w:rsidR="00C849FC" w:rsidRDefault="00C849FC" w:rsidP="00C849FC">
      <w:pPr>
        <w:pStyle w:val="Paragraph"/>
        <w:spacing w:before="0" w:after="0"/>
        <w:rPr>
          <w:b/>
          <w:bCs/>
        </w:rPr>
      </w:pPr>
    </w:p>
    <w:p w14:paraId="392C75CD" w14:textId="6F4F9EDB" w:rsidR="00C849FC" w:rsidRPr="00757B86" w:rsidRDefault="00C849FC" w:rsidP="00C849FC">
      <w:pPr>
        <w:pStyle w:val="Paragraph"/>
        <w:spacing w:before="0" w:after="0"/>
        <w:rPr>
          <w:b/>
          <w:bCs/>
        </w:rPr>
      </w:pPr>
      <w:r w:rsidRPr="00757B86">
        <w:rPr>
          <w:b/>
          <w:bCs/>
        </w:rPr>
        <w:lastRenderedPageBreak/>
        <w:t xml:space="preserve">Question </w:t>
      </w:r>
      <w:r>
        <w:rPr>
          <w:b/>
          <w:bCs/>
        </w:rPr>
        <w:t>4:</w:t>
      </w:r>
      <w:r w:rsidRPr="00757B86">
        <w:rPr>
          <w:b/>
          <w:bCs/>
        </w:rPr>
        <w:t xml:space="preserve"> </w:t>
      </w:r>
      <w:r>
        <w:rPr>
          <w:b/>
          <w:bCs/>
        </w:rPr>
        <w:t>Should the EDA governing body have objectives</w:t>
      </w:r>
      <w:r w:rsidRPr="00311723">
        <w:t xml:space="preserve"> </w:t>
      </w:r>
      <w:r w:rsidRPr="00311723">
        <w:rPr>
          <w:b/>
          <w:bCs/>
        </w:rPr>
        <w:t xml:space="preserve">to provide accurate and timely support </w:t>
      </w:r>
      <w:r>
        <w:rPr>
          <w:b/>
          <w:bCs/>
        </w:rPr>
        <w:t>for</w:t>
      </w:r>
      <w:r w:rsidRPr="00311723">
        <w:rPr>
          <w:b/>
          <w:bCs/>
        </w:rPr>
        <w:t xml:space="preserve"> the settlement process and to further </w:t>
      </w:r>
      <w:r>
        <w:rPr>
          <w:b/>
          <w:bCs/>
        </w:rPr>
        <w:t>consumers’</w:t>
      </w:r>
      <w:r w:rsidRPr="00311723">
        <w:rPr>
          <w:b/>
          <w:bCs/>
        </w:rPr>
        <w:t xml:space="preserve"> interests through the appropriately controlled use of data? If not, please provide reasons and set out alternative objectives, also with reasons.</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C849FC" w14:paraId="3191325B" w14:textId="77777777" w:rsidTr="003C153C">
        <w:trPr>
          <w:trHeight w:val="11155"/>
        </w:trPr>
        <w:tc>
          <w:tcPr>
            <w:tcW w:w="5000" w:type="pct"/>
          </w:tcPr>
          <w:p w14:paraId="43766F1B" w14:textId="1A1A437A" w:rsidR="00C849FC" w:rsidRDefault="00006A47" w:rsidP="0089642A">
            <w:pPr>
              <w:pStyle w:val="Default"/>
            </w:pPr>
            <w:r w:rsidRPr="0089642A">
              <w:rPr>
                <w:sz w:val="20"/>
                <w:szCs w:val="20"/>
              </w:rPr>
              <w:t>We support the proposed principles. We would suggest that the governing body should also ensure that the service is operated in a manner which does not distort competition as this is a fundamental function of any energy data service.</w:t>
            </w:r>
            <w:r>
              <w:t xml:space="preserve"> </w:t>
            </w:r>
          </w:p>
        </w:tc>
      </w:tr>
    </w:tbl>
    <w:p w14:paraId="05CB8A26" w14:textId="024EF99F" w:rsidR="00C849FC" w:rsidRPr="00757B86" w:rsidRDefault="00C849FC" w:rsidP="00C849FC">
      <w:pPr>
        <w:pStyle w:val="Paragraph"/>
        <w:spacing w:before="0" w:after="0"/>
        <w:rPr>
          <w:b/>
          <w:bCs/>
        </w:rPr>
      </w:pPr>
      <w:r w:rsidRPr="00757B86">
        <w:rPr>
          <w:b/>
          <w:bCs/>
        </w:rPr>
        <w:lastRenderedPageBreak/>
        <w:t xml:space="preserve">Question </w:t>
      </w:r>
      <w:r>
        <w:rPr>
          <w:b/>
          <w:bCs/>
        </w:rPr>
        <w:t>5:</w:t>
      </w:r>
      <w:r w:rsidRPr="00757B86">
        <w:rPr>
          <w:b/>
          <w:bCs/>
        </w:rPr>
        <w:t xml:space="preserve"> </w:t>
      </w:r>
      <w:r w:rsidRPr="00AE514A">
        <w:rPr>
          <w:b/>
          <w:bCs/>
        </w:rPr>
        <w:t xml:space="preserve">Do you agree that electricity suppliers, supplier agents, DNOs, generators, </w:t>
      </w:r>
      <w:r>
        <w:rPr>
          <w:b/>
          <w:bCs/>
        </w:rPr>
        <w:t xml:space="preserve">National Grid (NG) ESO, </w:t>
      </w:r>
      <w:r w:rsidRPr="00AE514A">
        <w:rPr>
          <w:b/>
          <w:bCs/>
        </w:rPr>
        <w:t xml:space="preserve">consumers and energy service innovators should be represented in the governance of the EDA? If not, please </w:t>
      </w:r>
      <w:r>
        <w:rPr>
          <w:b/>
          <w:bCs/>
        </w:rPr>
        <w:t>give</w:t>
      </w:r>
      <w:r w:rsidRPr="00AE514A">
        <w:rPr>
          <w:b/>
          <w:bCs/>
        </w:rPr>
        <w:t xml:space="preserve"> reasons. </w:t>
      </w:r>
      <w:r>
        <w:rPr>
          <w:b/>
          <w:bCs/>
        </w:rPr>
        <w:t>Should</w:t>
      </w:r>
      <w:r w:rsidRPr="00AE514A">
        <w:rPr>
          <w:b/>
          <w:bCs/>
        </w:rPr>
        <w:t xml:space="preserve"> any other categories of party be represented in the EDA governance?</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C849FC" w14:paraId="71E338EE" w14:textId="77777777" w:rsidTr="003C153C">
        <w:trPr>
          <w:trHeight w:val="11155"/>
        </w:trPr>
        <w:tc>
          <w:tcPr>
            <w:tcW w:w="5000" w:type="pct"/>
          </w:tcPr>
          <w:p w14:paraId="6C7F7CCA" w14:textId="1A2C3687" w:rsidR="00C849FC" w:rsidRDefault="002C59A5" w:rsidP="0089642A">
            <w:pPr>
              <w:pStyle w:val="Default"/>
            </w:pPr>
            <w:r w:rsidRPr="0089642A">
              <w:rPr>
                <w:sz w:val="20"/>
                <w:szCs w:val="20"/>
              </w:rPr>
              <w:t>We agree that  suppliers, supplier agents, DNOs, generators and National Grid ESO have an operational interest in the objective of providing accurate and timely support for the settlement process</w:t>
            </w:r>
            <w:r w:rsidR="00006A47" w:rsidRPr="0089642A">
              <w:rPr>
                <w:sz w:val="20"/>
                <w:szCs w:val="20"/>
              </w:rPr>
              <w:t>. It would therefore be sensible to ensure that the views of these parties are captured in the EDA governance.</w:t>
            </w:r>
          </w:p>
        </w:tc>
      </w:tr>
    </w:tbl>
    <w:p w14:paraId="3D1DF4D0" w14:textId="5AAEE450" w:rsidR="00C849FC" w:rsidRPr="00757B86" w:rsidRDefault="00C849FC" w:rsidP="00C849FC">
      <w:pPr>
        <w:pStyle w:val="Paragraph"/>
        <w:spacing w:before="0" w:after="0"/>
        <w:ind w:right="-115"/>
        <w:rPr>
          <w:b/>
          <w:bCs/>
        </w:rPr>
      </w:pPr>
      <w:r w:rsidRPr="00757B86">
        <w:rPr>
          <w:b/>
          <w:bCs/>
        </w:rPr>
        <w:lastRenderedPageBreak/>
        <w:t xml:space="preserve">Question </w:t>
      </w:r>
      <w:r>
        <w:rPr>
          <w:b/>
          <w:bCs/>
        </w:rPr>
        <w:t xml:space="preserve">6: </w:t>
      </w:r>
      <w:r w:rsidRPr="00AE514A">
        <w:rPr>
          <w:b/>
          <w:bCs/>
        </w:rPr>
        <w:t>Do you agree that electricity suppliers, supplier agents, DNOs</w:t>
      </w:r>
      <w:r>
        <w:rPr>
          <w:b/>
          <w:bCs/>
        </w:rPr>
        <w:t>,</w:t>
      </w:r>
      <w:r w:rsidRPr="00B12F73">
        <w:rPr>
          <w:b/>
          <w:bCs/>
        </w:rPr>
        <w:t xml:space="preserve"> generators</w:t>
      </w:r>
      <w:r>
        <w:rPr>
          <w:b/>
          <w:bCs/>
        </w:rPr>
        <w:t xml:space="preserve"> and NG ESO</w:t>
      </w:r>
      <w:r w:rsidRPr="00B12F73">
        <w:rPr>
          <w:b/>
          <w:bCs/>
        </w:rPr>
        <w:t xml:space="preserve"> should all take a share in funding the EDA</w:t>
      </w:r>
      <w:r>
        <w:rPr>
          <w:b/>
          <w:bCs/>
        </w:rPr>
        <w:t>?</w:t>
      </w:r>
      <w:r w:rsidRPr="00B12F73">
        <w:rPr>
          <w:b/>
          <w:bCs/>
        </w:rPr>
        <w:t xml:space="preserve"> If not, please provide reasons. </w:t>
      </w:r>
      <w:r w:rsidRPr="009C7A0A">
        <w:rPr>
          <w:b/>
          <w:bCs/>
        </w:rPr>
        <w:t>Should any other categories of party take a share in funding the EDA?</w:t>
      </w:r>
      <w:r>
        <w:t xml:space="preserve"> </w:t>
      </w:r>
      <w:r w:rsidRPr="00B12F73">
        <w:rPr>
          <w:b/>
          <w:bCs/>
        </w:rPr>
        <w:t>We would be interested in any proposals as to the proportions by which the funding requirement should be shared between these parties</w:t>
      </w:r>
      <w:r>
        <w:rPr>
          <w:b/>
          <w:bCs/>
        </w:rPr>
        <w:t>.</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278C5116" w14:textId="77777777" w:rsidTr="00C849FC">
        <w:trPr>
          <w:trHeight w:val="10879"/>
        </w:trPr>
        <w:tc>
          <w:tcPr>
            <w:tcW w:w="5000" w:type="pct"/>
          </w:tcPr>
          <w:p w14:paraId="4145A308" w14:textId="08DA8839" w:rsidR="00C849FC" w:rsidRDefault="00E223E6" w:rsidP="0089642A">
            <w:pPr>
              <w:pStyle w:val="Default"/>
            </w:pPr>
            <w:r w:rsidRPr="0089642A">
              <w:rPr>
                <w:sz w:val="20"/>
                <w:szCs w:val="20"/>
              </w:rPr>
              <w:t xml:space="preserve">We agree that the funding of the EDA should be split by all parties which will use and benefit from the service. </w:t>
            </w:r>
            <w:r w:rsidR="00EF57CF">
              <w:rPr>
                <w:sz w:val="20"/>
                <w:szCs w:val="20"/>
              </w:rPr>
              <w:t xml:space="preserve">Ofgem has previously identified that DNOs will receive little benefit </w:t>
            </w:r>
            <w:r w:rsidR="006A7D95">
              <w:rPr>
                <w:sz w:val="20"/>
                <w:szCs w:val="20"/>
              </w:rPr>
              <w:t xml:space="preserve">from the move to MHHS. We </w:t>
            </w:r>
            <w:r w:rsidRPr="0089642A">
              <w:rPr>
                <w:sz w:val="20"/>
                <w:szCs w:val="20"/>
              </w:rPr>
              <w:t xml:space="preserve">would suggest that </w:t>
            </w:r>
            <w:r w:rsidR="006A7D95">
              <w:rPr>
                <w:sz w:val="20"/>
                <w:szCs w:val="20"/>
              </w:rPr>
              <w:t xml:space="preserve">the parties who will benefit from the change should bear the costs of the EDA. We would suggest that </w:t>
            </w:r>
            <w:r w:rsidR="00E372BE" w:rsidRPr="0089642A">
              <w:rPr>
                <w:sz w:val="20"/>
                <w:szCs w:val="20"/>
              </w:rPr>
              <w:t>the suppliers would contribute a significant proportion of the total cost, in line with the agreed funding approach established under the Retail Energy Code.</w:t>
            </w:r>
            <w:r>
              <w:t xml:space="preserve"> </w:t>
            </w:r>
          </w:p>
        </w:tc>
      </w:tr>
    </w:tbl>
    <w:p w14:paraId="3AD98187" w14:textId="4267B31A" w:rsidR="00C849FC" w:rsidRPr="00757B86" w:rsidRDefault="00C849FC" w:rsidP="00C849FC">
      <w:pPr>
        <w:pStyle w:val="Paragraph"/>
        <w:spacing w:before="0" w:after="0"/>
        <w:rPr>
          <w:b/>
          <w:bCs/>
        </w:rPr>
      </w:pPr>
      <w:r w:rsidRPr="00757B86">
        <w:rPr>
          <w:b/>
          <w:bCs/>
        </w:rPr>
        <w:lastRenderedPageBreak/>
        <w:t xml:space="preserve">Question </w:t>
      </w:r>
      <w:r>
        <w:rPr>
          <w:b/>
          <w:bCs/>
        </w:rPr>
        <w:t xml:space="preserve">7: With reference to each of the criteria and objectives, </w:t>
      </w:r>
      <w:r w:rsidRPr="003F6CF1">
        <w:rPr>
          <w:b/>
          <w:bCs/>
        </w:rPr>
        <w:t>including any additional ones you propose</w:t>
      </w:r>
      <w:r>
        <w:rPr>
          <w:b/>
          <w:bCs/>
        </w:rPr>
        <w:t xml:space="preserve">, to what extent do you agree that the </w:t>
      </w:r>
      <w:r w:rsidR="001D4695">
        <w:rPr>
          <w:b/>
          <w:bCs/>
        </w:rPr>
        <w:t>governance, operation,</w:t>
      </w:r>
      <w:r>
        <w:rPr>
          <w:b/>
          <w:bCs/>
        </w:rPr>
        <w:t xml:space="preserve"> and funding of the EDA should be managed through BSC and delivered by Elexon? </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6695E3A0" w14:textId="77777777" w:rsidTr="003C153C">
        <w:trPr>
          <w:trHeight w:val="10879"/>
        </w:trPr>
        <w:tc>
          <w:tcPr>
            <w:tcW w:w="5000" w:type="pct"/>
          </w:tcPr>
          <w:p w14:paraId="454AEDE9" w14:textId="5A7FE795" w:rsidR="00C849FC" w:rsidRDefault="0089642A" w:rsidP="0089642A">
            <w:pPr>
              <w:pStyle w:val="Default"/>
            </w:pPr>
            <w:r w:rsidRPr="0089642A">
              <w:rPr>
                <w:sz w:val="20"/>
                <w:szCs w:val="20"/>
              </w:rPr>
              <w:t>We have no preference for who manages the EDA service.</w:t>
            </w:r>
          </w:p>
        </w:tc>
      </w:tr>
    </w:tbl>
    <w:p w14:paraId="2955548C" w14:textId="45069773" w:rsidR="00C849FC" w:rsidRPr="00757B86" w:rsidRDefault="00C849FC" w:rsidP="00C849FC">
      <w:pPr>
        <w:pStyle w:val="Paragraph"/>
        <w:spacing w:before="0" w:after="0"/>
        <w:rPr>
          <w:b/>
          <w:bCs/>
        </w:rPr>
      </w:pPr>
      <w:r w:rsidRPr="00757B86">
        <w:rPr>
          <w:b/>
          <w:bCs/>
        </w:rPr>
        <w:lastRenderedPageBreak/>
        <w:t xml:space="preserve">Question </w:t>
      </w:r>
      <w:r>
        <w:rPr>
          <w:b/>
          <w:bCs/>
        </w:rPr>
        <w:t xml:space="preserve">8: With reference to each of the criteria and objectives, </w:t>
      </w:r>
      <w:r w:rsidRPr="00AE514A">
        <w:rPr>
          <w:b/>
          <w:bCs/>
        </w:rPr>
        <w:t xml:space="preserve">including any additional ones you propose, </w:t>
      </w:r>
      <w:r>
        <w:rPr>
          <w:b/>
          <w:bCs/>
        </w:rPr>
        <w:t>to what extent do you agree that the</w:t>
      </w:r>
      <w:r w:rsidRPr="00AE514A">
        <w:rPr>
          <w:b/>
          <w:bCs/>
        </w:rPr>
        <w:t xml:space="preserve"> govern</w:t>
      </w:r>
      <w:r>
        <w:rPr>
          <w:b/>
          <w:bCs/>
        </w:rPr>
        <w:t>ance</w:t>
      </w:r>
      <w:r w:rsidRPr="00AE514A">
        <w:rPr>
          <w:b/>
          <w:bCs/>
        </w:rPr>
        <w:t>, operati</w:t>
      </w:r>
      <w:r>
        <w:rPr>
          <w:b/>
          <w:bCs/>
        </w:rPr>
        <w:t>o</w:t>
      </w:r>
      <w:r w:rsidRPr="00AE514A">
        <w:rPr>
          <w:b/>
          <w:bCs/>
        </w:rPr>
        <w:t>n</w:t>
      </w:r>
      <w:r>
        <w:rPr>
          <w:b/>
          <w:bCs/>
        </w:rPr>
        <w:t xml:space="preserve"> and funding the EDA should be managed through the REC and delivered by RECCo</w:t>
      </w:r>
      <w:r w:rsidRPr="00AE514A">
        <w:rPr>
          <w:b/>
          <w:bCs/>
        </w:rPr>
        <w:t>?</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1AB31F4A" w14:textId="77777777" w:rsidTr="003C153C">
        <w:trPr>
          <w:trHeight w:val="10879"/>
        </w:trPr>
        <w:tc>
          <w:tcPr>
            <w:tcW w:w="5000" w:type="pct"/>
          </w:tcPr>
          <w:p w14:paraId="49995733" w14:textId="5D7D04DE" w:rsidR="00C849FC" w:rsidRDefault="0089642A" w:rsidP="0089642A">
            <w:pPr>
              <w:pStyle w:val="Default"/>
            </w:pPr>
            <w:r w:rsidRPr="0089642A">
              <w:rPr>
                <w:sz w:val="20"/>
                <w:szCs w:val="20"/>
              </w:rPr>
              <w:t>We have no preference for who manages the EDA service.</w:t>
            </w:r>
          </w:p>
        </w:tc>
      </w:tr>
    </w:tbl>
    <w:p w14:paraId="7C2A2FC0" w14:textId="77777777" w:rsidR="00C849FC" w:rsidRDefault="00C849FC" w:rsidP="00C849FC">
      <w:pPr>
        <w:pStyle w:val="Paragraph"/>
        <w:spacing w:before="0" w:after="0"/>
        <w:rPr>
          <w:b/>
          <w:bCs/>
        </w:rPr>
      </w:pPr>
    </w:p>
    <w:p w14:paraId="11DBEEBA" w14:textId="71E7F58E" w:rsidR="00C849FC" w:rsidRPr="00757B86" w:rsidRDefault="00C849FC" w:rsidP="00C849FC">
      <w:pPr>
        <w:pStyle w:val="Paragraph"/>
        <w:spacing w:before="0" w:after="0"/>
        <w:rPr>
          <w:b/>
          <w:bCs/>
        </w:rPr>
      </w:pPr>
      <w:r w:rsidRPr="00757B86">
        <w:rPr>
          <w:b/>
          <w:bCs/>
        </w:rPr>
        <w:lastRenderedPageBreak/>
        <w:t xml:space="preserve">Question </w:t>
      </w:r>
      <w:r>
        <w:rPr>
          <w:b/>
          <w:bCs/>
        </w:rPr>
        <w:t xml:space="preserve">9: </w:t>
      </w:r>
      <w:r w:rsidRPr="00AE514A">
        <w:rPr>
          <w:b/>
          <w:bCs/>
        </w:rPr>
        <w:t xml:space="preserve">Is there any other </w:t>
      </w:r>
      <w:r>
        <w:rPr>
          <w:b/>
          <w:bCs/>
        </w:rPr>
        <w:t>governance mechanism and</w:t>
      </w:r>
      <w:r w:rsidRPr="00AE514A">
        <w:rPr>
          <w:b/>
          <w:bCs/>
        </w:rPr>
        <w:t xml:space="preserve"> party that you consider would be better placed than </w:t>
      </w:r>
      <w:r>
        <w:rPr>
          <w:b/>
          <w:bCs/>
        </w:rPr>
        <w:t>BSC/</w:t>
      </w:r>
      <w:r w:rsidRPr="00AE514A">
        <w:rPr>
          <w:b/>
          <w:bCs/>
        </w:rPr>
        <w:t xml:space="preserve">Elexon or </w:t>
      </w:r>
      <w:r>
        <w:rPr>
          <w:b/>
          <w:bCs/>
        </w:rPr>
        <w:t>REC/</w:t>
      </w:r>
      <w:r w:rsidRPr="00AE514A">
        <w:rPr>
          <w:b/>
          <w:bCs/>
        </w:rPr>
        <w:t>RECCo to govern, operate and fund the EDA</w:t>
      </w:r>
      <w:r>
        <w:rPr>
          <w:b/>
          <w:bCs/>
        </w:rPr>
        <w:t>?</w:t>
      </w:r>
      <w:r w:rsidRPr="00AE514A">
        <w:rPr>
          <w:b/>
          <w:bCs/>
        </w:rPr>
        <w:t xml:space="preserve"> If there is, please substantiate your response by reference to each of the criteria </w:t>
      </w:r>
      <w:r>
        <w:rPr>
          <w:b/>
          <w:bCs/>
        </w:rPr>
        <w:t>and objectives</w:t>
      </w:r>
      <w:r w:rsidRPr="00AE514A">
        <w:rPr>
          <w:b/>
          <w:bCs/>
        </w:rPr>
        <w:t xml:space="preserve"> (including any additional ones that you propose).</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78DEB68A" w14:textId="77777777" w:rsidTr="00F67132">
        <w:trPr>
          <w:trHeight w:val="10764"/>
        </w:trPr>
        <w:tc>
          <w:tcPr>
            <w:tcW w:w="5000" w:type="pct"/>
          </w:tcPr>
          <w:p w14:paraId="3D6222D2" w14:textId="767F6C96" w:rsidR="00C849FC" w:rsidRDefault="006A7D95" w:rsidP="0089642A">
            <w:pPr>
              <w:pStyle w:val="Default"/>
            </w:pPr>
            <w:r>
              <w:rPr>
                <w:sz w:val="20"/>
                <w:szCs w:val="20"/>
              </w:rPr>
              <w:t>W</w:t>
            </w:r>
            <w:r w:rsidR="0089642A" w:rsidRPr="0089642A">
              <w:rPr>
                <w:sz w:val="20"/>
                <w:szCs w:val="20"/>
              </w:rPr>
              <w:t>e agree that this service would sit well with either ELEXON or RECCo</w:t>
            </w:r>
            <w:r>
              <w:rPr>
                <w:sz w:val="20"/>
                <w:szCs w:val="20"/>
              </w:rPr>
              <w:t xml:space="preserve"> but Ofgem could competitively tender the provision of the EDA to understand if other options are available. </w:t>
            </w:r>
          </w:p>
        </w:tc>
      </w:tr>
    </w:tbl>
    <w:p w14:paraId="738F002E" w14:textId="77777777" w:rsidR="00861965" w:rsidRPr="00861965" w:rsidRDefault="00861965" w:rsidP="00C849FC">
      <w:pPr>
        <w:pStyle w:val="Heading1"/>
        <w:spacing w:line="240" w:lineRule="auto"/>
        <w:rPr>
          <w:bCs/>
          <w:sz w:val="24"/>
        </w:rPr>
      </w:pPr>
    </w:p>
    <w:sectPr w:rsidR="00861965" w:rsidRPr="00861965" w:rsidSect="00265B97">
      <w:headerReference w:type="default" r:id="rId14"/>
      <w:footerReference w:type="even" r:id="rId15"/>
      <w:footerReference w:type="default" r:id="rId16"/>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47325" w14:textId="77777777" w:rsidR="00F241C0" w:rsidRDefault="00F241C0" w:rsidP="001F6E93">
      <w:r>
        <w:separator/>
      </w:r>
    </w:p>
  </w:endnote>
  <w:endnote w:type="continuationSeparator" w:id="0">
    <w:p w14:paraId="2B836C43" w14:textId="77777777" w:rsidR="00F241C0" w:rsidRDefault="00F241C0"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088975"/>
      <w:docPartObj>
        <w:docPartGallery w:val="Page Numbers (Bottom of Page)"/>
        <w:docPartUnique/>
      </w:docPartObj>
    </w:sdtPr>
    <w:sdtEndPr>
      <w:rPr>
        <w:rStyle w:val="PageNumber"/>
      </w:rPr>
    </w:sdtEndPr>
    <w:sdtContent>
      <w:p w14:paraId="6CE66CEE" w14:textId="76F6692F"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C1670">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236F2" w14:textId="77777777" w:rsidR="00F241C0" w:rsidRDefault="00F241C0" w:rsidP="001F6E93">
      <w:r>
        <w:separator/>
      </w:r>
    </w:p>
  </w:footnote>
  <w:footnote w:type="continuationSeparator" w:id="0">
    <w:p w14:paraId="4B7F3CC4" w14:textId="77777777" w:rsidR="00F241C0" w:rsidRDefault="00F241C0"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D87A3BA"/>
    <w:multiLevelType w:val="hybridMultilevel"/>
    <w:tmpl w:val="7297409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83CEE"/>
    <w:multiLevelType w:val="hybridMultilevel"/>
    <w:tmpl w:val="1884E702"/>
    <w:lvl w:ilvl="0" w:tplc="ECECB2F4">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1100A2"/>
    <w:multiLevelType w:val="hybridMultilevel"/>
    <w:tmpl w:val="5B7AB734"/>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C3A6B62"/>
    <w:multiLevelType w:val="multilevel"/>
    <w:tmpl w:val="6A085276"/>
    <w:lvl w:ilvl="0">
      <w:start w:val="1"/>
      <w:numFmt w:val="decimal"/>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EA64AFC"/>
    <w:multiLevelType w:val="hybridMultilevel"/>
    <w:tmpl w:val="1724037E"/>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CE43FD"/>
    <w:multiLevelType w:val="hybridMultilevel"/>
    <w:tmpl w:val="A89CF748"/>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9F2F68"/>
    <w:multiLevelType w:val="hybridMultilevel"/>
    <w:tmpl w:val="61D8EFFA"/>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887F00"/>
    <w:multiLevelType w:val="hybridMultilevel"/>
    <w:tmpl w:val="D0D048BA"/>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38C0FB1"/>
    <w:multiLevelType w:val="hybridMultilevel"/>
    <w:tmpl w:val="8F7E81AA"/>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FD85F61"/>
    <w:multiLevelType w:val="hybridMultilevel"/>
    <w:tmpl w:val="6B90EE9C"/>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0A10FB"/>
    <w:multiLevelType w:val="hybridMultilevel"/>
    <w:tmpl w:val="5E009BEA"/>
    <w:lvl w:ilvl="0" w:tplc="EC2266BE">
      <w:start w:val="1"/>
      <w:numFmt w:val="decimal"/>
      <w:lvlText w:val="%1."/>
      <w:lvlJc w:val="left"/>
      <w:pPr>
        <w:ind w:left="502" w:hanging="360"/>
      </w:pPr>
      <w:rPr>
        <w:rFonts w:ascii="Verdana" w:hAnsi="Verdana" w:hint="default"/>
        <w:b w:val="0"/>
        <w:color w:val="00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3B27EE9"/>
    <w:multiLevelType w:val="hybridMultilevel"/>
    <w:tmpl w:val="A6A6B264"/>
    <w:lvl w:ilvl="0" w:tplc="32926A8C">
      <w:start w:val="1"/>
      <w:numFmt w:val="decimal"/>
      <w:lvlText w:val="%1."/>
      <w:lvlJc w:val="left"/>
      <w:pPr>
        <w:ind w:left="720" w:hanging="360"/>
      </w:pPr>
      <w:rPr>
        <w:rFonts w:hint="default"/>
        <w:b w:val="0"/>
        <w:bCs/>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C45C12"/>
    <w:multiLevelType w:val="hybridMultilevel"/>
    <w:tmpl w:val="22929D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1"/>
  </w:num>
  <w:num w:numId="3">
    <w:abstractNumId w:val="12"/>
  </w:num>
  <w:num w:numId="4">
    <w:abstractNumId w:val="2"/>
  </w:num>
  <w:num w:numId="5">
    <w:abstractNumId w:val="13"/>
  </w:num>
  <w:num w:numId="6">
    <w:abstractNumId w:val="8"/>
  </w:num>
  <w:num w:numId="7">
    <w:abstractNumId w:val="5"/>
  </w:num>
  <w:num w:numId="8">
    <w:abstractNumId w:val="7"/>
  </w:num>
  <w:num w:numId="9">
    <w:abstractNumId w:val="6"/>
  </w:num>
  <w:num w:numId="10">
    <w:abstractNumId w:val="9"/>
  </w:num>
  <w:num w:numId="11">
    <w:abstractNumId w:val="10"/>
  </w:num>
  <w:num w:numId="12">
    <w:abstractNumId w:val="3"/>
  </w:num>
  <w:num w:numId="13">
    <w:abstractNumId w:val="4"/>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06A47"/>
    <w:rsid w:val="000476C0"/>
    <w:rsid w:val="000731F6"/>
    <w:rsid w:val="00087FA2"/>
    <w:rsid w:val="000F4635"/>
    <w:rsid w:val="00106392"/>
    <w:rsid w:val="001431F3"/>
    <w:rsid w:val="00177460"/>
    <w:rsid w:val="001A68F2"/>
    <w:rsid w:val="001C06F4"/>
    <w:rsid w:val="001D4695"/>
    <w:rsid w:val="001F214F"/>
    <w:rsid w:val="001F6E93"/>
    <w:rsid w:val="0024160A"/>
    <w:rsid w:val="00265B97"/>
    <w:rsid w:val="002A27A4"/>
    <w:rsid w:val="002A42DB"/>
    <w:rsid w:val="002B25ED"/>
    <w:rsid w:val="002C59A5"/>
    <w:rsid w:val="002E3502"/>
    <w:rsid w:val="002F48C3"/>
    <w:rsid w:val="00323741"/>
    <w:rsid w:val="00331426"/>
    <w:rsid w:val="003D0181"/>
    <w:rsid w:val="003E0EED"/>
    <w:rsid w:val="004763A0"/>
    <w:rsid w:val="004824AC"/>
    <w:rsid w:val="004A6AEB"/>
    <w:rsid w:val="004C1670"/>
    <w:rsid w:val="004D5FA0"/>
    <w:rsid w:val="00516FED"/>
    <w:rsid w:val="005331D0"/>
    <w:rsid w:val="00536E5B"/>
    <w:rsid w:val="005847EB"/>
    <w:rsid w:val="005A5E1D"/>
    <w:rsid w:val="005C284A"/>
    <w:rsid w:val="005D4DAC"/>
    <w:rsid w:val="005F0460"/>
    <w:rsid w:val="005F6CC3"/>
    <w:rsid w:val="00651307"/>
    <w:rsid w:val="006874D5"/>
    <w:rsid w:val="006A7D95"/>
    <w:rsid w:val="006D211B"/>
    <w:rsid w:val="00757B86"/>
    <w:rsid w:val="0078376B"/>
    <w:rsid w:val="007A4F15"/>
    <w:rsid w:val="007C0D12"/>
    <w:rsid w:val="007C7E9B"/>
    <w:rsid w:val="007D6A38"/>
    <w:rsid w:val="007E0115"/>
    <w:rsid w:val="007E4A1C"/>
    <w:rsid w:val="007F1638"/>
    <w:rsid w:val="00800593"/>
    <w:rsid w:val="008105C6"/>
    <w:rsid w:val="00811F77"/>
    <w:rsid w:val="008517F4"/>
    <w:rsid w:val="00861965"/>
    <w:rsid w:val="0086475A"/>
    <w:rsid w:val="0089032C"/>
    <w:rsid w:val="0089642A"/>
    <w:rsid w:val="008F659D"/>
    <w:rsid w:val="00932670"/>
    <w:rsid w:val="00935854"/>
    <w:rsid w:val="00967DAE"/>
    <w:rsid w:val="00972881"/>
    <w:rsid w:val="009905C7"/>
    <w:rsid w:val="009944E4"/>
    <w:rsid w:val="009B7453"/>
    <w:rsid w:val="009F33B6"/>
    <w:rsid w:val="00A17F94"/>
    <w:rsid w:val="00A35911"/>
    <w:rsid w:val="00AA4841"/>
    <w:rsid w:val="00B51F6B"/>
    <w:rsid w:val="00C42222"/>
    <w:rsid w:val="00C5030B"/>
    <w:rsid w:val="00C570BB"/>
    <w:rsid w:val="00C849FC"/>
    <w:rsid w:val="00D217DF"/>
    <w:rsid w:val="00D61087"/>
    <w:rsid w:val="00D82FB9"/>
    <w:rsid w:val="00D948CF"/>
    <w:rsid w:val="00D94E5E"/>
    <w:rsid w:val="00DC00BF"/>
    <w:rsid w:val="00E108AC"/>
    <w:rsid w:val="00E21BF6"/>
    <w:rsid w:val="00E223E6"/>
    <w:rsid w:val="00E372BE"/>
    <w:rsid w:val="00E60B51"/>
    <w:rsid w:val="00E73F40"/>
    <w:rsid w:val="00E94895"/>
    <w:rsid w:val="00EF57CF"/>
    <w:rsid w:val="00F241C0"/>
    <w:rsid w:val="00F53EB9"/>
    <w:rsid w:val="00F64250"/>
    <w:rsid w:val="00F67132"/>
    <w:rsid w:val="00F719B0"/>
    <w:rsid w:val="00F81EF5"/>
    <w:rsid w:val="00F90EF8"/>
    <w:rsid w:val="00F92DE6"/>
    <w:rsid w:val="00F95911"/>
    <w:rsid w:val="00FB4EE6"/>
    <w:rsid w:val="00FC4961"/>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5C6"/>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516F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FED"/>
    <w:rPr>
      <w:rFonts w:ascii="Segoe UI" w:hAnsi="Segoe UI" w:cs="Segoe UI"/>
      <w:sz w:val="18"/>
      <w:szCs w:val="18"/>
      <w:lang w:val="en-GB"/>
    </w:rPr>
  </w:style>
  <w:style w:type="paragraph" w:styleId="NoSpacing">
    <w:name w:val="No Spacing"/>
    <w:uiPriority w:val="1"/>
    <w:qFormat/>
    <w:rsid w:val="00F81EF5"/>
    <w:rPr>
      <w:rFonts w:ascii="Verdana" w:hAnsi="Verdana"/>
      <w:sz w:val="20"/>
      <w:lang w:val="en-GB"/>
    </w:rPr>
  </w:style>
  <w:style w:type="paragraph" w:customStyle="1" w:styleId="Paragraph">
    <w:name w:val="Paragraph"/>
    <w:aliases w:val="numbered,MHHS - Paragraph"/>
    <w:basedOn w:val="Normal"/>
    <w:qFormat/>
    <w:rsid w:val="004A6AEB"/>
    <w:pPr>
      <w:spacing w:before="360" w:after="360"/>
    </w:pPr>
    <w:rPr>
      <w:rFonts w:eastAsia="Times New Roman" w:cs="Times New Roman"/>
      <w:szCs w:val="20"/>
    </w:rPr>
  </w:style>
  <w:style w:type="paragraph" w:customStyle="1" w:styleId="Appendixtext-Numbered">
    <w:name w:val="Appendix text - Numbered"/>
    <w:basedOn w:val="Normal"/>
    <w:link w:val="Appendixtext-NumberedChar"/>
    <w:qFormat/>
    <w:rsid w:val="001F214F"/>
    <w:pPr>
      <w:spacing w:before="120" w:after="360"/>
    </w:pPr>
    <w:rPr>
      <w:rFonts w:eastAsia="Times New Roman" w:cs="Times New Roman"/>
    </w:rPr>
  </w:style>
  <w:style w:type="character" w:customStyle="1" w:styleId="Appendixtext-NumberedChar">
    <w:name w:val="Appendix text - Numbered Char"/>
    <w:basedOn w:val="DefaultParagraphFont"/>
    <w:link w:val="Appendixtext-Numbered"/>
    <w:rsid w:val="001F214F"/>
    <w:rPr>
      <w:rFonts w:ascii="Verdana" w:eastAsia="Times New Roman" w:hAnsi="Verdana" w:cs="Times New Roman"/>
      <w:sz w:val="20"/>
      <w:lang w:val="en-GB"/>
    </w:rPr>
  </w:style>
  <w:style w:type="character" w:customStyle="1" w:styleId="Titleheading">
    <w:name w:val="Title heading"/>
    <w:basedOn w:val="DefaultParagraphFont"/>
    <w:rsid w:val="00757B86"/>
    <w:rPr>
      <w:rFonts w:ascii="Verdana" w:hAnsi="Verdana"/>
      <w:b/>
      <w:bCs/>
      <w:sz w:val="24"/>
    </w:rPr>
  </w:style>
  <w:style w:type="paragraph" w:customStyle="1" w:styleId="Sectiontitle">
    <w:name w:val="Section title"/>
    <w:basedOn w:val="Heading1"/>
    <w:next w:val="Normal"/>
    <w:rsid w:val="00C849FC"/>
    <w:pPr>
      <w:keepNext w:val="0"/>
      <w:keepLines w:val="0"/>
      <w:pageBreakBefore/>
      <w:tabs>
        <w:tab w:val="left" w:pos="2581"/>
      </w:tabs>
      <w:spacing w:before="0" w:after="200" w:line="276" w:lineRule="auto"/>
      <w:ind w:left="360" w:hanging="360"/>
    </w:pPr>
    <w:rPr>
      <w:rFonts w:eastAsia="Times New Roman" w:cs="Times New Roman"/>
      <w:bCs/>
      <w:color w:val="F68220"/>
      <w:szCs w:val="20"/>
    </w:rPr>
  </w:style>
  <w:style w:type="character" w:styleId="CommentReference">
    <w:name w:val="annotation reference"/>
    <w:basedOn w:val="DefaultParagraphFont"/>
    <w:semiHidden/>
    <w:rsid w:val="00C849FC"/>
    <w:rPr>
      <w:sz w:val="16"/>
      <w:szCs w:val="16"/>
    </w:rPr>
  </w:style>
  <w:style w:type="paragraph" w:styleId="CommentText">
    <w:name w:val="annotation text"/>
    <w:basedOn w:val="Normal"/>
    <w:link w:val="CommentTextChar"/>
    <w:semiHidden/>
    <w:rsid w:val="00C849FC"/>
    <w:rPr>
      <w:rFonts w:eastAsia="Times New Roman" w:cs="Times New Roman"/>
      <w:szCs w:val="20"/>
    </w:rPr>
  </w:style>
  <w:style w:type="character" w:customStyle="1" w:styleId="CommentTextChar">
    <w:name w:val="Comment Text Char"/>
    <w:basedOn w:val="DefaultParagraphFont"/>
    <w:link w:val="CommentText"/>
    <w:semiHidden/>
    <w:rsid w:val="00C849FC"/>
    <w:rPr>
      <w:rFonts w:ascii="Verdana" w:eastAsia="Times New Roman" w:hAnsi="Verdana" w:cs="Times New Roman"/>
      <w:sz w:val="20"/>
      <w:szCs w:val="20"/>
      <w:lang w:val="en-GB"/>
    </w:rPr>
  </w:style>
  <w:style w:type="paragraph" w:customStyle="1" w:styleId="Default">
    <w:name w:val="Default"/>
    <w:rsid w:val="00323741"/>
    <w:pPr>
      <w:autoSpaceDE w:val="0"/>
      <w:autoSpaceDN w:val="0"/>
      <w:adjustRightInd w:val="0"/>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44561">
      <w:bodyDiv w:val="1"/>
      <w:marLeft w:val="0"/>
      <w:marRight w:val="0"/>
      <w:marTop w:val="0"/>
      <w:marBottom w:val="0"/>
      <w:divBdr>
        <w:top w:val="none" w:sz="0" w:space="0" w:color="auto"/>
        <w:left w:val="none" w:sz="0" w:space="0" w:color="auto"/>
        <w:bottom w:val="none" w:sz="0" w:space="0" w:color="auto"/>
        <w:right w:val="none" w:sz="0" w:space="0" w:color="auto"/>
      </w:divBdr>
    </w:div>
    <w:div w:id="643586715">
      <w:bodyDiv w:val="1"/>
      <w:marLeft w:val="0"/>
      <w:marRight w:val="0"/>
      <w:marTop w:val="0"/>
      <w:marBottom w:val="0"/>
      <w:divBdr>
        <w:top w:val="none" w:sz="0" w:space="0" w:color="auto"/>
        <w:left w:val="none" w:sz="0" w:space="0" w:color="auto"/>
        <w:bottom w:val="none" w:sz="0" w:space="0" w:color="auto"/>
        <w:right w:val="none" w:sz="0" w:space="0" w:color="auto"/>
      </w:divBdr>
    </w:div>
    <w:div w:id="1029985250">
      <w:bodyDiv w:val="1"/>
      <w:marLeft w:val="0"/>
      <w:marRight w:val="0"/>
      <w:marTop w:val="0"/>
      <w:marBottom w:val="0"/>
      <w:divBdr>
        <w:top w:val="none" w:sz="0" w:space="0" w:color="auto"/>
        <w:left w:val="none" w:sz="0" w:space="0" w:color="auto"/>
        <w:bottom w:val="none" w:sz="0" w:space="0" w:color="auto"/>
        <w:right w:val="none" w:sz="0" w:space="0" w:color="auto"/>
      </w:divBdr>
    </w:div>
    <w:div w:id="1031958683">
      <w:bodyDiv w:val="1"/>
      <w:marLeft w:val="0"/>
      <w:marRight w:val="0"/>
      <w:marTop w:val="0"/>
      <w:marBottom w:val="0"/>
      <w:divBdr>
        <w:top w:val="none" w:sz="0" w:space="0" w:color="auto"/>
        <w:left w:val="none" w:sz="0" w:space="0" w:color="auto"/>
        <w:bottom w:val="none" w:sz="0" w:space="0" w:color="auto"/>
        <w:right w:val="none" w:sz="0" w:space="0" w:color="auto"/>
      </w:divBdr>
    </w:div>
    <w:div w:id="1149981163">
      <w:bodyDiv w:val="1"/>
      <w:marLeft w:val="0"/>
      <w:marRight w:val="0"/>
      <w:marTop w:val="0"/>
      <w:marBottom w:val="0"/>
      <w:divBdr>
        <w:top w:val="none" w:sz="0" w:space="0" w:color="auto"/>
        <w:left w:val="none" w:sz="0" w:space="0" w:color="auto"/>
        <w:bottom w:val="none" w:sz="0" w:space="0" w:color="auto"/>
        <w:right w:val="none" w:sz="0" w:space="0" w:color="auto"/>
      </w:divBdr>
    </w:div>
    <w:div w:id="1431126719">
      <w:bodyDiv w:val="1"/>
      <w:marLeft w:val="0"/>
      <w:marRight w:val="0"/>
      <w:marTop w:val="0"/>
      <w:marBottom w:val="0"/>
      <w:divBdr>
        <w:top w:val="none" w:sz="0" w:space="0" w:color="auto"/>
        <w:left w:val="none" w:sz="0" w:space="0" w:color="auto"/>
        <w:bottom w:val="none" w:sz="0" w:space="0" w:color="auto"/>
        <w:right w:val="none" w:sz="0" w:space="0" w:color="auto"/>
      </w:divBdr>
    </w:div>
    <w:div w:id="1544908017">
      <w:bodyDiv w:val="1"/>
      <w:marLeft w:val="0"/>
      <w:marRight w:val="0"/>
      <w:marTop w:val="0"/>
      <w:marBottom w:val="0"/>
      <w:divBdr>
        <w:top w:val="none" w:sz="0" w:space="0" w:color="auto"/>
        <w:left w:val="none" w:sz="0" w:space="0" w:color="auto"/>
        <w:bottom w:val="none" w:sz="0" w:space="0" w:color="auto"/>
        <w:right w:val="none" w:sz="0" w:space="0" w:color="auto"/>
      </w:divBdr>
    </w:div>
    <w:div w:id="1758551224">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912620936">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1825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fgem.gov.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alfHourlySettlement@ofgem.gov.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86F8F8950BDB4F867D2A4EF86A69A6" ma:contentTypeVersion="13" ma:contentTypeDescription="Create a new document." ma:contentTypeScope="" ma:versionID="919d94bc4e5d27731b01ffd8ae568c3a">
  <xsd:schema xmlns:xsd="http://www.w3.org/2001/XMLSchema" xmlns:xs="http://www.w3.org/2001/XMLSchema" xmlns:p="http://schemas.microsoft.com/office/2006/metadata/properties" xmlns:ns3="8ee83236-fdac-4f9a-9e29-1b313e18c3d5" xmlns:ns4="8015c716-7638-4fbc-b740-dc4a67044737" targetNamespace="http://schemas.microsoft.com/office/2006/metadata/properties" ma:root="true" ma:fieldsID="8b99fd313279242a019444baf1268f5c" ns3:_="" ns4:_="">
    <xsd:import namespace="8ee83236-fdac-4f9a-9e29-1b313e18c3d5"/>
    <xsd:import namespace="8015c716-7638-4fbc-b740-dc4a6704473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e83236-fdac-4f9a-9e29-1b313e18c3d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15c716-7638-4fbc-b740-dc4a6704473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17B6FF5B-3AEB-4958-8F9A-3BECEC9B70F1}">
  <ds:schemaRefs>
    <ds:schemaRef ds:uri="8015c716-7638-4fbc-b740-dc4a67044737"/>
    <ds:schemaRef ds:uri="http://schemas.microsoft.com/office/2006/documentManagement/types"/>
    <ds:schemaRef ds:uri="http://schemas.openxmlformats.org/package/2006/metadata/core-properties"/>
    <ds:schemaRef ds:uri="8ee83236-fdac-4f9a-9e29-1b313e18c3d5"/>
    <ds:schemaRef ds:uri="http://purl.org/dc/dcmitype/"/>
    <ds:schemaRef ds:uri="http://purl.org/dc/elements/1.1/"/>
    <ds:schemaRef ds:uri="http://schemas.microsoft.com/office/2006/metadata/properties"/>
    <ds:schemaRef ds:uri="http://schemas.microsoft.com/office/infopath/2007/PartnerControls"/>
    <ds:schemaRef ds:uri="http://www.w3.org/XML/1998/namespace"/>
    <ds:schemaRef ds:uri="http://purl.org/dc/terms/"/>
  </ds:schemaRefs>
</ds:datastoreItem>
</file>

<file path=customXml/itemProps3.xml><?xml version="1.0" encoding="utf-8"?>
<ds:datastoreItem xmlns:ds="http://schemas.openxmlformats.org/officeDocument/2006/customXml" ds:itemID="{26C5FF61-EB06-4C8F-A21B-7A705D0EB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e83236-fdac-4f9a-9e29-1b313e18c3d5"/>
    <ds:schemaRef ds:uri="8015c716-7638-4fbc-b740-dc4a670447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68518F-180E-42ED-B43C-7C5C407CC669}">
  <ds:schemaRefs>
    <ds:schemaRef ds:uri="http://schemas.openxmlformats.org/officeDocument/2006/bibliography"/>
  </ds:schemaRefs>
</ds:datastoreItem>
</file>

<file path=customXml/itemProps5.xml><?xml version="1.0" encoding="utf-8"?>
<ds:datastoreItem xmlns:ds="http://schemas.openxmlformats.org/officeDocument/2006/customXml" ds:itemID="{747EB37C-1088-4490-B32D-4F46896035F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831</Words>
  <Characters>4742</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Implementation Arrangements Consultation Response Form</vt:lpstr>
    </vt:vector>
  </TitlesOfParts>
  <Company>Ofgem</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Arrangements Consultation Response Form</dc:title>
  <dc:subject/>
  <dc:creator>Ofgem</dc:creator>
  <cp:keywords/>
  <dc:description/>
  <cp:lastModifiedBy>Sinead Quinn</cp:lastModifiedBy>
  <cp:revision>2</cp:revision>
  <dcterms:created xsi:type="dcterms:W3CDTF">2022-02-17T16:16:00Z</dcterms:created>
  <dcterms:modified xsi:type="dcterms:W3CDTF">2022-02-17T16:16:00Z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0x0101005A86F8F8950BDB4F867D2A4EF86A69A6</vt:lpwstr>
  </property>
  <property fmtid="{D5CDD505-2E9C-101B-9397-08002B2CF9AE}" pid="3" name="docIndexRef">
    <vt:lpwstr>237c7cbc-b8ed-464f-ad91-438fe80ecd72</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ClsUserRVM">
    <vt:lpwstr>[]</vt:lpwstr>
  </property>
  <property fmtid="{D5CDD505-2E9C-101B-9397-08002B2CF9AE}" pid="7" name="Order">
    <vt:r8>5700</vt:r8>
  </property>
  <property fmtid="{D5CDD505-2E9C-101B-9397-08002B2CF9AE}" pid="8" name="bjDocumentSecurityLabel">
    <vt:lpwstr>This item has no classification</vt:lpwstr>
  </property>
</Properties>
</file>