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18" w:space="0" w:color="808080"/>
        </w:tblBorders>
        <w:tblLook w:val="01E0" w:firstRow="1" w:lastRow="1" w:firstColumn="1" w:lastColumn="1" w:noHBand="0" w:noVBand="0"/>
      </w:tblPr>
      <w:tblGrid>
        <w:gridCol w:w="3757"/>
        <w:gridCol w:w="1689"/>
        <w:gridCol w:w="2027"/>
        <w:gridCol w:w="2027"/>
      </w:tblGrid>
      <w:tr w:rsidR="008B39EE" w14:paraId="75D700EE" w14:textId="77777777" w:rsidTr="00A15942">
        <w:tc>
          <w:tcPr>
            <w:tcW w:w="9500" w:type="dxa"/>
            <w:gridSpan w:val="4"/>
            <w:tcBorders>
              <w:top w:val="nil"/>
              <w:bottom w:val="single" w:sz="18" w:space="0" w:color="666699"/>
            </w:tcBorders>
          </w:tcPr>
          <w:p w14:paraId="39C5D707" w14:textId="13062FBD" w:rsidR="008B39EE" w:rsidRPr="008B39EE" w:rsidRDefault="001203E1" w:rsidP="00436874">
            <w:pPr>
              <w:pStyle w:val="Title1"/>
            </w:pPr>
            <w:r>
              <w:t xml:space="preserve">Technical group </w:t>
            </w:r>
            <w:r w:rsidR="00436874">
              <w:t>2</w:t>
            </w:r>
            <w:r>
              <w:t>, Gas Transmission Charging Review</w:t>
            </w:r>
          </w:p>
        </w:tc>
      </w:tr>
      <w:tr w:rsidR="00F2661F" w14:paraId="7AA2A34A" w14:textId="77777777" w:rsidTr="00A15942">
        <w:tc>
          <w:tcPr>
            <w:tcW w:w="3757" w:type="dxa"/>
            <w:vMerge w:val="restart"/>
            <w:tcBorders>
              <w:top w:val="single" w:sz="18" w:space="0" w:color="666699"/>
              <w:bottom w:val="nil"/>
            </w:tcBorders>
          </w:tcPr>
          <w:p w14:paraId="544B9F0C" w14:textId="77777777" w:rsidR="00F2661F" w:rsidRDefault="00E63712" w:rsidP="00BA7019">
            <w:r>
              <w:t>This group supports the development of the technical modelling of potential options for NTS entry charging arrangements.</w:t>
            </w:r>
          </w:p>
        </w:tc>
        <w:tc>
          <w:tcPr>
            <w:tcW w:w="1689" w:type="dxa"/>
            <w:tcBorders>
              <w:top w:val="single" w:sz="18" w:space="0" w:color="666699"/>
              <w:bottom w:val="nil"/>
            </w:tcBorders>
          </w:tcPr>
          <w:p w14:paraId="74218179" w14:textId="77777777" w:rsidR="00F2661F" w:rsidRPr="00A15942" w:rsidRDefault="00F2661F" w:rsidP="00BA7019">
            <w:pPr>
              <w:rPr>
                <w:sz w:val="16"/>
                <w:szCs w:val="16"/>
              </w:rPr>
            </w:pPr>
            <w:r w:rsidRPr="00A15942">
              <w:rPr>
                <w:sz w:val="16"/>
                <w:szCs w:val="16"/>
              </w:rPr>
              <w:t>From</w:t>
            </w:r>
          </w:p>
        </w:tc>
        <w:tc>
          <w:tcPr>
            <w:tcW w:w="2027" w:type="dxa"/>
            <w:tcBorders>
              <w:top w:val="single" w:sz="18" w:space="0" w:color="666699"/>
              <w:bottom w:val="nil"/>
            </w:tcBorders>
          </w:tcPr>
          <w:p w14:paraId="4470F14C" w14:textId="1376809C" w:rsidR="00F2661F" w:rsidRPr="00A15942" w:rsidRDefault="002817C7" w:rsidP="000E7F6B">
            <w:pPr>
              <w:rPr>
                <w:sz w:val="16"/>
                <w:szCs w:val="16"/>
              </w:rPr>
            </w:pPr>
            <w:r>
              <w:rPr>
                <w:sz w:val="16"/>
                <w:szCs w:val="16"/>
              </w:rPr>
              <w:t>Tim Aldridge</w:t>
            </w:r>
          </w:p>
        </w:tc>
        <w:tc>
          <w:tcPr>
            <w:tcW w:w="2027" w:type="dxa"/>
            <w:tcBorders>
              <w:top w:val="single" w:sz="18" w:space="0" w:color="666699"/>
              <w:bottom w:val="nil"/>
            </w:tcBorders>
          </w:tcPr>
          <w:p w14:paraId="3BE5D17E" w14:textId="00970257" w:rsidR="00F2661F" w:rsidRPr="00A15942" w:rsidRDefault="002817C7" w:rsidP="00AC486A">
            <w:pPr>
              <w:rPr>
                <w:sz w:val="16"/>
                <w:szCs w:val="16"/>
              </w:rPr>
            </w:pPr>
            <w:r w:rsidRPr="00AC486A">
              <w:rPr>
                <w:sz w:val="16"/>
                <w:szCs w:val="16"/>
              </w:rPr>
              <w:t>2</w:t>
            </w:r>
            <w:r w:rsidR="00AC486A" w:rsidRPr="00AC486A">
              <w:rPr>
                <w:sz w:val="16"/>
                <w:szCs w:val="16"/>
              </w:rPr>
              <w:t>3</w:t>
            </w:r>
            <w:r w:rsidR="00A97558">
              <w:rPr>
                <w:sz w:val="16"/>
                <w:szCs w:val="16"/>
              </w:rPr>
              <w:t xml:space="preserve"> </w:t>
            </w:r>
            <w:r w:rsidR="00452B13">
              <w:rPr>
                <w:sz w:val="16"/>
                <w:szCs w:val="16"/>
              </w:rPr>
              <w:t>July 2014</w:t>
            </w:r>
          </w:p>
        </w:tc>
      </w:tr>
      <w:tr w:rsidR="00F2661F" w14:paraId="406B1C33" w14:textId="77777777" w:rsidTr="00B96DAB">
        <w:tc>
          <w:tcPr>
            <w:tcW w:w="3757" w:type="dxa"/>
            <w:vMerge/>
            <w:tcBorders>
              <w:top w:val="nil"/>
              <w:bottom w:val="nil"/>
            </w:tcBorders>
          </w:tcPr>
          <w:p w14:paraId="4C5F49E4" w14:textId="77777777" w:rsidR="00F2661F" w:rsidRDefault="00F2661F" w:rsidP="00BA7019"/>
        </w:tc>
        <w:tc>
          <w:tcPr>
            <w:tcW w:w="1689" w:type="dxa"/>
            <w:tcBorders>
              <w:top w:val="nil"/>
              <w:bottom w:val="nil"/>
            </w:tcBorders>
          </w:tcPr>
          <w:p w14:paraId="7EA27AFA" w14:textId="77777777" w:rsidR="00F2661F" w:rsidRPr="00A15942" w:rsidRDefault="00F2661F" w:rsidP="00BA7019">
            <w:pPr>
              <w:rPr>
                <w:sz w:val="16"/>
                <w:szCs w:val="16"/>
              </w:rPr>
            </w:pPr>
            <w:r w:rsidRPr="00A15942">
              <w:rPr>
                <w:sz w:val="16"/>
                <w:szCs w:val="16"/>
              </w:rPr>
              <w:t>Date and time of Meeting</w:t>
            </w:r>
          </w:p>
        </w:tc>
        <w:tc>
          <w:tcPr>
            <w:tcW w:w="2027" w:type="dxa"/>
            <w:tcBorders>
              <w:top w:val="nil"/>
              <w:bottom w:val="nil"/>
            </w:tcBorders>
          </w:tcPr>
          <w:p w14:paraId="3A54D024" w14:textId="76A0C770" w:rsidR="00F2661F" w:rsidRPr="00A15942" w:rsidRDefault="002817C7" w:rsidP="000E7F6B">
            <w:pPr>
              <w:rPr>
                <w:sz w:val="16"/>
                <w:szCs w:val="16"/>
              </w:rPr>
            </w:pPr>
            <w:r>
              <w:rPr>
                <w:sz w:val="16"/>
                <w:szCs w:val="16"/>
              </w:rPr>
              <w:t>1</w:t>
            </w:r>
            <w:r w:rsidR="001203E1">
              <w:rPr>
                <w:sz w:val="16"/>
                <w:szCs w:val="16"/>
              </w:rPr>
              <w:t>8 July 2014, 14-16h</w:t>
            </w:r>
          </w:p>
        </w:tc>
        <w:tc>
          <w:tcPr>
            <w:tcW w:w="2027" w:type="dxa"/>
            <w:tcBorders>
              <w:top w:val="nil"/>
              <w:bottom w:val="nil"/>
            </w:tcBorders>
            <w:shd w:val="clear" w:color="auto" w:fill="auto"/>
          </w:tcPr>
          <w:p w14:paraId="62C1D090" w14:textId="77777777" w:rsidR="00F2661F" w:rsidRPr="00A15942" w:rsidRDefault="00B96DAB" w:rsidP="00BA7019">
            <w:pPr>
              <w:rPr>
                <w:sz w:val="16"/>
                <w:szCs w:val="16"/>
                <w:highlight w:val="yellow"/>
              </w:rPr>
            </w:pPr>
            <w:r w:rsidRPr="00B96DAB">
              <w:rPr>
                <w:sz w:val="16"/>
                <w:szCs w:val="16"/>
              </w:rPr>
              <w:t>Ofgem Millbank</w:t>
            </w:r>
          </w:p>
        </w:tc>
      </w:tr>
      <w:tr w:rsidR="00B96DAB" w14:paraId="2640D882" w14:textId="77777777" w:rsidTr="00544411">
        <w:tc>
          <w:tcPr>
            <w:tcW w:w="3757" w:type="dxa"/>
            <w:vMerge/>
            <w:tcBorders>
              <w:top w:val="nil"/>
              <w:bottom w:val="single" w:sz="18" w:space="0" w:color="666699"/>
            </w:tcBorders>
          </w:tcPr>
          <w:p w14:paraId="68259BFA" w14:textId="77777777" w:rsidR="00B96DAB" w:rsidRDefault="00B96DAB" w:rsidP="00BA7019"/>
        </w:tc>
        <w:tc>
          <w:tcPr>
            <w:tcW w:w="1689" w:type="dxa"/>
            <w:tcBorders>
              <w:top w:val="nil"/>
              <w:bottom w:val="single" w:sz="18" w:space="0" w:color="666699"/>
            </w:tcBorders>
          </w:tcPr>
          <w:p w14:paraId="05DDC2A8" w14:textId="77777777" w:rsidR="00B96DAB" w:rsidRPr="00A15942" w:rsidRDefault="00B96DAB" w:rsidP="00BA7019">
            <w:pPr>
              <w:rPr>
                <w:sz w:val="16"/>
                <w:szCs w:val="16"/>
              </w:rPr>
            </w:pPr>
            <w:r>
              <w:rPr>
                <w:sz w:val="16"/>
                <w:szCs w:val="16"/>
              </w:rPr>
              <w:t>Meeting materials</w:t>
            </w:r>
          </w:p>
        </w:tc>
        <w:tc>
          <w:tcPr>
            <w:tcW w:w="4054" w:type="dxa"/>
            <w:gridSpan w:val="2"/>
            <w:tcBorders>
              <w:top w:val="nil"/>
              <w:bottom w:val="single" w:sz="18" w:space="0" w:color="666699"/>
            </w:tcBorders>
          </w:tcPr>
          <w:p w14:paraId="27814BAC" w14:textId="2C458434" w:rsidR="00B96DAB" w:rsidRPr="00A15942" w:rsidRDefault="00E32434" w:rsidP="00BA7019">
            <w:pPr>
              <w:rPr>
                <w:sz w:val="16"/>
                <w:szCs w:val="16"/>
              </w:rPr>
            </w:pPr>
            <w:hyperlink r:id="rId13" w:history="1">
              <w:r w:rsidR="00436874" w:rsidRPr="00436874">
                <w:rPr>
                  <w:rStyle w:val="Hyperlink"/>
                  <w:sz w:val="16"/>
                </w:rPr>
                <w:t>https://www.ofgem.gov.uk/publications-and-updates/second-gtcr-technical-work-group</w:t>
              </w:r>
            </w:hyperlink>
            <w:r w:rsidR="00436874">
              <w:t xml:space="preserve"> </w:t>
            </w:r>
            <w:r w:rsidR="008F49D4">
              <w:rPr>
                <w:sz w:val="16"/>
                <w:szCs w:val="16"/>
              </w:rPr>
              <w:t xml:space="preserve"> </w:t>
            </w:r>
          </w:p>
        </w:tc>
      </w:tr>
    </w:tbl>
    <w:p w14:paraId="4E8987FE" w14:textId="77777777" w:rsidR="00184ECF" w:rsidRDefault="0082673C" w:rsidP="00F2661F">
      <w:pPr>
        <w:pStyle w:val="Heading1"/>
      </w:pPr>
      <w:r>
        <w:t>Present</w:t>
      </w:r>
    </w:p>
    <w:tbl>
      <w:tblPr>
        <w:tblW w:w="8930" w:type="dxa"/>
        <w:tblInd w:w="534" w:type="dxa"/>
        <w:tblLook w:val="01E0" w:firstRow="1" w:lastRow="1" w:firstColumn="1" w:lastColumn="1" w:noHBand="0" w:noVBand="0"/>
      </w:tblPr>
      <w:tblGrid>
        <w:gridCol w:w="4252"/>
        <w:gridCol w:w="4678"/>
      </w:tblGrid>
      <w:tr w:rsidR="001203E1" w14:paraId="0C7BE05D" w14:textId="77777777" w:rsidTr="00167FAD">
        <w:tc>
          <w:tcPr>
            <w:tcW w:w="4252" w:type="dxa"/>
          </w:tcPr>
          <w:p w14:paraId="0D32EDC6" w14:textId="77777777" w:rsidR="001203E1" w:rsidRDefault="001203E1" w:rsidP="00A15942">
            <w:pPr>
              <w:ind w:firstLine="33"/>
            </w:pPr>
            <w:r>
              <w:t>Laura Butterfield (NGG)</w:t>
            </w:r>
          </w:p>
        </w:tc>
        <w:tc>
          <w:tcPr>
            <w:tcW w:w="4678" w:type="dxa"/>
          </w:tcPr>
          <w:p w14:paraId="75D877E1" w14:textId="00E58676" w:rsidR="001203E1" w:rsidRDefault="00AB7140" w:rsidP="007C643D">
            <w:r>
              <w:t>Charles Ruffel</w:t>
            </w:r>
            <w:r w:rsidR="00DA4044">
              <w:t>l</w:t>
            </w:r>
            <w:r>
              <w:t xml:space="preserve"> (RWE)</w:t>
            </w:r>
          </w:p>
        </w:tc>
      </w:tr>
      <w:tr w:rsidR="001203E1" w14:paraId="2F60F9EA" w14:textId="77777777" w:rsidTr="00167FAD">
        <w:tc>
          <w:tcPr>
            <w:tcW w:w="4252" w:type="dxa"/>
          </w:tcPr>
          <w:p w14:paraId="075AF960" w14:textId="5E071B06" w:rsidR="001203E1" w:rsidRDefault="005C7D3B" w:rsidP="00A15942">
            <w:pPr>
              <w:ind w:firstLine="33"/>
            </w:pPr>
            <w:r>
              <w:t>Jeff Chandler (SSE)</w:t>
            </w:r>
          </w:p>
        </w:tc>
        <w:tc>
          <w:tcPr>
            <w:tcW w:w="4678" w:type="dxa"/>
          </w:tcPr>
          <w:p w14:paraId="481D8415" w14:textId="7F62FFEF" w:rsidR="001203E1" w:rsidRDefault="00AB7140" w:rsidP="007C643D">
            <w:r>
              <w:t>Christiane Sykes (Statoil)</w:t>
            </w:r>
          </w:p>
        </w:tc>
      </w:tr>
      <w:tr w:rsidR="00AB7140" w14:paraId="68D2AE61" w14:textId="77777777" w:rsidTr="00167FAD">
        <w:tc>
          <w:tcPr>
            <w:tcW w:w="4252" w:type="dxa"/>
          </w:tcPr>
          <w:p w14:paraId="36604925" w14:textId="68C445AA" w:rsidR="00AB7140" w:rsidRDefault="00AB7140" w:rsidP="005C7D3B">
            <w:pPr>
              <w:ind w:firstLine="33"/>
            </w:pPr>
            <w:r>
              <w:t>Pavanjit Dhesi (Interconnector)</w:t>
            </w:r>
          </w:p>
        </w:tc>
        <w:tc>
          <w:tcPr>
            <w:tcW w:w="4678" w:type="dxa"/>
            <w:vMerge w:val="restart"/>
          </w:tcPr>
          <w:p w14:paraId="73AFABFE" w14:textId="14016498" w:rsidR="00AB7140" w:rsidRDefault="00AB7140" w:rsidP="00B70B9C">
            <w:r>
              <w:t>Colin Williams (NGG)</w:t>
            </w:r>
          </w:p>
          <w:p w14:paraId="26E2E0B1" w14:textId="35661A59" w:rsidR="00AB7140" w:rsidRDefault="00AB7140" w:rsidP="00B70B9C">
            <w:r>
              <w:t>Nick Wye (Waters Wye)</w:t>
            </w:r>
          </w:p>
        </w:tc>
      </w:tr>
      <w:tr w:rsidR="00AB7140" w14:paraId="086CDC40" w14:textId="77777777" w:rsidTr="00167FAD">
        <w:tc>
          <w:tcPr>
            <w:tcW w:w="4252" w:type="dxa"/>
          </w:tcPr>
          <w:p w14:paraId="7578B566" w14:textId="197CD7DC" w:rsidR="00AB7140" w:rsidRDefault="00AB7140" w:rsidP="00167FAD">
            <w:r w:rsidRPr="00BE5EAB">
              <w:t>Kirsten Elliot-Smith (Cornwall Energy)</w:t>
            </w:r>
          </w:p>
        </w:tc>
        <w:tc>
          <w:tcPr>
            <w:tcW w:w="4678" w:type="dxa"/>
            <w:vMerge/>
          </w:tcPr>
          <w:p w14:paraId="32D3F50E" w14:textId="330201A2" w:rsidR="00AB7140" w:rsidRDefault="00AB7140" w:rsidP="00544411">
            <w:pPr>
              <w:ind w:firstLine="33"/>
            </w:pPr>
          </w:p>
        </w:tc>
      </w:tr>
      <w:tr w:rsidR="00AB7140" w14:paraId="35032728" w14:textId="77777777" w:rsidTr="00AB7140">
        <w:tc>
          <w:tcPr>
            <w:tcW w:w="4252" w:type="dxa"/>
          </w:tcPr>
          <w:p w14:paraId="534A45A3" w14:textId="6571DB9A" w:rsidR="00AB7140" w:rsidRDefault="00AB7140" w:rsidP="00A15942">
            <w:pPr>
              <w:ind w:firstLine="33"/>
            </w:pPr>
            <w:r>
              <w:t>Francisco Gon</w:t>
            </w:r>
            <w:r w:rsidRPr="00452B13">
              <w:t>ç</w:t>
            </w:r>
            <w:r>
              <w:t>alves (Gazprom)</w:t>
            </w:r>
          </w:p>
        </w:tc>
        <w:tc>
          <w:tcPr>
            <w:tcW w:w="4678" w:type="dxa"/>
            <w:vMerge w:val="restart"/>
          </w:tcPr>
          <w:p w14:paraId="635E5581" w14:textId="6793B004" w:rsidR="00AB7140" w:rsidRDefault="00AB7140" w:rsidP="007C643D">
            <w:r>
              <w:t>Ofgem: Tim Aldridge, Alena Fielding, Judith Ross</w:t>
            </w:r>
            <w:r w:rsidRPr="00476123" w:rsidDel="00AB7140">
              <w:rPr>
                <w:lang w:val="de-AT"/>
              </w:rPr>
              <w:t xml:space="preserve"> </w:t>
            </w:r>
          </w:p>
        </w:tc>
      </w:tr>
      <w:tr w:rsidR="00AB7140" w14:paraId="2D2B3995" w14:textId="77777777" w:rsidTr="00AB7140">
        <w:tc>
          <w:tcPr>
            <w:tcW w:w="4252" w:type="dxa"/>
          </w:tcPr>
          <w:p w14:paraId="5501F595" w14:textId="27D474FA" w:rsidR="00AB7140" w:rsidRDefault="00AB7140" w:rsidP="00A15942">
            <w:pPr>
              <w:ind w:firstLine="33"/>
            </w:pPr>
            <w:r>
              <w:t>Graham Jack (Centrica)</w:t>
            </w:r>
          </w:p>
        </w:tc>
        <w:tc>
          <w:tcPr>
            <w:tcW w:w="4678" w:type="dxa"/>
            <w:vMerge/>
          </w:tcPr>
          <w:p w14:paraId="47373CFB" w14:textId="0B7A4433" w:rsidR="00AB7140" w:rsidRDefault="00AB7140" w:rsidP="00B70B9C">
            <w:pPr>
              <w:ind w:firstLine="33"/>
            </w:pPr>
          </w:p>
        </w:tc>
      </w:tr>
      <w:tr w:rsidR="00AB7140" w14:paraId="6AC4C13E" w14:textId="77777777" w:rsidTr="00AB7140">
        <w:trPr>
          <w:trHeight w:val="268"/>
        </w:trPr>
        <w:tc>
          <w:tcPr>
            <w:tcW w:w="4252" w:type="dxa"/>
          </w:tcPr>
          <w:p w14:paraId="6E4CDF25" w14:textId="1C986766" w:rsidR="00AB7140" w:rsidRDefault="00AB7140" w:rsidP="003B3FE0">
            <w:pPr>
              <w:ind w:firstLine="33"/>
            </w:pPr>
            <w:r w:rsidRPr="00B70B9C">
              <w:t>Thomas Jesshop (Conoco Phi</w:t>
            </w:r>
            <w:r w:rsidR="003B3FE0">
              <w:t>l</w:t>
            </w:r>
            <w:r w:rsidRPr="00B70B9C">
              <w:t>lips</w:t>
            </w:r>
            <w:r w:rsidR="003B3FE0">
              <w:t>)</w:t>
            </w:r>
          </w:p>
        </w:tc>
        <w:tc>
          <w:tcPr>
            <w:tcW w:w="4678" w:type="dxa"/>
            <w:vMerge w:val="restart"/>
          </w:tcPr>
          <w:p w14:paraId="16197C5D" w14:textId="6C96FD04" w:rsidR="00AB7140" w:rsidRDefault="00AB7140" w:rsidP="00AC486A">
            <w:r w:rsidRPr="00476123">
              <w:rPr>
                <w:lang w:val="de-AT"/>
              </w:rPr>
              <w:t xml:space="preserve">CEPA/TPA: Ian Alexander, Debra Hawkin, </w:t>
            </w:r>
            <w:r>
              <w:rPr>
                <w:lang w:val="de-AT"/>
              </w:rPr>
              <w:t>Patrick Taylor</w:t>
            </w:r>
            <w:bookmarkStart w:id="0" w:name="_GoBack"/>
            <w:bookmarkEnd w:id="0"/>
          </w:p>
        </w:tc>
      </w:tr>
      <w:tr w:rsidR="00AB7140" w14:paraId="2E727029" w14:textId="77777777" w:rsidTr="00AB7140">
        <w:trPr>
          <w:trHeight w:val="268"/>
        </w:trPr>
        <w:tc>
          <w:tcPr>
            <w:tcW w:w="4252" w:type="dxa"/>
          </w:tcPr>
          <w:p w14:paraId="6891F03F" w14:textId="2B8C0250" w:rsidR="00AB7140" w:rsidRPr="00B70B9C" w:rsidRDefault="00AB7140" w:rsidP="00A15942">
            <w:pPr>
              <w:ind w:firstLine="33"/>
            </w:pPr>
            <w:r>
              <w:t>Natasha Ranatunga (EDF)</w:t>
            </w:r>
          </w:p>
        </w:tc>
        <w:tc>
          <w:tcPr>
            <w:tcW w:w="4678" w:type="dxa"/>
            <w:vMerge/>
          </w:tcPr>
          <w:p w14:paraId="41BA9853" w14:textId="77777777" w:rsidR="00AB7140" w:rsidRPr="00476123" w:rsidRDefault="00AB7140" w:rsidP="00A15942">
            <w:pPr>
              <w:ind w:firstLine="33"/>
              <w:rPr>
                <w:lang w:val="de-AT"/>
              </w:rPr>
            </w:pPr>
          </w:p>
        </w:tc>
      </w:tr>
    </w:tbl>
    <w:p w14:paraId="4486309C" w14:textId="6B03A2A4" w:rsidR="00436874" w:rsidRDefault="00436874" w:rsidP="005A5207">
      <w:pPr>
        <w:pStyle w:val="Heading1"/>
      </w:pPr>
      <w:r>
        <w:t>Apologies</w:t>
      </w:r>
    </w:p>
    <w:tbl>
      <w:tblPr>
        <w:tblW w:w="8930" w:type="dxa"/>
        <w:tblInd w:w="534" w:type="dxa"/>
        <w:tblLook w:val="01E0" w:firstRow="1" w:lastRow="1" w:firstColumn="1" w:lastColumn="1" w:noHBand="0" w:noVBand="0"/>
      </w:tblPr>
      <w:tblGrid>
        <w:gridCol w:w="4394"/>
        <w:gridCol w:w="4536"/>
      </w:tblGrid>
      <w:tr w:rsidR="007C643D" w14:paraId="14DB0FE9" w14:textId="77777777" w:rsidTr="00AC486A">
        <w:tc>
          <w:tcPr>
            <w:tcW w:w="4394" w:type="dxa"/>
          </w:tcPr>
          <w:p w14:paraId="6C3CB754" w14:textId="2ED3DA3B" w:rsidR="007C643D" w:rsidRDefault="007C643D" w:rsidP="005C7D3B">
            <w:pPr>
              <w:ind w:firstLine="33"/>
            </w:pPr>
            <w:r>
              <w:t>Lee Bowerbank (Exxon)</w:t>
            </w:r>
          </w:p>
        </w:tc>
        <w:tc>
          <w:tcPr>
            <w:tcW w:w="4536" w:type="dxa"/>
          </w:tcPr>
          <w:p w14:paraId="7052001B" w14:textId="3B900C96" w:rsidR="007C643D" w:rsidRDefault="00E32434" w:rsidP="005C7D3B">
            <w:pPr>
              <w:ind w:firstLine="33"/>
            </w:pPr>
            <w:r w:rsidRPr="00B70B9C">
              <w:t>Ricky Hill (Centrica)</w:t>
            </w:r>
          </w:p>
        </w:tc>
      </w:tr>
      <w:tr w:rsidR="007C643D" w14:paraId="04168419" w14:textId="77777777" w:rsidTr="00AC486A">
        <w:tc>
          <w:tcPr>
            <w:tcW w:w="4394" w:type="dxa"/>
          </w:tcPr>
          <w:p w14:paraId="32FE1A1D" w14:textId="6919614F" w:rsidR="007C643D" w:rsidRDefault="007C643D" w:rsidP="005C7D3B">
            <w:pPr>
              <w:ind w:firstLine="33"/>
            </w:pPr>
            <w:r>
              <w:t>Julie Cox (EnergyUK)</w:t>
            </w:r>
          </w:p>
        </w:tc>
        <w:tc>
          <w:tcPr>
            <w:tcW w:w="4536" w:type="dxa"/>
          </w:tcPr>
          <w:p w14:paraId="593C946A" w14:textId="203F9F1A" w:rsidR="007C643D" w:rsidRDefault="00E32434" w:rsidP="005C7D3B">
            <w:pPr>
              <w:ind w:firstLine="33"/>
            </w:pPr>
            <w:r w:rsidRPr="00B70B9C">
              <w:t>Andrew Pearce (BP Gas Marketing Ltd),)</w:t>
            </w:r>
          </w:p>
        </w:tc>
      </w:tr>
      <w:tr w:rsidR="007C643D" w14:paraId="1925EF8E" w14:textId="77777777" w:rsidTr="00AC486A">
        <w:tc>
          <w:tcPr>
            <w:tcW w:w="4394" w:type="dxa"/>
          </w:tcPr>
          <w:p w14:paraId="6ED66189" w14:textId="43C75C4C" w:rsidR="007C643D" w:rsidRDefault="00E32434" w:rsidP="005C7D3B">
            <w:pPr>
              <w:ind w:firstLine="33"/>
            </w:pPr>
            <w:r w:rsidRPr="00B70B9C">
              <w:t>David Cox (London Energy Consulting Ltd)</w:t>
            </w:r>
          </w:p>
        </w:tc>
        <w:tc>
          <w:tcPr>
            <w:tcW w:w="4536" w:type="dxa"/>
          </w:tcPr>
          <w:p w14:paraId="3168B64A" w14:textId="14AD06A1" w:rsidR="007C643D" w:rsidRDefault="00E32434" w:rsidP="00B70B9C">
            <w:pPr>
              <w:ind w:firstLine="33"/>
            </w:pPr>
            <w:r>
              <w:t>Nigel Sisman (Sisman Energy Consultancy)</w:t>
            </w:r>
          </w:p>
        </w:tc>
      </w:tr>
      <w:tr w:rsidR="007C643D" w14:paraId="01E4B8DE" w14:textId="77777777" w:rsidTr="00AC486A">
        <w:tc>
          <w:tcPr>
            <w:tcW w:w="4394" w:type="dxa"/>
          </w:tcPr>
          <w:p w14:paraId="5F63D6AD" w14:textId="4CE3F839" w:rsidR="007C643D" w:rsidRDefault="00E32434" w:rsidP="005C7D3B">
            <w:pPr>
              <w:ind w:firstLine="33"/>
            </w:pPr>
            <w:r>
              <w:t>Gareth Davies (Statoil)</w:t>
            </w:r>
          </w:p>
        </w:tc>
        <w:tc>
          <w:tcPr>
            <w:tcW w:w="4536" w:type="dxa"/>
          </w:tcPr>
          <w:p w14:paraId="142F9E9D" w14:textId="0A3978F5" w:rsidR="007C643D" w:rsidRDefault="00E32434" w:rsidP="005C7D3B">
            <w:pPr>
              <w:ind w:firstLine="33"/>
            </w:pPr>
            <w:r>
              <w:t>Ofgem: Victoria Volossov</w:t>
            </w:r>
          </w:p>
        </w:tc>
      </w:tr>
      <w:tr w:rsidR="00E32434" w14:paraId="1BAB2B15" w14:textId="77777777" w:rsidTr="00AC486A">
        <w:tc>
          <w:tcPr>
            <w:tcW w:w="4394" w:type="dxa"/>
          </w:tcPr>
          <w:p w14:paraId="19F2FB91" w14:textId="7DD3343F" w:rsidR="00E32434" w:rsidRDefault="00E32434" w:rsidP="005C7D3B">
            <w:pPr>
              <w:ind w:firstLine="33"/>
            </w:pPr>
            <w:r>
              <w:t>Richard Fairholme (Eon)</w:t>
            </w:r>
          </w:p>
        </w:tc>
        <w:tc>
          <w:tcPr>
            <w:tcW w:w="4536" w:type="dxa"/>
          </w:tcPr>
          <w:p w14:paraId="19A9A1A6" w14:textId="2C83AFA8" w:rsidR="00E32434" w:rsidRDefault="00E32434" w:rsidP="005C7D3B">
            <w:pPr>
              <w:ind w:firstLine="33"/>
            </w:pPr>
            <w:r w:rsidRPr="00476123">
              <w:rPr>
                <w:lang w:val="de-AT"/>
              </w:rPr>
              <w:t xml:space="preserve">CEPA/TPA: </w:t>
            </w:r>
            <w:r>
              <w:rPr>
                <w:lang w:val="de-AT"/>
              </w:rPr>
              <w:t>Andrei Vladareanu</w:t>
            </w:r>
          </w:p>
        </w:tc>
      </w:tr>
    </w:tbl>
    <w:p w14:paraId="67614D81" w14:textId="77777777" w:rsidR="00B70B9C" w:rsidRDefault="00B70B9C" w:rsidP="00B70B9C"/>
    <w:p w14:paraId="0E9737CB" w14:textId="29F9669B" w:rsidR="005A5207" w:rsidRPr="005A5207" w:rsidRDefault="00061EF5" w:rsidP="005A5207">
      <w:pPr>
        <w:pStyle w:val="Heading1"/>
      </w:pPr>
      <w:r>
        <w:t>Role of the group</w:t>
      </w:r>
    </w:p>
    <w:p w14:paraId="622EE11F" w14:textId="74C26919" w:rsidR="00E419DA" w:rsidRPr="00902A7D" w:rsidRDefault="00061EF5" w:rsidP="00902A7D">
      <w:pPr>
        <w:pStyle w:val="Paragraphnumbered"/>
      </w:pPr>
      <w:r w:rsidRPr="00902A7D">
        <w:t xml:space="preserve">Judith Ross (JR) reminded the group of its function and its place in the wider GTCR </w:t>
      </w:r>
      <w:r w:rsidR="00A03833">
        <w:t>project</w:t>
      </w:r>
      <w:r w:rsidRPr="00902A7D">
        <w:t xml:space="preserve"> in light of questions following the first working group. </w:t>
      </w:r>
      <w:r w:rsidR="0046313C" w:rsidRPr="00902A7D">
        <w:t>She reminded the group that the consultants’ modelling is an input to the review and not of itself there to provide final answers. She also stated that this is not a decision making group and nothing said by attendees will be taken as committing them to a position on behalf of their company or the people they represent.</w:t>
      </w:r>
      <w:r w:rsidR="00C154FF" w:rsidRPr="00902A7D">
        <w:t xml:space="preserve"> JR reasserted that a report written by industry would be useful to capture the discussions ahead of further consultation on the impact assessment. </w:t>
      </w:r>
    </w:p>
    <w:p w14:paraId="77FED8B5" w14:textId="7F138CE4" w:rsidR="0046313C" w:rsidRPr="00902A7D" w:rsidRDefault="00C154FF" w:rsidP="00902A7D">
      <w:pPr>
        <w:pStyle w:val="Paragraphnumbered"/>
      </w:pPr>
      <w:r w:rsidRPr="00902A7D">
        <w:t xml:space="preserve">JR confirmed that the status quo (ie fixed charges at all points) is the starting point against which the impact of other options will be modelled. </w:t>
      </w:r>
      <w:r w:rsidR="006524ED" w:rsidRPr="00902A7D">
        <w:t>The impact assessment will consider wider issues such as impacts on investment, cross-border flows, sustainability etc. The relatively narrow scope of the modelling is a necessary first step to feed into this wider review.</w:t>
      </w:r>
    </w:p>
    <w:p w14:paraId="6C8D6659" w14:textId="7158AEE4" w:rsidR="00C154FF" w:rsidRPr="00902A7D" w:rsidRDefault="00C154FF" w:rsidP="00902A7D">
      <w:pPr>
        <w:pStyle w:val="Paragraphnumbered"/>
      </w:pPr>
      <w:r w:rsidRPr="00902A7D">
        <w:t>The timing of the review is driven by the plan for the Tariff Network Code to go to comitology in Q1 of 2015. This review is crucia</w:t>
      </w:r>
      <w:r w:rsidR="006524ED" w:rsidRPr="00902A7D">
        <w:t xml:space="preserve">l for feeding into that process. While some attendees did not share the same view of timings, JR stated that we cannot plan on comitology being delayed. Work post-2014 will depend on the conclusions of this </w:t>
      </w:r>
      <w:r w:rsidR="006524ED" w:rsidRPr="00902A7D">
        <w:lastRenderedPageBreak/>
        <w:t>review. Ofgem will be able to give a clearer position on the post-2014 process later this year.</w:t>
      </w:r>
    </w:p>
    <w:p w14:paraId="7DE524FC" w14:textId="40848FCF" w:rsidR="006524ED" w:rsidRPr="00902A7D" w:rsidRDefault="009C0B40" w:rsidP="00902A7D">
      <w:pPr>
        <w:pStyle w:val="Paragraphnumbered"/>
      </w:pPr>
      <w:r w:rsidRPr="00902A7D">
        <w:t>In response to a q</w:t>
      </w:r>
      <w:r w:rsidR="006524ED" w:rsidRPr="00902A7D">
        <w:t>uestion about publishing comments</w:t>
      </w:r>
      <w:r w:rsidRPr="00902A7D">
        <w:t xml:space="preserve"> received</w:t>
      </w:r>
      <w:r w:rsidR="006524ED" w:rsidRPr="00902A7D">
        <w:t xml:space="preserve"> </w:t>
      </w:r>
      <w:r w:rsidRPr="00902A7D">
        <w:t xml:space="preserve">by stakeholders </w:t>
      </w:r>
      <w:r w:rsidR="006524ED" w:rsidRPr="00902A7D">
        <w:t xml:space="preserve">on </w:t>
      </w:r>
      <w:r w:rsidRPr="00902A7D">
        <w:t xml:space="preserve">the GTCR </w:t>
      </w:r>
      <w:r w:rsidR="006524ED" w:rsidRPr="00902A7D">
        <w:t>website</w:t>
      </w:r>
      <w:r w:rsidRPr="00902A7D">
        <w:t>, Ofgem replied that it plans to</w:t>
      </w:r>
      <w:r w:rsidR="00A03833">
        <w:t xml:space="preserve"> publish </w:t>
      </w:r>
      <w:r w:rsidR="00561DC9">
        <w:t xml:space="preserve">all </w:t>
      </w:r>
      <w:r w:rsidR="00A03833">
        <w:t>comments</w:t>
      </w:r>
      <w:r w:rsidR="00561DC9">
        <w:t>. Where the respondent has marked their comment as confidential, it will be</w:t>
      </w:r>
      <w:r w:rsidRPr="00902A7D">
        <w:t xml:space="preserve"> anonymised. Ofgem anticipates that any such comments will also be picked up in the industry-led report that summarises these discussions. </w:t>
      </w:r>
    </w:p>
    <w:p w14:paraId="5387845E" w14:textId="4E7279F8" w:rsidR="0046313C" w:rsidRPr="00902A7D" w:rsidRDefault="0046313C" w:rsidP="00902A7D">
      <w:pPr>
        <w:pStyle w:val="Paragraphnumbered"/>
      </w:pPr>
      <w:r w:rsidRPr="00902A7D">
        <w:t xml:space="preserve">In light of concerns with timing of meetings, </w:t>
      </w:r>
      <w:r w:rsidR="00A03833">
        <w:t>Ofgem has</w:t>
      </w:r>
      <w:r w:rsidRPr="00902A7D">
        <w:t xml:space="preserve"> re-scheduled the third and fourth meetings which will now be taking</w:t>
      </w:r>
      <w:r w:rsidR="006524ED" w:rsidRPr="00902A7D">
        <w:t xml:space="preserve"> place at Millbank from 10-12h on 30 July and </w:t>
      </w:r>
      <w:r w:rsidR="00A03833">
        <w:t xml:space="preserve">10-12h on </w:t>
      </w:r>
      <w:r w:rsidR="006524ED" w:rsidRPr="00902A7D">
        <w:t>20 August.</w:t>
      </w:r>
    </w:p>
    <w:tbl>
      <w:tblPr>
        <w:tblW w:w="9498" w:type="dxa"/>
        <w:tblInd w:w="-34" w:type="dxa"/>
        <w:tblLook w:val="01E0" w:firstRow="1" w:lastRow="1" w:firstColumn="1" w:lastColumn="1" w:noHBand="0" w:noVBand="0"/>
      </w:tblPr>
      <w:tblGrid>
        <w:gridCol w:w="7513"/>
        <w:gridCol w:w="1985"/>
      </w:tblGrid>
      <w:tr w:rsidR="00184ECF" w14:paraId="12675EFB" w14:textId="77777777" w:rsidTr="00A15942">
        <w:tc>
          <w:tcPr>
            <w:tcW w:w="7513" w:type="dxa"/>
          </w:tcPr>
          <w:p w14:paraId="3B7F41CC" w14:textId="77777777" w:rsidR="00184ECF" w:rsidRPr="00A15942" w:rsidRDefault="00184ECF" w:rsidP="00A15942">
            <w:pPr>
              <w:ind w:firstLine="33"/>
              <w:rPr>
                <w:b/>
              </w:rPr>
            </w:pPr>
            <w:r w:rsidRPr="00A15942">
              <w:rPr>
                <w:b/>
              </w:rPr>
              <w:t>Action</w:t>
            </w:r>
          </w:p>
        </w:tc>
        <w:tc>
          <w:tcPr>
            <w:tcW w:w="1985" w:type="dxa"/>
          </w:tcPr>
          <w:p w14:paraId="1C0BF94A" w14:textId="77777777" w:rsidR="00184ECF" w:rsidRPr="00A15942" w:rsidRDefault="00184ECF" w:rsidP="00A15942">
            <w:pPr>
              <w:ind w:firstLine="33"/>
              <w:rPr>
                <w:b/>
              </w:rPr>
            </w:pPr>
            <w:r w:rsidRPr="00A15942">
              <w:rPr>
                <w:b/>
              </w:rPr>
              <w:t xml:space="preserve">Person </w:t>
            </w:r>
            <w:r w:rsidR="008B39EE" w:rsidRPr="00A15942">
              <w:rPr>
                <w:b/>
              </w:rPr>
              <w:t>–</w:t>
            </w:r>
            <w:r w:rsidRPr="00A15942">
              <w:rPr>
                <w:b/>
              </w:rPr>
              <w:t xml:space="preserve"> By</w:t>
            </w:r>
          </w:p>
        </w:tc>
      </w:tr>
      <w:tr w:rsidR="00184ECF" w14:paraId="54518DF7" w14:textId="77777777" w:rsidTr="00A15942">
        <w:tc>
          <w:tcPr>
            <w:tcW w:w="7513" w:type="dxa"/>
          </w:tcPr>
          <w:p w14:paraId="22B38785" w14:textId="5D69A4A3" w:rsidR="00184ECF" w:rsidRDefault="00A02E15" w:rsidP="0046313C">
            <w:pPr>
              <w:ind w:firstLine="33"/>
            </w:pPr>
            <w:r>
              <w:t xml:space="preserve">Please let us know if you are able to attend meetings on: </w:t>
            </w:r>
            <w:r w:rsidR="0046313C">
              <w:t>30</w:t>
            </w:r>
            <w:r>
              <w:t xml:space="preserve"> July am; 2</w:t>
            </w:r>
            <w:r w:rsidR="0046313C">
              <w:t>0</w:t>
            </w:r>
            <w:r>
              <w:t xml:space="preserve"> August am, specifying your availability for each date. Email </w:t>
            </w:r>
            <w:hyperlink r:id="rId14" w:history="1">
              <w:r w:rsidRPr="002507FF">
                <w:rPr>
                  <w:rStyle w:val="Hyperlink"/>
                </w:rPr>
                <w:t>Gas.TransmissionResponse@ofgem.gov.uk</w:t>
              </w:r>
            </w:hyperlink>
            <w:r>
              <w:t>.</w:t>
            </w:r>
          </w:p>
        </w:tc>
        <w:tc>
          <w:tcPr>
            <w:tcW w:w="1985" w:type="dxa"/>
          </w:tcPr>
          <w:p w14:paraId="5C62C5F7" w14:textId="16F076DF" w:rsidR="00184ECF" w:rsidRDefault="00A02E15" w:rsidP="0046313C">
            <w:pPr>
              <w:ind w:firstLine="33"/>
            </w:pPr>
            <w:r>
              <w:t xml:space="preserve">All – by </w:t>
            </w:r>
            <w:r w:rsidR="0046313C">
              <w:t>25</w:t>
            </w:r>
            <w:r>
              <w:t xml:space="preserve"> July</w:t>
            </w:r>
          </w:p>
        </w:tc>
      </w:tr>
    </w:tbl>
    <w:p w14:paraId="57C01286" w14:textId="2372082C" w:rsidR="00CE63AD" w:rsidRDefault="009C0B40" w:rsidP="00CE63AD">
      <w:pPr>
        <w:pStyle w:val="Heading1"/>
      </w:pPr>
      <w:r>
        <w:t>Tariff modelling</w:t>
      </w:r>
    </w:p>
    <w:p w14:paraId="7E9377B1" w14:textId="33667F51" w:rsidR="001D59FB" w:rsidRDefault="00902A7D" w:rsidP="001D59FB">
      <w:pPr>
        <w:pStyle w:val="Paragraphnumbered"/>
      </w:pPr>
      <w:r>
        <w:t xml:space="preserve">Debra </w:t>
      </w:r>
      <w:r w:rsidR="00561DC9">
        <w:t xml:space="preserve">Hawkin </w:t>
      </w:r>
      <w:r>
        <w:t>(D</w:t>
      </w:r>
      <w:r w:rsidR="00561DC9">
        <w:t>H</w:t>
      </w:r>
      <w:r>
        <w:t>)</w:t>
      </w:r>
      <w:r w:rsidR="00D53241">
        <w:t>, with input from Patrick Taylor (PT),</w:t>
      </w:r>
      <w:r>
        <w:t xml:space="preserve"> presented the Tariff Modelling slides from the presentation circulated prior to the meeting and </w:t>
      </w:r>
      <w:r w:rsidR="001D59FB">
        <w:t>available on the GTCR website.</w:t>
      </w:r>
      <w:r w:rsidR="00D53241">
        <w:t xml:space="preserve"> In short, the group agreed with all of the proposed treatments of different areas of the modelling. What follows is a summary of the key discussion points for each component. </w:t>
      </w:r>
    </w:p>
    <w:p w14:paraId="65341E35" w14:textId="5F2F7D00" w:rsidR="00BC1327" w:rsidRDefault="00BC1327" w:rsidP="00CE63AD">
      <w:pPr>
        <w:pStyle w:val="Paragraphnumbered"/>
      </w:pPr>
      <w:r>
        <w:t xml:space="preserve">General discussion of the tariff model included: </w:t>
      </w:r>
    </w:p>
    <w:p w14:paraId="5E8BE0F1" w14:textId="49B369A0" w:rsidR="00BC1327" w:rsidRDefault="00BC1327" w:rsidP="00BC1327">
      <w:pPr>
        <w:pStyle w:val="Paragraphnumbered"/>
        <w:numPr>
          <w:ilvl w:val="1"/>
          <w:numId w:val="22"/>
        </w:numPr>
      </w:pPr>
      <w:r>
        <w:t>confirmation that the billings data underlying the model is on an individual basis but will be anonymised prior to sharing/publication</w:t>
      </w:r>
      <w:r w:rsidR="00A03833">
        <w:t>;</w:t>
      </w:r>
      <w:r>
        <w:t xml:space="preserve"> </w:t>
      </w:r>
    </w:p>
    <w:p w14:paraId="6526566E" w14:textId="12C07138" w:rsidR="00BC1327" w:rsidRDefault="00A03833" w:rsidP="00BC1327">
      <w:pPr>
        <w:pStyle w:val="Paragraphnumbered"/>
        <w:numPr>
          <w:ilvl w:val="1"/>
          <w:numId w:val="22"/>
        </w:numPr>
      </w:pPr>
      <w:r>
        <w:t xml:space="preserve">the model </w:t>
      </w:r>
      <w:r w:rsidR="00BC1327">
        <w:t>will run for each year out to 2030</w:t>
      </w:r>
      <w:r>
        <w:t>;</w:t>
      </w:r>
      <w:r w:rsidR="00BC1327">
        <w:t xml:space="preserve"> </w:t>
      </w:r>
    </w:p>
    <w:p w14:paraId="37B48FD6" w14:textId="32757E1F" w:rsidR="00BC1327" w:rsidRDefault="00A03833" w:rsidP="00BC1327">
      <w:pPr>
        <w:pStyle w:val="Paragraphnumbered"/>
        <w:numPr>
          <w:ilvl w:val="1"/>
          <w:numId w:val="22"/>
        </w:numPr>
      </w:pPr>
      <w:r>
        <w:t>i</w:t>
      </w:r>
      <w:r w:rsidR="00BC1327">
        <w:t xml:space="preserve">t will predict flows </w:t>
      </w:r>
      <w:r w:rsidR="00E32434">
        <w:t xml:space="preserve">from </w:t>
      </w:r>
      <w:r w:rsidR="00BC1327">
        <w:t xml:space="preserve">entry points but assumes flows </w:t>
      </w:r>
      <w:r w:rsidR="00E32434">
        <w:t xml:space="preserve">to </w:t>
      </w:r>
      <w:r w:rsidR="00BC1327">
        <w:t xml:space="preserve">exit points </w:t>
      </w:r>
      <w:r w:rsidR="00E32434">
        <w:t>are</w:t>
      </w:r>
      <w:r w:rsidR="00BC1327">
        <w:t xml:space="preserve"> unchanged</w:t>
      </w:r>
      <w:r>
        <w:t xml:space="preserve">; </w:t>
      </w:r>
    </w:p>
    <w:p w14:paraId="5ECCD193" w14:textId="4AB9534A" w:rsidR="001D59FB" w:rsidRDefault="00A03833" w:rsidP="00BC1327">
      <w:pPr>
        <w:pStyle w:val="Paragraphnumbered"/>
        <w:numPr>
          <w:ilvl w:val="1"/>
          <w:numId w:val="22"/>
        </w:numPr>
      </w:pPr>
      <w:r>
        <w:t>i</w:t>
      </w:r>
      <w:r w:rsidR="00BC1327">
        <w:t xml:space="preserve">t will measure against the base case of the current structure of bookings today. </w:t>
      </w:r>
    </w:p>
    <w:p w14:paraId="6AC2145C" w14:textId="65156665" w:rsidR="00BC1327" w:rsidRDefault="00C819A0" w:rsidP="00CE63AD">
      <w:pPr>
        <w:pStyle w:val="Paragraphnumbered"/>
      </w:pPr>
      <w:r>
        <w:t xml:space="preserve">For the </w:t>
      </w:r>
      <w:r w:rsidRPr="00635F92">
        <w:rPr>
          <w:b/>
        </w:rPr>
        <w:t>calculation of floating price</w:t>
      </w:r>
      <w:r>
        <w:t xml:space="preserve"> </w:t>
      </w:r>
      <w:r w:rsidR="008B4E4F">
        <w:t>t</w:t>
      </w:r>
      <w:r>
        <w:t xml:space="preserve">he group acknowledge that multiplying adjusted long-run marginal cost (LRMC) </w:t>
      </w:r>
      <w:r w:rsidR="008B4E4F">
        <w:t xml:space="preserve">by forecast (rather than obligated) levels of supply </w:t>
      </w:r>
      <w:r>
        <w:t>will get closer to allowed revenue</w:t>
      </w:r>
      <w:r w:rsidR="008B4E4F">
        <w:t>,</w:t>
      </w:r>
      <w:r>
        <w:t xml:space="preserve"> albeit will be unable to reach that figure exactly. </w:t>
      </w:r>
    </w:p>
    <w:p w14:paraId="4E208A5F" w14:textId="616422D7" w:rsidR="00C819A0" w:rsidRDefault="00635F92" w:rsidP="00CE63AD">
      <w:pPr>
        <w:pStyle w:val="Paragraphnumbered"/>
      </w:pPr>
      <w:r>
        <w:t xml:space="preserve">On the subject of the </w:t>
      </w:r>
      <w:r w:rsidRPr="00635F92">
        <w:rPr>
          <w:b/>
        </w:rPr>
        <w:t>Bacton Split</w:t>
      </w:r>
      <w:r>
        <w:t xml:space="preserve">, the consultants considered that the split between CAM/IC and Non-CAM would be immaterial in identifying the underlying LRMC for Bacton. The impact assessment will consider the differential impact on the two entry points. The impact on CAM </w:t>
      </w:r>
      <w:r w:rsidR="00E32434">
        <w:t>could</w:t>
      </w:r>
      <w:r w:rsidR="007F2EDF">
        <w:t>, for example,</w:t>
      </w:r>
      <w:r>
        <w:t xml:space="preserve"> be based on the revenue-adjusted charge whereas</w:t>
      </w:r>
      <w:r w:rsidR="00A03833">
        <w:t xml:space="preserve"> the impact on</w:t>
      </w:r>
      <w:r>
        <w:t xml:space="preserve"> non-CAM </w:t>
      </w:r>
      <w:r w:rsidR="00E32434">
        <w:t>could</w:t>
      </w:r>
      <w:r>
        <w:t xml:space="preserve"> be based on a non-revenue-adjusted charge plus a commodity charge.</w:t>
      </w:r>
    </w:p>
    <w:p w14:paraId="0FFA3DD2" w14:textId="7D22B9C5" w:rsidR="00635F92" w:rsidRDefault="00635F92" w:rsidP="00CE63AD">
      <w:pPr>
        <w:pStyle w:val="Paragraphnumbered"/>
      </w:pPr>
      <w:r>
        <w:t xml:space="preserve">While the </w:t>
      </w:r>
      <w:r w:rsidRPr="003B6960">
        <w:rPr>
          <w:b/>
        </w:rPr>
        <w:t>inflation</w:t>
      </w:r>
      <w:r>
        <w:t xml:space="preserve"> rate applied can be changed</w:t>
      </w:r>
      <w:r w:rsidR="00A03833">
        <w:t xml:space="preserve"> in the model</w:t>
      </w:r>
      <w:r>
        <w:t xml:space="preserve">, the consultants’ are keen to establish a starting point. They propose to use the </w:t>
      </w:r>
      <w:r w:rsidR="003B6960">
        <w:t xml:space="preserve">RIIO-T1 RPI figures for NGG, with </w:t>
      </w:r>
      <w:r w:rsidR="00A03833">
        <w:t xml:space="preserve">a forecast </w:t>
      </w:r>
      <w:r w:rsidR="003B6960">
        <w:t>for future years, likely based on 2.5% per annum. The impact of the Tariff Network Code on existing contracts is as yet uncertain. The model will include three options for applying the inflation rate:</w:t>
      </w:r>
    </w:p>
    <w:p w14:paraId="27D7B039" w14:textId="0D0FC42D" w:rsidR="003B6960" w:rsidRDefault="00A03833" w:rsidP="003B6960">
      <w:pPr>
        <w:pStyle w:val="Paragraphnumbered"/>
        <w:numPr>
          <w:ilvl w:val="1"/>
          <w:numId w:val="23"/>
        </w:numPr>
      </w:pPr>
      <w:r>
        <w:t xml:space="preserve">only </w:t>
      </w:r>
      <w:r w:rsidR="003B6960">
        <w:t>applied to new contracts</w:t>
      </w:r>
      <w:r>
        <w:t>;</w:t>
      </w:r>
    </w:p>
    <w:p w14:paraId="7008FE92" w14:textId="62607D0C" w:rsidR="003B6960" w:rsidRDefault="00A03833" w:rsidP="003B6960">
      <w:pPr>
        <w:pStyle w:val="Paragraphnumbered"/>
        <w:numPr>
          <w:ilvl w:val="1"/>
          <w:numId w:val="23"/>
        </w:numPr>
      </w:pPr>
      <w:r>
        <w:lastRenderedPageBreak/>
        <w:t>a</w:t>
      </w:r>
      <w:r w:rsidR="003B6960">
        <w:t>pply to all contracts as if new (ie existing contracts going forward)</w:t>
      </w:r>
      <w:r w:rsidR="004A269C">
        <w:t>;</w:t>
      </w:r>
    </w:p>
    <w:p w14:paraId="3C50BA3A" w14:textId="5C1E0648" w:rsidR="003B6960" w:rsidRDefault="004A269C" w:rsidP="003B6960">
      <w:pPr>
        <w:pStyle w:val="Paragraphnumbered"/>
        <w:numPr>
          <w:ilvl w:val="1"/>
          <w:numId w:val="23"/>
        </w:numPr>
      </w:pPr>
      <w:r>
        <w:t>a</w:t>
      </w:r>
      <w:r w:rsidR="003B6960">
        <w:t>pply to all contracts from date signed (ie existing contracts retrospectively and prospectively).</w:t>
      </w:r>
    </w:p>
    <w:p w14:paraId="7290EBE9" w14:textId="26CB61F7" w:rsidR="002019A5" w:rsidRDefault="004D7E5E" w:rsidP="00CE63AD">
      <w:pPr>
        <w:pStyle w:val="Paragraphnumbered"/>
      </w:pPr>
      <w:r>
        <w:t xml:space="preserve">The group discussed the prospect that moving from ‘pay-as-booked’ to retrospective inflation has the potential to undermine confidence. It was noted that, in Germany, the shipper can terminate a contract if the floating charge rises above inflation. The group discussed the possibility of modelling a scenario with no existing contracts, an idea that the consultants will consider if it will be possible/helpful to model. Ofgem reiterated that the functionality of the model </w:t>
      </w:r>
      <w:r w:rsidR="004A269C">
        <w:t>will</w:t>
      </w:r>
      <w:r>
        <w:t xml:space="preserve"> not prejudge the outcome of the policy review. Ofgem will consider implementation and other wider issues as part of a full impact assessment. </w:t>
      </w:r>
    </w:p>
    <w:p w14:paraId="5541E5CB" w14:textId="6AD3091D" w:rsidR="004D7E5E" w:rsidRDefault="00066C79" w:rsidP="00CE63AD">
      <w:pPr>
        <w:pStyle w:val="Paragraphnumbered"/>
      </w:pPr>
      <w:r>
        <w:t xml:space="preserve">The discussion of </w:t>
      </w:r>
      <w:r w:rsidRPr="004A269C">
        <w:rPr>
          <w:b/>
        </w:rPr>
        <w:t>discounts</w:t>
      </w:r>
      <w:r>
        <w:t xml:space="preserve"> considered some rules in existing tariff codes as a possible starting point. There is the potential for higher multipl</w:t>
      </w:r>
      <w:r w:rsidR="004A269C">
        <w:t>i</w:t>
      </w:r>
      <w:r>
        <w:t>e</w:t>
      </w:r>
      <w:r w:rsidR="004A269C">
        <w:t>r</w:t>
      </w:r>
      <w:r>
        <w:t>s with fewer bookings. Extreme multipl</w:t>
      </w:r>
      <w:r w:rsidR="004A269C">
        <w:t>i</w:t>
      </w:r>
      <w:r>
        <w:t>e</w:t>
      </w:r>
      <w:r w:rsidR="004A269C">
        <w:t>r</w:t>
      </w:r>
      <w:r>
        <w:t xml:space="preserve">s will be a good test of the robustness of the model. The model will have functionality for </w:t>
      </w:r>
      <w:r w:rsidR="001C3207">
        <w:t>multipliers</w:t>
      </w:r>
      <w:r>
        <w:t xml:space="preserve"> to be applied to fixed and floating charges but the consultants’ are not considering seasonal options. </w:t>
      </w:r>
      <w:r w:rsidR="001C3207">
        <w:t>The multiplier functionality will be flexible but there should be a rationale for the multipliers ultimately considered in the impact assessment, including one of &lt;1 for interruptible capacity.</w:t>
      </w:r>
    </w:p>
    <w:p w14:paraId="0080FBD0" w14:textId="61CE0AF8" w:rsidR="009865A7" w:rsidRDefault="000B213F" w:rsidP="00CE63AD">
      <w:pPr>
        <w:pStyle w:val="Paragraphnumbered"/>
      </w:pPr>
      <w:r w:rsidRPr="000B213F">
        <w:t xml:space="preserve">The consultants </w:t>
      </w:r>
      <w:r>
        <w:t xml:space="preserve">set out a number of reasons not to model </w:t>
      </w:r>
      <w:r w:rsidRPr="00AC486A">
        <w:rPr>
          <w:b/>
        </w:rPr>
        <w:t>short-haul</w:t>
      </w:r>
      <w:r>
        <w:t xml:space="preserve"> tariffs as part of this project. It was also noted as part of the discussion that s</w:t>
      </w:r>
      <w:r w:rsidR="009865A7" w:rsidRPr="00AC486A">
        <w:t>hort-haul</w:t>
      </w:r>
      <w:r w:rsidR="009865A7">
        <w:t xml:space="preserve"> will affect the SO charge so </w:t>
      </w:r>
      <w:r w:rsidR="004A269C">
        <w:t xml:space="preserve">the impact </w:t>
      </w:r>
      <w:r>
        <w:t xml:space="preserve">of short-haul should be </w:t>
      </w:r>
      <w:r w:rsidR="009865A7">
        <w:t xml:space="preserve">consistent across the policy options. The consultants’ will </w:t>
      </w:r>
      <w:r w:rsidR="00561DC9">
        <w:t>take account of</w:t>
      </w:r>
      <w:r w:rsidR="009865A7">
        <w:t xml:space="preserve"> short-haul in the price responsiveness of interconnectors</w:t>
      </w:r>
      <w:r w:rsidR="00561DC9">
        <w:t xml:space="preserve">; </w:t>
      </w:r>
      <w:r w:rsidR="00112CBD">
        <w:t>modelling of tariffs</w:t>
      </w:r>
      <w:r>
        <w:t>, however,</w:t>
      </w:r>
      <w:r w:rsidR="00561DC9">
        <w:t xml:space="preserve"> will exclude short-haul</w:t>
      </w:r>
      <w:r w:rsidR="009865A7">
        <w:t xml:space="preserve">. </w:t>
      </w:r>
    </w:p>
    <w:p w14:paraId="42E0DDDC" w14:textId="64A71264" w:rsidR="009865A7" w:rsidRDefault="009865A7" w:rsidP="00CE63AD">
      <w:pPr>
        <w:pStyle w:val="Paragraphnumbered"/>
      </w:pPr>
      <w:r w:rsidRPr="009865A7">
        <w:t>The consultants have welcomed comments received so far (in working groups and over email) and will continue to incorporate in</w:t>
      </w:r>
      <w:r>
        <w:t xml:space="preserve"> their modelling as far a</w:t>
      </w:r>
      <w:r w:rsidR="004A269C">
        <w:t>s</w:t>
      </w:r>
      <w:r>
        <w:t xml:space="preserve"> possible. They are also happy to respond to specific questions. They will take silence on proposals as agreement to proceed as they need to make assumptions to get the first version of the model working. CEPA/TPA will report back on changes to the model that happen as result of responding the comments. </w:t>
      </w:r>
    </w:p>
    <w:tbl>
      <w:tblPr>
        <w:tblW w:w="9498" w:type="dxa"/>
        <w:tblInd w:w="-34" w:type="dxa"/>
        <w:tblLook w:val="01E0" w:firstRow="1" w:lastRow="1" w:firstColumn="1" w:lastColumn="1" w:noHBand="0" w:noVBand="0"/>
      </w:tblPr>
      <w:tblGrid>
        <w:gridCol w:w="7513"/>
        <w:gridCol w:w="1985"/>
      </w:tblGrid>
      <w:tr w:rsidR="00442B86" w14:paraId="667A5AA9" w14:textId="77777777" w:rsidTr="00A03833">
        <w:tc>
          <w:tcPr>
            <w:tcW w:w="7513" w:type="dxa"/>
          </w:tcPr>
          <w:p w14:paraId="05A6E23B" w14:textId="77777777" w:rsidR="00442B86" w:rsidRPr="00A15942" w:rsidRDefault="00442B86" w:rsidP="00A03833">
            <w:pPr>
              <w:ind w:firstLine="33"/>
              <w:rPr>
                <w:b/>
              </w:rPr>
            </w:pPr>
            <w:r w:rsidRPr="00A15942">
              <w:rPr>
                <w:b/>
              </w:rPr>
              <w:t>Action</w:t>
            </w:r>
          </w:p>
        </w:tc>
        <w:tc>
          <w:tcPr>
            <w:tcW w:w="1985" w:type="dxa"/>
          </w:tcPr>
          <w:p w14:paraId="6E419EEA" w14:textId="77777777" w:rsidR="00442B86" w:rsidRPr="00A15942" w:rsidRDefault="00442B86" w:rsidP="00A03833">
            <w:pPr>
              <w:ind w:firstLine="33"/>
              <w:rPr>
                <w:b/>
              </w:rPr>
            </w:pPr>
            <w:r w:rsidRPr="00A15942">
              <w:rPr>
                <w:b/>
              </w:rPr>
              <w:t>Person – By</w:t>
            </w:r>
          </w:p>
        </w:tc>
      </w:tr>
      <w:tr w:rsidR="00442B86" w14:paraId="64A26266" w14:textId="77777777" w:rsidTr="00A03833">
        <w:tc>
          <w:tcPr>
            <w:tcW w:w="7513" w:type="dxa"/>
          </w:tcPr>
          <w:p w14:paraId="7EF4F58F" w14:textId="1CF1648A" w:rsidR="00442B86" w:rsidRDefault="00442B86" w:rsidP="00442B86">
            <w:pPr>
              <w:ind w:firstLine="33"/>
            </w:pPr>
            <w:r>
              <w:t xml:space="preserve">Consultants to consider responses including the possibility of modelling a scenario with no existing bookings. </w:t>
            </w:r>
          </w:p>
        </w:tc>
        <w:tc>
          <w:tcPr>
            <w:tcW w:w="1985" w:type="dxa"/>
          </w:tcPr>
          <w:p w14:paraId="167D6BEF" w14:textId="3A363354" w:rsidR="00442B86" w:rsidRDefault="00442B86" w:rsidP="00167FAD">
            <w:r>
              <w:t>CEPA/TPA – by 25 July</w:t>
            </w:r>
          </w:p>
        </w:tc>
      </w:tr>
      <w:tr w:rsidR="003B3FE0" w14:paraId="74B5B513" w14:textId="77777777" w:rsidTr="00A03833">
        <w:tc>
          <w:tcPr>
            <w:tcW w:w="7513" w:type="dxa"/>
          </w:tcPr>
          <w:p w14:paraId="3EEDE70A" w14:textId="311C2F78" w:rsidR="003B3FE0" w:rsidRPr="003B3FE0" w:rsidRDefault="003B3FE0" w:rsidP="00442B86">
            <w:pPr>
              <w:ind w:firstLine="33"/>
            </w:pPr>
            <w:r w:rsidRPr="00167FAD">
              <w:t>Send CEPA/TPA the inflation figures to use, in line with the Licence</w:t>
            </w:r>
          </w:p>
        </w:tc>
        <w:tc>
          <w:tcPr>
            <w:tcW w:w="1985" w:type="dxa"/>
          </w:tcPr>
          <w:p w14:paraId="47C53CAE" w14:textId="5B679F07" w:rsidR="003B3FE0" w:rsidRDefault="003B3FE0" w:rsidP="00A03833">
            <w:pPr>
              <w:ind w:firstLine="33"/>
            </w:pPr>
            <w:r>
              <w:t>NGG – by 25 July</w:t>
            </w:r>
          </w:p>
        </w:tc>
      </w:tr>
    </w:tbl>
    <w:p w14:paraId="0FB422AA" w14:textId="5C9602A1" w:rsidR="00560C35" w:rsidRDefault="00560C35" w:rsidP="00560C35">
      <w:pPr>
        <w:pStyle w:val="Heading1"/>
      </w:pPr>
      <w:r>
        <w:t>Price</w:t>
      </w:r>
      <w:r w:rsidR="00797961">
        <w:t xml:space="preserve"> </w:t>
      </w:r>
      <w:r>
        <w:t>responsiveness modelling</w:t>
      </w:r>
    </w:p>
    <w:p w14:paraId="2C4A1C33" w14:textId="0D356E5A" w:rsidR="00560C35" w:rsidRDefault="00797961" w:rsidP="00CE63AD">
      <w:pPr>
        <w:pStyle w:val="Paragraphnumbered"/>
      </w:pPr>
      <w:r>
        <w:t>PT ran through the Price Responsiveness Modelling slides from the presentation circulated prior to the meeting and available on the GTCR website. He acknowledge</w:t>
      </w:r>
      <w:r w:rsidR="004A269C">
        <w:t>d</w:t>
      </w:r>
      <w:r>
        <w:t xml:space="preserve"> that for some </w:t>
      </w:r>
      <w:r w:rsidR="004A269C">
        <w:t>supply source</w:t>
      </w:r>
      <w:r>
        <w:t xml:space="preserve">s the price responsiveness </w:t>
      </w:r>
      <w:r w:rsidR="004A269C">
        <w:t>may</w:t>
      </w:r>
      <w:r>
        <w:t xml:space="preserve"> be zero. The key impact will be on those with flexibility e.g. around cross-border flows. The model will examine relativities rather than absolute numbers. The model seeks to identify a manageable number of quantifiable inputs that can never be exhaustive of all factors. </w:t>
      </w:r>
      <w:r w:rsidR="00C864D0">
        <w:t>This modelling will be discussed more extensively at the next working group but some of the key points made</w:t>
      </w:r>
      <w:r w:rsidR="001E4404">
        <w:t xml:space="preserve"> by members of the group</w:t>
      </w:r>
      <w:r w:rsidR="00C864D0">
        <w:t xml:space="preserve"> in the discussion are </w:t>
      </w:r>
      <w:r w:rsidR="004A269C">
        <w:t>listed</w:t>
      </w:r>
      <w:r w:rsidR="00C864D0">
        <w:t xml:space="preserve"> below. </w:t>
      </w:r>
    </w:p>
    <w:p w14:paraId="71C5C775" w14:textId="6479F80A" w:rsidR="00797961" w:rsidRDefault="00797961" w:rsidP="001E4404">
      <w:pPr>
        <w:pStyle w:val="Paragraphnumbered"/>
        <w:numPr>
          <w:ilvl w:val="1"/>
          <w:numId w:val="25"/>
        </w:numPr>
      </w:pPr>
      <w:r>
        <w:t xml:space="preserve">The consultants’ will quantify the opportunity cost at entry points based on different supply sources. The group noted that Bacton </w:t>
      </w:r>
      <w:r w:rsidR="00844747">
        <w:t xml:space="preserve">reserves 10 per </w:t>
      </w:r>
      <w:r w:rsidR="00DA4044">
        <w:t xml:space="preserve">cent </w:t>
      </w:r>
      <w:r w:rsidR="00844747">
        <w:t xml:space="preserve">of capacity to be available short-term (within year). </w:t>
      </w:r>
    </w:p>
    <w:p w14:paraId="24874CB5" w14:textId="6F7C0747" w:rsidR="00844747" w:rsidRDefault="001E4404" w:rsidP="001E4404">
      <w:pPr>
        <w:pStyle w:val="Paragraphnumbered"/>
        <w:numPr>
          <w:ilvl w:val="1"/>
          <w:numId w:val="25"/>
        </w:numPr>
      </w:pPr>
      <w:r>
        <w:t>T</w:t>
      </w:r>
      <w:r w:rsidR="00844747">
        <w:t xml:space="preserve">he need to consider virtual reverse flow at Bacton and Moffat. It was also noted that Norwegian gas can switch flow (ie not just interconnectors can switch). </w:t>
      </w:r>
    </w:p>
    <w:p w14:paraId="27416DC2" w14:textId="3B1047B4" w:rsidR="00844747" w:rsidRDefault="00844747" w:rsidP="001E4404">
      <w:pPr>
        <w:pStyle w:val="Paragraphnumbered"/>
        <w:numPr>
          <w:ilvl w:val="1"/>
          <w:numId w:val="25"/>
        </w:numPr>
      </w:pPr>
      <w:r>
        <w:lastRenderedPageBreak/>
        <w:t xml:space="preserve">The short-term costs will influence arbitrage decisions. </w:t>
      </w:r>
      <w:r w:rsidR="0077789A">
        <w:t>Some participants</w:t>
      </w:r>
      <w:r w:rsidR="00C864D0">
        <w:t xml:space="preserve"> suggested that, with a floating capacity charge, the opportunity for arbitrage </w:t>
      </w:r>
      <w:r w:rsidR="0077789A">
        <w:t xml:space="preserve">may </w:t>
      </w:r>
      <w:r w:rsidR="00C864D0">
        <w:t xml:space="preserve">decrease. Data on historical behaviour should help inform the modelling. </w:t>
      </w:r>
    </w:p>
    <w:p w14:paraId="3D3D0F85" w14:textId="3887B811" w:rsidR="001E4404" w:rsidRDefault="001E4404" w:rsidP="001E4404">
      <w:pPr>
        <w:pStyle w:val="Paragraphnumbered"/>
        <w:numPr>
          <w:ilvl w:val="1"/>
          <w:numId w:val="25"/>
        </w:numPr>
      </w:pPr>
      <w:r>
        <w:t>Arbitrage has a tendency towards short-term booking to avoid missing out on opportunities</w:t>
      </w:r>
      <w:r w:rsidR="00112CBD">
        <w:t xml:space="preserve"> and to manage associated trading risks</w:t>
      </w:r>
      <w:r>
        <w:t xml:space="preserve">. </w:t>
      </w:r>
      <w:r w:rsidR="008C7BF9">
        <w:t>The group commented that e</w:t>
      </w:r>
      <w:r>
        <w:t>ither a significant penalty o</w:t>
      </w:r>
      <w:r w:rsidR="00112CBD">
        <w:t>r</w:t>
      </w:r>
      <w:r>
        <w:t xml:space="preserve"> the threat of a constraint would be needed to change this behaviour. </w:t>
      </w:r>
    </w:p>
    <w:p w14:paraId="4A7BBE37" w14:textId="6D90938F" w:rsidR="00C864D0" w:rsidRDefault="00C864D0" w:rsidP="001E4404">
      <w:pPr>
        <w:pStyle w:val="Paragraphnumbered"/>
        <w:numPr>
          <w:ilvl w:val="1"/>
          <w:numId w:val="25"/>
        </w:numPr>
      </w:pPr>
      <w:r>
        <w:t xml:space="preserve">The impact of bundled capacity at Bacton from 2018 will need to be taken into account. </w:t>
      </w:r>
    </w:p>
    <w:p w14:paraId="14758333" w14:textId="690E571F" w:rsidR="004C16F2" w:rsidRDefault="001E4404" w:rsidP="004C16F2">
      <w:pPr>
        <w:pStyle w:val="Paragraphnumbered"/>
        <w:numPr>
          <w:ilvl w:val="1"/>
          <w:numId w:val="25"/>
        </w:numPr>
      </w:pPr>
      <w:r>
        <w:t xml:space="preserve">The model will be based on the Gone Green NG scenario but with scope to change the inputs to any of the three other scenarios. The IA will look at extremes in terms of the input </w:t>
      </w:r>
      <w:r w:rsidR="008C7BF9">
        <w:t xml:space="preserve">scenario </w:t>
      </w:r>
      <w:r>
        <w:t>to identify the impact of the different scenarios</w:t>
      </w:r>
      <w:r w:rsidR="008C7BF9">
        <w:t xml:space="preserve"> on the modelling results</w:t>
      </w:r>
      <w:r>
        <w:t xml:space="preserve">. It was noted that the scenarios are updated annually. </w:t>
      </w:r>
      <w:r w:rsidR="0077789A">
        <w:t>Some members proposed that all four scenarios national Grid produce should be modelled.</w:t>
      </w:r>
    </w:p>
    <w:p w14:paraId="04175B13" w14:textId="3F6B2B19" w:rsidR="004C16F2" w:rsidRDefault="004C16F2" w:rsidP="00167FAD">
      <w:pPr>
        <w:pStyle w:val="Paragraphnumbered"/>
        <w:numPr>
          <w:ilvl w:val="1"/>
          <w:numId w:val="25"/>
        </w:numPr>
      </w:pPr>
      <w:r>
        <w:t xml:space="preserve">The group noted that Belgium is considering the ZIGMA model. </w:t>
      </w:r>
      <w:r w:rsidR="003B3FE0">
        <w:t xml:space="preserve">One attendee </w:t>
      </w:r>
      <w:r w:rsidR="0077789A">
        <w:t xml:space="preserve">suggested that it was too early to factor in this development, as the particular details of the new arrangement are not yet clear. </w:t>
      </w:r>
      <w:r>
        <w:t>Ofgem reiterated that the IA will look at wider issues tha</w:t>
      </w:r>
      <w:r w:rsidR="00C94766">
        <w:t>n</w:t>
      </w:r>
      <w:r>
        <w:t xml:space="preserve"> this modelling exercise but will not be able to model these wider issues. </w:t>
      </w:r>
      <w:r w:rsidR="00071F0A">
        <w:t>The group noted that some of the options considered in this exercise have the potential to result in wholesale changes to the GB regime. Ofgem provided reassurance that such impacts will be taken into account as part of the wider GTCR</w:t>
      </w:r>
      <w:r w:rsidR="00C94766">
        <w:t xml:space="preserve"> project</w:t>
      </w:r>
      <w:r w:rsidR="00071F0A">
        <w:t>.</w:t>
      </w:r>
    </w:p>
    <w:p w14:paraId="2138BBB6" w14:textId="218AAC84" w:rsidR="00F2661F" w:rsidRDefault="00071F0A" w:rsidP="00F2661F">
      <w:pPr>
        <w:pStyle w:val="Heading1"/>
      </w:pPr>
      <w:r>
        <w:t>Industry-led report</w:t>
      </w:r>
    </w:p>
    <w:p w14:paraId="202D76DB" w14:textId="75D745B1" w:rsidR="009C0B40" w:rsidRDefault="00071F0A" w:rsidP="00071F0A">
      <w:pPr>
        <w:pStyle w:val="Paragraphnumbered"/>
      </w:pPr>
      <w:r>
        <w:t xml:space="preserve">Alena Fielding (AF) reiterated that Ofgem would welcome an industry-led report as one of the outputs of </w:t>
      </w:r>
      <w:r w:rsidR="00C94766">
        <w:t>these working groups</w:t>
      </w:r>
      <w:r>
        <w:t xml:space="preserve">. This would give the opportunity for industry to publicly critique the model and the process. No volunteers had yet been received to ‘hold the pen’ on the report. </w:t>
      </w:r>
    </w:p>
    <w:p w14:paraId="0A5B7FF3" w14:textId="0CA35B35" w:rsidR="00071F0A" w:rsidRDefault="00071F0A" w:rsidP="00071F0A">
      <w:pPr>
        <w:pStyle w:val="Paragraphnumbered"/>
      </w:pPr>
      <w:r>
        <w:t xml:space="preserve">AF suggested an outline structure for the short report to help divide up the work, including sections on: options, price responsiveness, tariff modelling and the robustness of the outputs. </w:t>
      </w:r>
    </w:p>
    <w:p w14:paraId="31B1CA1C" w14:textId="32039A8A" w:rsidR="00071F0A" w:rsidRDefault="00071F0A" w:rsidP="00071F0A">
      <w:pPr>
        <w:pStyle w:val="Paragraphnumbered"/>
      </w:pPr>
      <w:r>
        <w:t xml:space="preserve">The group expressed reluctance to write this report, indicating that Ofgem should take responsibility. Attendees also stated it will be easier to critique the model once they have had a chance to review the product.  </w:t>
      </w:r>
    </w:p>
    <w:tbl>
      <w:tblPr>
        <w:tblW w:w="9498" w:type="dxa"/>
        <w:tblInd w:w="-34" w:type="dxa"/>
        <w:tblLook w:val="01E0" w:firstRow="1" w:lastRow="1" w:firstColumn="1" w:lastColumn="1" w:noHBand="0" w:noVBand="0"/>
      </w:tblPr>
      <w:tblGrid>
        <w:gridCol w:w="7513"/>
        <w:gridCol w:w="1985"/>
      </w:tblGrid>
      <w:tr w:rsidR="00442B86" w14:paraId="5D0D39DE" w14:textId="77777777" w:rsidTr="00A03833">
        <w:tc>
          <w:tcPr>
            <w:tcW w:w="7513" w:type="dxa"/>
          </w:tcPr>
          <w:p w14:paraId="74D54352" w14:textId="77777777" w:rsidR="00442B86" w:rsidRPr="00A15942" w:rsidRDefault="00442B86" w:rsidP="00A03833">
            <w:pPr>
              <w:ind w:firstLine="33"/>
              <w:rPr>
                <w:b/>
              </w:rPr>
            </w:pPr>
            <w:r w:rsidRPr="00A15942">
              <w:rPr>
                <w:b/>
              </w:rPr>
              <w:t>Action</w:t>
            </w:r>
          </w:p>
        </w:tc>
        <w:tc>
          <w:tcPr>
            <w:tcW w:w="1985" w:type="dxa"/>
          </w:tcPr>
          <w:p w14:paraId="34849321" w14:textId="77777777" w:rsidR="00442B86" w:rsidRPr="00A15942" w:rsidRDefault="00442B86" w:rsidP="00A03833">
            <w:pPr>
              <w:ind w:firstLine="33"/>
              <w:rPr>
                <w:b/>
              </w:rPr>
            </w:pPr>
            <w:r w:rsidRPr="00A15942">
              <w:rPr>
                <w:b/>
              </w:rPr>
              <w:t>Person – By</w:t>
            </w:r>
          </w:p>
        </w:tc>
      </w:tr>
      <w:tr w:rsidR="00442B86" w14:paraId="052BE466" w14:textId="77777777" w:rsidTr="00A03833">
        <w:tc>
          <w:tcPr>
            <w:tcW w:w="7513" w:type="dxa"/>
          </w:tcPr>
          <w:p w14:paraId="7B1D2E75" w14:textId="44F16610" w:rsidR="00442B86" w:rsidRDefault="00442B86" w:rsidP="00A03833">
            <w:pPr>
              <w:ind w:firstLine="33"/>
            </w:pPr>
            <w:r>
              <w:t>Volunteer</w:t>
            </w:r>
            <w:r w:rsidR="00C94766">
              <w:t>(s)</w:t>
            </w:r>
            <w:r>
              <w:t xml:space="preserve"> to hold the pen for</w:t>
            </w:r>
            <w:r w:rsidR="00C94766">
              <w:t xml:space="preserve"> different sections of</w:t>
            </w:r>
            <w:r>
              <w:t xml:space="preserve"> the summary report, email </w:t>
            </w:r>
            <w:hyperlink r:id="rId15" w:history="1">
              <w:r w:rsidRPr="002507FF">
                <w:rPr>
                  <w:rStyle w:val="Hyperlink"/>
                </w:rPr>
                <w:t>Gas.TransmissionResponse@ofgem.gov.uk</w:t>
              </w:r>
            </w:hyperlink>
            <w:r>
              <w:t>. The submission date for the report is 12 September.</w:t>
            </w:r>
          </w:p>
        </w:tc>
        <w:tc>
          <w:tcPr>
            <w:tcW w:w="1985" w:type="dxa"/>
          </w:tcPr>
          <w:p w14:paraId="298C447B" w14:textId="0D612AE3" w:rsidR="00442B86" w:rsidRDefault="00442B86" w:rsidP="003B3FE0">
            <w:pPr>
              <w:ind w:firstLine="33"/>
            </w:pPr>
            <w:r>
              <w:t xml:space="preserve">All – by </w:t>
            </w:r>
            <w:r w:rsidR="003B3FE0">
              <w:t xml:space="preserve">25 </w:t>
            </w:r>
            <w:r>
              <w:t>July</w:t>
            </w:r>
          </w:p>
        </w:tc>
      </w:tr>
    </w:tbl>
    <w:p w14:paraId="210F7703" w14:textId="73106D17" w:rsidR="00FE48F3" w:rsidRDefault="00FE48F3" w:rsidP="00FE48F3">
      <w:pPr>
        <w:pStyle w:val="Heading1"/>
      </w:pPr>
      <w:r>
        <w:t>Next steps</w:t>
      </w:r>
    </w:p>
    <w:p w14:paraId="34BDDE93" w14:textId="3A991102" w:rsidR="00FE48F3" w:rsidRDefault="00AD1263" w:rsidP="00FE48F3">
      <w:pPr>
        <w:pStyle w:val="Paragraphnumbered"/>
      </w:pPr>
      <w:r>
        <w:t xml:space="preserve">Next meetings (all at Ofgem/Millbank): </w:t>
      </w:r>
      <w:r w:rsidR="00442B86">
        <w:t>30</w:t>
      </w:r>
      <w:r>
        <w:t xml:space="preserve"> July </w:t>
      </w:r>
      <w:r w:rsidR="00442B86">
        <w:t>10-12h</w:t>
      </w:r>
      <w:r>
        <w:t>; 2</w:t>
      </w:r>
      <w:r w:rsidR="00442B86">
        <w:t>0</w:t>
      </w:r>
      <w:r>
        <w:t xml:space="preserve"> August </w:t>
      </w:r>
      <w:r w:rsidR="00442B86">
        <w:t>10-12h</w:t>
      </w:r>
      <w:r>
        <w:t>.</w:t>
      </w:r>
      <w:r w:rsidR="002018CB">
        <w:t xml:space="preserve"> For the meeting on </w:t>
      </w:r>
      <w:r w:rsidR="00442B86">
        <w:t>30</w:t>
      </w:r>
      <w:r w:rsidR="002018CB">
        <w:t xml:space="preserve"> July, Ofgem will upload materials at the latest by close on </w:t>
      </w:r>
      <w:r w:rsidR="00442B86" w:rsidRPr="00442B86">
        <w:t>2</w:t>
      </w:r>
      <w:r w:rsidR="00442B86">
        <w:t>5</w:t>
      </w:r>
      <w:r w:rsidR="002018CB">
        <w:t xml:space="preserve"> July.</w:t>
      </w:r>
    </w:p>
    <w:p w14:paraId="5C0759DE" w14:textId="256E0206" w:rsidR="00FE48F3" w:rsidRPr="00025A21" w:rsidRDefault="00442B86" w:rsidP="00167FAD">
      <w:pPr>
        <w:pStyle w:val="Paragraphnumbered"/>
      </w:pPr>
      <w:r>
        <w:t>Ofgem</w:t>
      </w:r>
      <w:r w:rsidR="002018CB">
        <w:t xml:space="preserve"> will email participants when upload</w:t>
      </w:r>
      <w:r w:rsidR="00C94766">
        <w:t>ing</w:t>
      </w:r>
      <w:r w:rsidR="002018CB">
        <w:t xml:space="preserve"> new documents, and you can also subscribe to </w:t>
      </w:r>
      <w:r>
        <w:t>the GTCR</w:t>
      </w:r>
      <w:r w:rsidR="002018CB">
        <w:t xml:space="preserve"> RSS feed: </w:t>
      </w:r>
      <w:hyperlink r:id="rId16" w:history="1">
        <w:r w:rsidR="002018CB" w:rsidRPr="002507FF">
          <w:rPr>
            <w:rStyle w:val="Hyperlink"/>
          </w:rPr>
          <w:t>https://www.ofgem.gov.uk/feeds/87224/rss</w:t>
        </w:r>
      </w:hyperlink>
      <w:r w:rsidR="002018CB">
        <w:t>.</w:t>
      </w:r>
      <w:r w:rsidR="00611797">
        <w:t xml:space="preserve"> </w:t>
      </w:r>
    </w:p>
    <w:sectPr w:rsidR="00FE48F3" w:rsidRPr="00025A21" w:rsidSect="00A97326">
      <w:headerReference w:type="default" r:id="rId17"/>
      <w:footerReference w:type="default" r:id="rId18"/>
      <w:headerReference w:type="first" r:id="rId19"/>
      <w:footerReference w:type="first" r:id="rId20"/>
      <w:pgSz w:w="11906" w:h="16838" w:code="9"/>
      <w:pgMar w:top="1418" w:right="1304" w:bottom="1134" w:left="130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6CD2F" w15:done="0"/>
  <w15:commentEx w15:paraId="6893CC51" w15:done="0"/>
  <w15:commentEx w15:paraId="27D7E921" w15:paraIdParent="6893CC51" w15:done="0"/>
  <w15:commentEx w15:paraId="1C77B8A2" w15:done="0"/>
  <w15:commentEx w15:paraId="6BCDB826" w15:done="0"/>
  <w15:commentEx w15:paraId="52B3D3BE" w15:done="0"/>
  <w15:commentEx w15:paraId="1533F042" w15:done="0"/>
  <w15:commentEx w15:paraId="09EC1171" w15:done="0"/>
  <w15:commentEx w15:paraId="5B9EE6EB" w15:done="0"/>
  <w15:commentEx w15:paraId="0913AECD" w15:done="0"/>
  <w15:commentEx w15:paraId="1CA5794B" w15:done="0"/>
  <w15:commentEx w15:paraId="116CE7B0" w15:paraIdParent="1CA57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9D149" w14:textId="77777777" w:rsidR="00E32434" w:rsidRDefault="00E32434" w:rsidP="00BA7019">
      <w:r>
        <w:separator/>
      </w:r>
    </w:p>
  </w:endnote>
  <w:endnote w:type="continuationSeparator" w:id="0">
    <w:p w14:paraId="621F543A" w14:textId="77777777" w:rsidR="00E32434" w:rsidRDefault="00E32434"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8E63" w14:textId="77777777" w:rsidR="00E32434" w:rsidRDefault="00E32434" w:rsidP="00F1440E">
    <w:pPr>
      <w:pStyle w:val="Footer"/>
      <w:jc w:val="right"/>
    </w:pPr>
    <w:r>
      <w:rPr>
        <w:rStyle w:val="PageNumber"/>
      </w:rPr>
      <w:fldChar w:fldCharType="begin"/>
    </w:r>
    <w:r>
      <w:rPr>
        <w:rStyle w:val="PageNumber"/>
      </w:rPr>
      <w:instrText xml:space="preserve"> PAGE </w:instrText>
    </w:r>
    <w:r>
      <w:rPr>
        <w:rStyle w:val="PageNumber"/>
      </w:rPr>
      <w:fldChar w:fldCharType="separate"/>
    </w:r>
    <w:r w:rsidR="00AC486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486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7455" w14:textId="00594C15" w:rsidR="00E32434" w:rsidRPr="009F2347" w:rsidRDefault="00E32434" w:rsidP="009F2347">
    <w:pPr>
      <w:pStyle w:val="Footer"/>
      <w:tabs>
        <w:tab w:val="clear" w:pos="8306"/>
        <w:tab w:val="right" w:pos="9356"/>
      </w:tabs>
      <w:ind w:right="360"/>
      <w:jc w:val="center"/>
      <w:rPr>
        <w:rStyle w:val="PageNumber"/>
      </w:rPr>
    </w:pPr>
    <w:r>
      <w:t>Minutes: GTCR technical working group 1</w:t>
    </w:r>
    <w:r>
      <w:tab/>
    </w:r>
    <w:r>
      <w:rPr>
        <w:rStyle w:val="PageNumber"/>
      </w:rPr>
      <w:fldChar w:fldCharType="begin"/>
    </w:r>
    <w:r>
      <w:rPr>
        <w:rStyle w:val="PageNumber"/>
      </w:rPr>
      <w:instrText xml:space="preserve"> PAGE </w:instrText>
    </w:r>
    <w:r>
      <w:rPr>
        <w:rStyle w:val="PageNumber"/>
      </w:rPr>
      <w:fldChar w:fldCharType="separate"/>
    </w:r>
    <w:r w:rsidR="00AC486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486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92519" w14:textId="77777777" w:rsidR="00E32434" w:rsidRDefault="00E32434" w:rsidP="00BA7019">
      <w:r>
        <w:separator/>
      </w:r>
    </w:p>
  </w:footnote>
  <w:footnote w:type="continuationSeparator" w:id="0">
    <w:p w14:paraId="2593079B" w14:textId="77777777" w:rsidR="00E32434" w:rsidRDefault="00E32434"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684"/>
      <w:gridCol w:w="3079"/>
    </w:tblGrid>
    <w:tr w:rsidR="00E32434" w14:paraId="3128B015" w14:textId="77777777" w:rsidTr="00A15942">
      <w:tc>
        <w:tcPr>
          <w:tcW w:w="5751" w:type="dxa"/>
        </w:tcPr>
        <w:p w14:paraId="7994339C" w14:textId="1C73B649" w:rsidR="00E32434" w:rsidRPr="00AE5A91" w:rsidRDefault="00E32434" w:rsidP="00A15942">
          <w:pPr>
            <w:pStyle w:val="Header"/>
            <w:tabs>
              <w:tab w:val="clear" w:pos="4153"/>
              <w:tab w:val="clear" w:pos="8306"/>
            </w:tabs>
          </w:pPr>
          <w:r>
            <w:rPr>
              <w:color w:val="808080"/>
            </w:rPr>
            <w:t>Technical group 2, Gas Transmission Charging Review</w:t>
          </w:r>
        </w:p>
      </w:tc>
      <w:tc>
        <w:tcPr>
          <w:tcW w:w="684" w:type="dxa"/>
        </w:tcPr>
        <w:p w14:paraId="458CF13D" w14:textId="77777777" w:rsidR="00E32434" w:rsidRPr="00AE5A91" w:rsidRDefault="00E32434" w:rsidP="00A15942">
          <w:pPr>
            <w:pStyle w:val="Header"/>
            <w:tabs>
              <w:tab w:val="clear" w:pos="4153"/>
              <w:tab w:val="clear" w:pos="8306"/>
            </w:tabs>
            <w:jc w:val="right"/>
          </w:pPr>
        </w:p>
      </w:tc>
      <w:tc>
        <w:tcPr>
          <w:tcW w:w="3079" w:type="dxa"/>
        </w:tcPr>
        <w:p w14:paraId="4B0F9DE1" w14:textId="77777777" w:rsidR="00E32434" w:rsidRDefault="00E32434" w:rsidP="00A15942">
          <w:pPr>
            <w:pStyle w:val="Header"/>
            <w:tabs>
              <w:tab w:val="clear" w:pos="4153"/>
              <w:tab w:val="clear" w:pos="8306"/>
            </w:tabs>
            <w:jc w:val="right"/>
          </w:pPr>
          <w:r>
            <w:t>Minutes</w:t>
          </w:r>
        </w:p>
      </w:tc>
    </w:tr>
  </w:tbl>
  <w:p w14:paraId="00F7EC53" w14:textId="77777777" w:rsidR="00E32434" w:rsidRPr="004525F4" w:rsidRDefault="00E32434" w:rsidP="0045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1" w:type="dxa"/>
      <w:tblLook w:val="01E0" w:firstRow="1" w:lastRow="1" w:firstColumn="1" w:lastColumn="1" w:noHBand="0" w:noVBand="0"/>
    </w:tblPr>
    <w:tblGrid>
      <w:gridCol w:w="2673"/>
      <w:gridCol w:w="7011"/>
    </w:tblGrid>
    <w:tr w:rsidR="00E32434" w:rsidRPr="00A15942" w14:paraId="4E10605E" w14:textId="77777777" w:rsidTr="00A15942">
      <w:tc>
        <w:tcPr>
          <w:tcW w:w="2673" w:type="dxa"/>
          <w:vAlign w:val="center"/>
        </w:tcPr>
        <w:p w14:paraId="07275382" w14:textId="77777777" w:rsidR="00E32434" w:rsidRPr="00A15942" w:rsidRDefault="00E32434" w:rsidP="009F5119">
          <w:pPr>
            <w:pStyle w:val="Header"/>
            <w:rPr>
              <w:sz w:val="52"/>
              <w:szCs w:val="52"/>
            </w:rPr>
          </w:pPr>
          <w:r>
            <w:rPr>
              <w:noProof/>
            </w:rPr>
            <w:drawing>
              <wp:inline distT="0" distB="0" distL="0" distR="0" wp14:anchorId="64C69C5E" wp14:editId="3269A6EE">
                <wp:extent cx="1182657" cy="468000"/>
                <wp:effectExtent l="19050" t="0" r="0" b="0"/>
                <wp:docPr id="1" name="Picture 1"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logob&amp;w2"/>
                        <pic:cNvPicPr>
                          <a:picLocks noChangeAspect="1" noChangeArrowheads="1"/>
                        </pic:cNvPicPr>
                      </pic:nvPicPr>
                      <pic:blipFill>
                        <a:blip r:embed="rId1"/>
                        <a:stretch>
                          <a:fillRect/>
                        </a:stretch>
                      </pic:blipFill>
                      <pic:spPr bwMode="auto">
                        <a:xfrm>
                          <a:off x="0" y="0"/>
                          <a:ext cx="1182657" cy="468000"/>
                        </a:xfrm>
                        <a:prstGeom prst="rect">
                          <a:avLst/>
                        </a:prstGeom>
                        <a:noFill/>
                        <a:ln w="9525">
                          <a:noFill/>
                          <a:miter lim="800000"/>
                          <a:headEnd/>
                          <a:tailEnd/>
                        </a:ln>
                      </pic:spPr>
                    </pic:pic>
                  </a:graphicData>
                </a:graphic>
              </wp:inline>
            </w:drawing>
          </w:r>
        </w:p>
      </w:tc>
      <w:tc>
        <w:tcPr>
          <w:tcW w:w="7011" w:type="dxa"/>
          <w:vAlign w:val="center"/>
        </w:tcPr>
        <w:p w14:paraId="0ABB49F1" w14:textId="77777777" w:rsidR="00E32434" w:rsidRPr="00A15942" w:rsidRDefault="00E32434" w:rsidP="00A15942">
          <w:pPr>
            <w:pStyle w:val="Header"/>
            <w:jc w:val="right"/>
            <w:rPr>
              <w:sz w:val="52"/>
              <w:szCs w:val="52"/>
            </w:rPr>
          </w:pPr>
          <w:r w:rsidRPr="00A15942">
            <w:rPr>
              <w:sz w:val="52"/>
              <w:szCs w:val="52"/>
            </w:rPr>
            <w:t>Minutes</w:t>
          </w:r>
        </w:p>
      </w:tc>
    </w:tr>
  </w:tbl>
  <w:p w14:paraId="654DCA5E" w14:textId="77777777" w:rsidR="00E32434" w:rsidRDefault="00E32434" w:rsidP="00641F10">
    <w:pPr>
      <w:pStyle w:val="Header"/>
      <w:ind w:left="-171"/>
      <w:rPr>
        <w:sz w:val="16"/>
        <w:szCs w:val="16"/>
      </w:rPr>
    </w:pPr>
  </w:p>
  <w:p w14:paraId="74595847" w14:textId="77777777" w:rsidR="00E32434" w:rsidRPr="00920D51" w:rsidRDefault="00E32434" w:rsidP="00641F10">
    <w:pPr>
      <w:pStyle w:val="Header"/>
      <w:ind w:left="-17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4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619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FF085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AC3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00E2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AA8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E2E4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0E3A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30A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5A2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37499"/>
    <w:multiLevelType w:val="hybridMultilevel"/>
    <w:tmpl w:val="D532A10A"/>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1">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B783D"/>
    <w:multiLevelType w:val="hybridMultilevel"/>
    <w:tmpl w:val="E8A0C724"/>
    <w:lvl w:ilvl="0" w:tplc="086429B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E24442"/>
    <w:multiLevelType w:val="multilevel"/>
    <w:tmpl w:val="7E5C1B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FB46B51"/>
    <w:multiLevelType w:val="hybridMultilevel"/>
    <w:tmpl w:val="8B36FDEA"/>
    <w:lvl w:ilvl="0" w:tplc="BE88DC24">
      <w:start w:val="1"/>
      <w:numFmt w:val="bullet"/>
      <w:lvlText w:val="•"/>
      <w:lvlJc w:val="left"/>
      <w:pPr>
        <w:tabs>
          <w:tab w:val="num" w:pos="720"/>
        </w:tabs>
        <w:ind w:left="720" w:hanging="360"/>
      </w:pPr>
      <w:rPr>
        <w:rFonts w:ascii="Arial" w:hAnsi="Arial" w:hint="default"/>
      </w:rPr>
    </w:lvl>
    <w:lvl w:ilvl="1" w:tplc="CED8D984" w:tentative="1">
      <w:start w:val="1"/>
      <w:numFmt w:val="bullet"/>
      <w:lvlText w:val="•"/>
      <w:lvlJc w:val="left"/>
      <w:pPr>
        <w:tabs>
          <w:tab w:val="num" w:pos="1440"/>
        </w:tabs>
        <w:ind w:left="1440" w:hanging="360"/>
      </w:pPr>
      <w:rPr>
        <w:rFonts w:ascii="Arial" w:hAnsi="Arial" w:hint="default"/>
      </w:rPr>
    </w:lvl>
    <w:lvl w:ilvl="2" w:tplc="1AF0D018" w:tentative="1">
      <w:start w:val="1"/>
      <w:numFmt w:val="bullet"/>
      <w:lvlText w:val="•"/>
      <w:lvlJc w:val="left"/>
      <w:pPr>
        <w:tabs>
          <w:tab w:val="num" w:pos="2160"/>
        </w:tabs>
        <w:ind w:left="2160" w:hanging="360"/>
      </w:pPr>
      <w:rPr>
        <w:rFonts w:ascii="Arial" w:hAnsi="Arial" w:hint="default"/>
      </w:rPr>
    </w:lvl>
    <w:lvl w:ilvl="3" w:tplc="E59AF10A" w:tentative="1">
      <w:start w:val="1"/>
      <w:numFmt w:val="bullet"/>
      <w:lvlText w:val="•"/>
      <w:lvlJc w:val="left"/>
      <w:pPr>
        <w:tabs>
          <w:tab w:val="num" w:pos="2880"/>
        </w:tabs>
        <w:ind w:left="2880" w:hanging="360"/>
      </w:pPr>
      <w:rPr>
        <w:rFonts w:ascii="Arial" w:hAnsi="Arial" w:hint="default"/>
      </w:rPr>
    </w:lvl>
    <w:lvl w:ilvl="4" w:tplc="8C8EB936" w:tentative="1">
      <w:start w:val="1"/>
      <w:numFmt w:val="bullet"/>
      <w:lvlText w:val="•"/>
      <w:lvlJc w:val="left"/>
      <w:pPr>
        <w:tabs>
          <w:tab w:val="num" w:pos="3600"/>
        </w:tabs>
        <w:ind w:left="3600" w:hanging="360"/>
      </w:pPr>
      <w:rPr>
        <w:rFonts w:ascii="Arial" w:hAnsi="Arial" w:hint="default"/>
      </w:rPr>
    </w:lvl>
    <w:lvl w:ilvl="5" w:tplc="D214D26E" w:tentative="1">
      <w:start w:val="1"/>
      <w:numFmt w:val="bullet"/>
      <w:lvlText w:val="•"/>
      <w:lvlJc w:val="left"/>
      <w:pPr>
        <w:tabs>
          <w:tab w:val="num" w:pos="4320"/>
        </w:tabs>
        <w:ind w:left="4320" w:hanging="360"/>
      </w:pPr>
      <w:rPr>
        <w:rFonts w:ascii="Arial" w:hAnsi="Arial" w:hint="default"/>
      </w:rPr>
    </w:lvl>
    <w:lvl w:ilvl="6" w:tplc="7F288816" w:tentative="1">
      <w:start w:val="1"/>
      <w:numFmt w:val="bullet"/>
      <w:lvlText w:val="•"/>
      <w:lvlJc w:val="left"/>
      <w:pPr>
        <w:tabs>
          <w:tab w:val="num" w:pos="5040"/>
        </w:tabs>
        <w:ind w:left="5040" w:hanging="360"/>
      </w:pPr>
      <w:rPr>
        <w:rFonts w:ascii="Arial" w:hAnsi="Arial" w:hint="default"/>
      </w:rPr>
    </w:lvl>
    <w:lvl w:ilvl="7" w:tplc="1F86A3DE" w:tentative="1">
      <w:start w:val="1"/>
      <w:numFmt w:val="bullet"/>
      <w:lvlText w:val="•"/>
      <w:lvlJc w:val="left"/>
      <w:pPr>
        <w:tabs>
          <w:tab w:val="num" w:pos="5760"/>
        </w:tabs>
        <w:ind w:left="5760" w:hanging="360"/>
      </w:pPr>
      <w:rPr>
        <w:rFonts w:ascii="Arial" w:hAnsi="Arial" w:hint="default"/>
      </w:rPr>
    </w:lvl>
    <w:lvl w:ilvl="8" w:tplc="0AAA7636" w:tentative="1">
      <w:start w:val="1"/>
      <w:numFmt w:val="bullet"/>
      <w:lvlText w:val="•"/>
      <w:lvlJc w:val="left"/>
      <w:pPr>
        <w:tabs>
          <w:tab w:val="num" w:pos="6480"/>
        </w:tabs>
        <w:ind w:left="6480" w:hanging="360"/>
      </w:pPr>
      <w:rPr>
        <w:rFonts w:ascii="Arial" w:hAnsi="Arial" w:hint="default"/>
      </w:rPr>
    </w:lvl>
  </w:abstractNum>
  <w:abstractNum w:abstractNumId="18">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1030D27"/>
    <w:multiLevelType w:val="multilevel"/>
    <w:tmpl w:val="7E5C1B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E0010F"/>
    <w:multiLevelType w:val="multilevel"/>
    <w:tmpl w:val="7E5C1B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94F1C1B"/>
    <w:multiLevelType w:val="hybridMultilevel"/>
    <w:tmpl w:val="13BC6304"/>
    <w:lvl w:ilvl="0" w:tplc="03E8382A">
      <w:start w:val="2"/>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3"/>
  </w:num>
  <w:num w:numId="16">
    <w:abstractNumId w:val="18"/>
  </w:num>
  <w:num w:numId="17">
    <w:abstractNumId w:val="19"/>
  </w:num>
  <w:num w:numId="18">
    <w:abstractNumId w:val="10"/>
  </w:num>
  <w:num w:numId="19">
    <w:abstractNumId w:val="17"/>
  </w:num>
  <w:num w:numId="20">
    <w:abstractNumId w:val="14"/>
  </w:num>
  <w:num w:numId="21">
    <w:abstractNumId w:val="23"/>
  </w:num>
  <w:num w:numId="22">
    <w:abstractNumId w:val="22"/>
  </w:num>
  <w:num w:numId="23">
    <w:abstractNumId w:val="20"/>
  </w:num>
  <w:num w:numId="24">
    <w:abstractNumId w:val="12"/>
  </w:num>
  <w:num w:numId="25">
    <w:abstractNumId w:val="16"/>
  </w:num>
  <w:num w:numId="26">
    <w:abstractNumId w:val="12"/>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Hawkin">
    <w15:presenceInfo w15:providerId="Windows Live" w15:userId="37a42c2e3a28e372"/>
  </w15:person>
  <w15:person w15:author="Patrick Taylor">
    <w15:presenceInfo w15:providerId="AD" w15:userId="S-1-5-21-4137287406-1744872394-2234315235-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F3"/>
    <w:rsid w:val="00001B0F"/>
    <w:rsid w:val="0000372C"/>
    <w:rsid w:val="00021906"/>
    <w:rsid w:val="00023381"/>
    <w:rsid w:val="00025A21"/>
    <w:rsid w:val="000354B8"/>
    <w:rsid w:val="00035612"/>
    <w:rsid w:val="00056C1A"/>
    <w:rsid w:val="00061EF5"/>
    <w:rsid w:val="00066C79"/>
    <w:rsid w:val="00071415"/>
    <w:rsid w:val="00071F0A"/>
    <w:rsid w:val="00074976"/>
    <w:rsid w:val="000A404C"/>
    <w:rsid w:val="000B213F"/>
    <w:rsid w:val="000B7578"/>
    <w:rsid w:val="000D1154"/>
    <w:rsid w:val="000E174A"/>
    <w:rsid w:val="000E7F6B"/>
    <w:rsid w:val="000F0E42"/>
    <w:rsid w:val="00112B62"/>
    <w:rsid w:val="00112CBD"/>
    <w:rsid w:val="00115DC2"/>
    <w:rsid w:val="00117FCD"/>
    <w:rsid w:val="001203E1"/>
    <w:rsid w:val="00130E03"/>
    <w:rsid w:val="001372D9"/>
    <w:rsid w:val="00140EB4"/>
    <w:rsid w:val="00167FAD"/>
    <w:rsid w:val="00184ECF"/>
    <w:rsid w:val="001B4199"/>
    <w:rsid w:val="001B494A"/>
    <w:rsid w:val="001C1B6C"/>
    <w:rsid w:val="001C29B3"/>
    <w:rsid w:val="001C3207"/>
    <w:rsid w:val="001C34DA"/>
    <w:rsid w:val="001D59FB"/>
    <w:rsid w:val="001E4404"/>
    <w:rsid w:val="001E7913"/>
    <w:rsid w:val="002018CB"/>
    <w:rsid w:val="002019A5"/>
    <w:rsid w:val="00202151"/>
    <w:rsid w:val="00211D2E"/>
    <w:rsid w:val="00233E2C"/>
    <w:rsid w:val="00246197"/>
    <w:rsid w:val="00255EAA"/>
    <w:rsid w:val="0025774B"/>
    <w:rsid w:val="00261E55"/>
    <w:rsid w:val="00265241"/>
    <w:rsid w:val="002817C7"/>
    <w:rsid w:val="00284EE2"/>
    <w:rsid w:val="002B1E60"/>
    <w:rsid w:val="002D77F4"/>
    <w:rsid w:val="002F7F64"/>
    <w:rsid w:val="00312F3D"/>
    <w:rsid w:val="00327152"/>
    <w:rsid w:val="003451F0"/>
    <w:rsid w:val="00361B01"/>
    <w:rsid w:val="00365235"/>
    <w:rsid w:val="00377A08"/>
    <w:rsid w:val="0038247F"/>
    <w:rsid w:val="003B3B03"/>
    <w:rsid w:val="003B3FE0"/>
    <w:rsid w:val="003B6960"/>
    <w:rsid w:val="003B7401"/>
    <w:rsid w:val="003C0A81"/>
    <w:rsid w:val="003D4D62"/>
    <w:rsid w:val="003E070A"/>
    <w:rsid w:val="003E4C21"/>
    <w:rsid w:val="003E5AAB"/>
    <w:rsid w:val="003F0E6E"/>
    <w:rsid w:val="003F166B"/>
    <w:rsid w:val="0043580A"/>
    <w:rsid w:val="00436874"/>
    <w:rsid w:val="00442B86"/>
    <w:rsid w:val="0045237C"/>
    <w:rsid w:val="004525F4"/>
    <w:rsid w:val="00452B13"/>
    <w:rsid w:val="0046051B"/>
    <w:rsid w:val="004624D5"/>
    <w:rsid w:val="0046313C"/>
    <w:rsid w:val="0046531B"/>
    <w:rsid w:val="00466A76"/>
    <w:rsid w:val="00466C62"/>
    <w:rsid w:val="004745D1"/>
    <w:rsid w:val="00476123"/>
    <w:rsid w:val="004A269C"/>
    <w:rsid w:val="004A6B2A"/>
    <w:rsid w:val="004C16F2"/>
    <w:rsid w:val="004C329A"/>
    <w:rsid w:val="004C5414"/>
    <w:rsid w:val="004D7E5E"/>
    <w:rsid w:val="004E1CF5"/>
    <w:rsid w:val="004E2D27"/>
    <w:rsid w:val="0050214A"/>
    <w:rsid w:val="00524469"/>
    <w:rsid w:val="005311A7"/>
    <w:rsid w:val="0054097A"/>
    <w:rsid w:val="00540C21"/>
    <w:rsid w:val="00544411"/>
    <w:rsid w:val="00546702"/>
    <w:rsid w:val="00560C35"/>
    <w:rsid w:val="00561DC9"/>
    <w:rsid w:val="00563E05"/>
    <w:rsid w:val="005A5207"/>
    <w:rsid w:val="005B6786"/>
    <w:rsid w:val="005B7D18"/>
    <w:rsid w:val="005C2214"/>
    <w:rsid w:val="005C7D3B"/>
    <w:rsid w:val="005D1790"/>
    <w:rsid w:val="005D2A24"/>
    <w:rsid w:val="005E0C1F"/>
    <w:rsid w:val="005E108D"/>
    <w:rsid w:val="005E1657"/>
    <w:rsid w:val="005F2345"/>
    <w:rsid w:val="0060001B"/>
    <w:rsid w:val="00611797"/>
    <w:rsid w:val="0062048F"/>
    <w:rsid w:val="00635F92"/>
    <w:rsid w:val="00637091"/>
    <w:rsid w:val="00641F10"/>
    <w:rsid w:val="006445F8"/>
    <w:rsid w:val="00646AA8"/>
    <w:rsid w:val="006524ED"/>
    <w:rsid w:val="00676EF0"/>
    <w:rsid w:val="0069599B"/>
    <w:rsid w:val="006B74CA"/>
    <w:rsid w:val="006C5386"/>
    <w:rsid w:val="00711EC2"/>
    <w:rsid w:val="00741FEB"/>
    <w:rsid w:val="00751427"/>
    <w:rsid w:val="0075387B"/>
    <w:rsid w:val="007669D8"/>
    <w:rsid w:val="00767959"/>
    <w:rsid w:val="0077789A"/>
    <w:rsid w:val="00784A1B"/>
    <w:rsid w:val="007958EF"/>
    <w:rsid w:val="00797961"/>
    <w:rsid w:val="007A6A21"/>
    <w:rsid w:val="007B0EB8"/>
    <w:rsid w:val="007B457D"/>
    <w:rsid w:val="007B52A4"/>
    <w:rsid w:val="007C643D"/>
    <w:rsid w:val="007E1074"/>
    <w:rsid w:val="007E44F3"/>
    <w:rsid w:val="007F13C0"/>
    <w:rsid w:val="007F2EDF"/>
    <w:rsid w:val="00801939"/>
    <w:rsid w:val="00812AD9"/>
    <w:rsid w:val="0082673C"/>
    <w:rsid w:val="00843516"/>
    <w:rsid w:val="00844747"/>
    <w:rsid w:val="0084727F"/>
    <w:rsid w:val="0085605F"/>
    <w:rsid w:val="00870C77"/>
    <w:rsid w:val="00872CFC"/>
    <w:rsid w:val="00874A5A"/>
    <w:rsid w:val="00874F46"/>
    <w:rsid w:val="008A256F"/>
    <w:rsid w:val="008A2595"/>
    <w:rsid w:val="008A5377"/>
    <w:rsid w:val="008B0AED"/>
    <w:rsid w:val="008B39EE"/>
    <w:rsid w:val="008B4E4F"/>
    <w:rsid w:val="008B5E9E"/>
    <w:rsid w:val="008C2113"/>
    <w:rsid w:val="008C7BF9"/>
    <w:rsid w:val="008F4528"/>
    <w:rsid w:val="008F49D4"/>
    <w:rsid w:val="0090224A"/>
    <w:rsid w:val="00902A7D"/>
    <w:rsid w:val="0090683E"/>
    <w:rsid w:val="009124DA"/>
    <w:rsid w:val="009131C6"/>
    <w:rsid w:val="00920D51"/>
    <w:rsid w:val="0092137C"/>
    <w:rsid w:val="00921381"/>
    <w:rsid w:val="00921CA1"/>
    <w:rsid w:val="00922F2D"/>
    <w:rsid w:val="00930511"/>
    <w:rsid w:val="00941B13"/>
    <w:rsid w:val="00961235"/>
    <w:rsid w:val="00964515"/>
    <w:rsid w:val="0096775C"/>
    <w:rsid w:val="00974876"/>
    <w:rsid w:val="009865A7"/>
    <w:rsid w:val="00993122"/>
    <w:rsid w:val="009A43C2"/>
    <w:rsid w:val="009B21E3"/>
    <w:rsid w:val="009C0B40"/>
    <w:rsid w:val="009D075C"/>
    <w:rsid w:val="009D2271"/>
    <w:rsid w:val="009E2E84"/>
    <w:rsid w:val="009F2347"/>
    <w:rsid w:val="009F3046"/>
    <w:rsid w:val="009F3903"/>
    <w:rsid w:val="009F4842"/>
    <w:rsid w:val="009F5119"/>
    <w:rsid w:val="009F6948"/>
    <w:rsid w:val="00A02E15"/>
    <w:rsid w:val="00A03833"/>
    <w:rsid w:val="00A15942"/>
    <w:rsid w:val="00A1605E"/>
    <w:rsid w:val="00A20034"/>
    <w:rsid w:val="00A22C7A"/>
    <w:rsid w:val="00A25A93"/>
    <w:rsid w:val="00A37CD4"/>
    <w:rsid w:val="00A44C71"/>
    <w:rsid w:val="00A46B41"/>
    <w:rsid w:val="00A54503"/>
    <w:rsid w:val="00A65347"/>
    <w:rsid w:val="00A742D0"/>
    <w:rsid w:val="00A74748"/>
    <w:rsid w:val="00A868A1"/>
    <w:rsid w:val="00A93A55"/>
    <w:rsid w:val="00A97326"/>
    <w:rsid w:val="00A974BD"/>
    <w:rsid w:val="00A97558"/>
    <w:rsid w:val="00AA4DCD"/>
    <w:rsid w:val="00AB586E"/>
    <w:rsid w:val="00AB7140"/>
    <w:rsid w:val="00AB7635"/>
    <w:rsid w:val="00AC0228"/>
    <w:rsid w:val="00AC4047"/>
    <w:rsid w:val="00AC486A"/>
    <w:rsid w:val="00AD1263"/>
    <w:rsid w:val="00AD622C"/>
    <w:rsid w:val="00AD73BD"/>
    <w:rsid w:val="00B108BD"/>
    <w:rsid w:val="00B334E1"/>
    <w:rsid w:val="00B4422B"/>
    <w:rsid w:val="00B46A2C"/>
    <w:rsid w:val="00B561D6"/>
    <w:rsid w:val="00B64F5B"/>
    <w:rsid w:val="00B6595A"/>
    <w:rsid w:val="00B70B7B"/>
    <w:rsid w:val="00B70B9C"/>
    <w:rsid w:val="00B72918"/>
    <w:rsid w:val="00B74EFA"/>
    <w:rsid w:val="00B92D4E"/>
    <w:rsid w:val="00B96DAB"/>
    <w:rsid w:val="00BA5FD4"/>
    <w:rsid w:val="00BA7019"/>
    <w:rsid w:val="00BB50B2"/>
    <w:rsid w:val="00BC1327"/>
    <w:rsid w:val="00BC7648"/>
    <w:rsid w:val="00BD14D2"/>
    <w:rsid w:val="00BD5CE5"/>
    <w:rsid w:val="00BE0237"/>
    <w:rsid w:val="00BE05C2"/>
    <w:rsid w:val="00BE0A33"/>
    <w:rsid w:val="00BE1513"/>
    <w:rsid w:val="00BE1B50"/>
    <w:rsid w:val="00BE271A"/>
    <w:rsid w:val="00BE5EAB"/>
    <w:rsid w:val="00C02942"/>
    <w:rsid w:val="00C050C8"/>
    <w:rsid w:val="00C05A7B"/>
    <w:rsid w:val="00C154FF"/>
    <w:rsid w:val="00C2155D"/>
    <w:rsid w:val="00C37EC2"/>
    <w:rsid w:val="00C527D8"/>
    <w:rsid w:val="00C531F7"/>
    <w:rsid w:val="00C547ED"/>
    <w:rsid w:val="00C652F7"/>
    <w:rsid w:val="00C819A0"/>
    <w:rsid w:val="00C83B06"/>
    <w:rsid w:val="00C864D0"/>
    <w:rsid w:val="00C94766"/>
    <w:rsid w:val="00C97DA6"/>
    <w:rsid w:val="00CB0189"/>
    <w:rsid w:val="00CB49B0"/>
    <w:rsid w:val="00CD369A"/>
    <w:rsid w:val="00CE3072"/>
    <w:rsid w:val="00CE63AD"/>
    <w:rsid w:val="00D00430"/>
    <w:rsid w:val="00D011B2"/>
    <w:rsid w:val="00D04654"/>
    <w:rsid w:val="00D12DB0"/>
    <w:rsid w:val="00D12FF0"/>
    <w:rsid w:val="00D13CA0"/>
    <w:rsid w:val="00D2240A"/>
    <w:rsid w:val="00D2405D"/>
    <w:rsid w:val="00D2567B"/>
    <w:rsid w:val="00D32307"/>
    <w:rsid w:val="00D414FD"/>
    <w:rsid w:val="00D50B42"/>
    <w:rsid w:val="00D5281C"/>
    <w:rsid w:val="00D53241"/>
    <w:rsid w:val="00D571B7"/>
    <w:rsid w:val="00D67D24"/>
    <w:rsid w:val="00D77173"/>
    <w:rsid w:val="00D804D1"/>
    <w:rsid w:val="00D84C38"/>
    <w:rsid w:val="00DA4044"/>
    <w:rsid w:val="00DA5E7D"/>
    <w:rsid w:val="00DA687D"/>
    <w:rsid w:val="00DA69E7"/>
    <w:rsid w:val="00DB2707"/>
    <w:rsid w:val="00DC2751"/>
    <w:rsid w:val="00DC2F00"/>
    <w:rsid w:val="00DD2046"/>
    <w:rsid w:val="00DF0F11"/>
    <w:rsid w:val="00DF5DCF"/>
    <w:rsid w:val="00E14AA5"/>
    <w:rsid w:val="00E20B96"/>
    <w:rsid w:val="00E32434"/>
    <w:rsid w:val="00E34B2C"/>
    <w:rsid w:val="00E419DA"/>
    <w:rsid w:val="00E426BF"/>
    <w:rsid w:val="00E447E9"/>
    <w:rsid w:val="00E5719C"/>
    <w:rsid w:val="00E63712"/>
    <w:rsid w:val="00E9736C"/>
    <w:rsid w:val="00EA5A5C"/>
    <w:rsid w:val="00EA7BD2"/>
    <w:rsid w:val="00EB0C40"/>
    <w:rsid w:val="00EB1C29"/>
    <w:rsid w:val="00EB39DF"/>
    <w:rsid w:val="00EC7FD2"/>
    <w:rsid w:val="00EE42BB"/>
    <w:rsid w:val="00F054F1"/>
    <w:rsid w:val="00F0577D"/>
    <w:rsid w:val="00F06EF2"/>
    <w:rsid w:val="00F072F7"/>
    <w:rsid w:val="00F07FA6"/>
    <w:rsid w:val="00F1440E"/>
    <w:rsid w:val="00F2661F"/>
    <w:rsid w:val="00F431E3"/>
    <w:rsid w:val="00F66B41"/>
    <w:rsid w:val="00F676F0"/>
    <w:rsid w:val="00F70BF0"/>
    <w:rsid w:val="00F733D3"/>
    <w:rsid w:val="00F827F9"/>
    <w:rsid w:val="00F85755"/>
    <w:rsid w:val="00F93B79"/>
    <w:rsid w:val="00F947D2"/>
    <w:rsid w:val="00FC35D3"/>
    <w:rsid w:val="00FC4DFC"/>
    <w:rsid w:val="00FE48F3"/>
    <w:rsid w:val="00FF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F0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character" w:styleId="CommentReference">
    <w:name w:val="annotation reference"/>
    <w:basedOn w:val="DefaultParagraphFont"/>
    <w:rsid w:val="00DF5DCF"/>
    <w:rPr>
      <w:sz w:val="16"/>
      <w:szCs w:val="16"/>
    </w:rPr>
  </w:style>
  <w:style w:type="paragraph" w:styleId="Revision">
    <w:name w:val="Revision"/>
    <w:hidden/>
    <w:uiPriority w:val="99"/>
    <w:semiHidden/>
    <w:rsid w:val="00AB7140"/>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B334E1"/>
    <w:rPr>
      <w:rFonts w:ascii="Tahoma" w:hAnsi="Tahoma" w:cs="Tahoma"/>
      <w:sz w:val="16"/>
      <w:szCs w:val="16"/>
    </w:rPr>
  </w:style>
  <w:style w:type="paragraph" w:styleId="BlockText">
    <w:name w:val="Block Text"/>
    <w:basedOn w:val="Normal"/>
    <w:rsid w:val="00B334E1"/>
    <w:pPr>
      <w:spacing w:after="120"/>
      <w:ind w:left="1440" w:right="1440"/>
    </w:pPr>
  </w:style>
  <w:style w:type="paragraph" w:styleId="BodyText">
    <w:name w:val="Body Text"/>
    <w:basedOn w:val="Normal"/>
    <w:rsid w:val="00B334E1"/>
    <w:pPr>
      <w:spacing w:after="120"/>
    </w:pPr>
  </w:style>
  <w:style w:type="paragraph" w:styleId="BodyText2">
    <w:name w:val="Body Text 2"/>
    <w:basedOn w:val="Normal"/>
    <w:rsid w:val="00B334E1"/>
    <w:pPr>
      <w:spacing w:after="120" w:line="480" w:lineRule="auto"/>
    </w:pPr>
  </w:style>
  <w:style w:type="paragraph" w:styleId="BodyText3">
    <w:name w:val="Body Text 3"/>
    <w:basedOn w:val="Normal"/>
    <w:rsid w:val="00B334E1"/>
    <w:pPr>
      <w:spacing w:after="120"/>
    </w:pPr>
    <w:rPr>
      <w:sz w:val="16"/>
      <w:szCs w:val="16"/>
    </w:rPr>
  </w:style>
  <w:style w:type="paragraph" w:styleId="BodyTextFirstIndent">
    <w:name w:val="Body Text First Indent"/>
    <w:basedOn w:val="BodyText"/>
    <w:rsid w:val="00B334E1"/>
    <w:pPr>
      <w:ind w:firstLine="210"/>
    </w:pPr>
  </w:style>
  <w:style w:type="paragraph" w:styleId="BodyTextIndent">
    <w:name w:val="Body Text Indent"/>
    <w:basedOn w:val="Normal"/>
    <w:rsid w:val="00B334E1"/>
    <w:pPr>
      <w:spacing w:after="120"/>
      <w:ind w:left="283"/>
    </w:pPr>
  </w:style>
  <w:style w:type="paragraph" w:styleId="BodyTextFirstIndent2">
    <w:name w:val="Body Text First Indent 2"/>
    <w:basedOn w:val="BodyTextIndent"/>
    <w:rsid w:val="00B334E1"/>
    <w:pPr>
      <w:ind w:firstLine="210"/>
    </w:pPr>
  </w:style>
  <w:style w:type="paragraph" w:styleId="BodyTextIndent2">
    <w:name w:val="Body Text Indent 2"/>
    <w:basedOn w:val="Normal"/>
    <w:rsid w:val="00B334E1"/>
    <w:pPr>
      <w:spacing w:after="120" w:line="480" w:lineRule="auto"/>
      <w:ind w:left="283"/>
    </w:pPr>
  </w:style>
  <w:style w:type="paragraph" w:styleId="BodyTextIndent3">
    <w:name w:val="Body Text Indent 3"/>
    <w:basedOn w:val="Normal"/>
    <w:rsid w:val="00B334E1"/>
    <w:pPr>
      <w:spacing w:after="120"/>
      <w:ind w:left="283"/>
    </w:pPr>
    <w:rPr>
      <w:sz w:val="16"/>
      <w:szCs w:val="16"/>
    </w:rPr>
  </w:style>
  <w:style w:type="paragraph" w:styleId="Caption">
    <w:name w:val="caption"/>
    <w:basedOn w:val="Normal"/>
    <w:next w:val="Normal"/>
    <w:qFormat/>
    <w:rsid w:val="00B334E1"/>
    <w:rPr>
      <w:b/>
      <w:bCs/>
      <w:szCs w:val="20"/>
    </w:rPr>
  </w:style>
  <w:style w:type="paragraph" w:styleId="Closing">
    <w:name w:val="Closing"/>
    <w:basedOn w:val="Normal"/>
    <w:rsid w:val="00B334E1"/>
    <w:pPr>
      <w:ind w:left="4252"/>
    </w:pPr>
  </w:style>
  <w:style w:type="paragraph" w:styleId="CommentText">
    <w:name w:val="annotation text"/>
    <w:basedOn w:val="Normal"/>
    <w:semiHidden/>
    <w:rsid w:val="00B334E1"/>
    <w:rPr>
      <w:szCs w:val="20"/>
    </w:rPr>
  </w:style>
  <w:style w:type="paragraph" w:styleId="CommentSubject">
    <w:name w:val="annotation subject"/>
    <w:basedOn w:val="CommentText"/>
    <w:next w:val="CommentText"/>
    <w:semiHidden/>
    <w:rsid w:val="00B334E1"/>
    <w:rPr>
      <w:b/>
      <w:bCs/>
    </w:rPr>
  </w:style>
  <w:style w:type="paragraph" w:styleId="Date">
    <w:name w:val="Date"/>
    <w:basedOn w:val="Normal"/>
    <w:next w:val="Normal"/>
    <w:rsid w:val="00B334E1"/>
  </w:style>
  <w:style w:type="paragraph" w:styleId="DocumentMap">
    <w:name w:val="Document Map"/>
    <w:basedOn w:val="Normal"/>
    <w:semiHidden/>
    <w:rsid w:val="00B334E1"/>
    <w:pPr>
      <w:shd w:val="clear" w:color="auto" w:fill="000080"/>
    </w:pPr>
    <w:rPr>
      <w:rFonts w:ascii="Tahoma" w:hAnsi="Tahoma" w:cs="Tahoma"/>
      <w:szCs w:val="20"/>
    </w:rPr>
  </w:style>
  <w:style w:type="paragraph" w:styleId="E-mailSignature">
    <w:name w:val="E-mail Signature"/>
    <w:basedOn w:val="Normal"/>
    <w:rsid w:val="00B334E1"/>
  </w:style>
  <w:style w:type="paragraph" w:styleId="EndnoteText">
    <w:name w:val="endnote text"/>
    <w:basedOn w:val="Normal"/>
    <w:semiHidden/>
    <w:rsid w:val="00B334E1"/>
    <w:rPr>
      <w:szCs w:val="20"/>
    </w:rPr>
  </w:style>
  <w:style w:type="paragraph" w:styleId="EnvelopeAddress">
    <w:name w:val="envelope address"/>
    <w:basedOn w:val="Normal"/>
    <w:rsid w:val="00B334E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B334E1"/>
    <w:rPr>
      <w:rFonts w:ascii="Arial" w:hAnsi="Arial"/>
      <w:szCs w:val="20"/>
    </w:rPr>
  </w:style>
  <w:style w:type="paragraph" w:styleId="HTMLAddress">
    <w:name w:val="HTML Address"/>
    <w:basedOn w:val="Normal"/>
    <w:rsid w:val="00B334E1"/>
    <w:rPr>
      <w:i/>
      <w:iCs/>
    </w:rPr>
  </w:style>
  <w:style w:type="paragraph" w:styleId="HTMLPreformatted">
    <w:name w:val="HTML Preformatted"/>
    <w:basedOn w:val="Normal"/>
    <w:rsid w:val="00B334E1"/>
    <w:rPr>
      <w:rFonts w:ascii="Courier New" w:hAnsi="Courier New" w:cs="Courier New"/>
      <w:szCs w:val="20"/>
    </w:rPr>
  </w:style>
  <w:style w:type="paragraph" w:styleId="Index1">
    <w:name w:val="index 1"/>
    <w:basedOn w:val="Normal"/>
    <w:next w:val="Normal"/>
    <w:semiHidden/>
    <w:rsid w:val="00B334E1"/>
    <w:pPr>
      <w:ind w:left="200" w:hanging="200"/>
    </w:pPr>
  </w:style>
  <w:style w:type="paragraph" w:styleId="Index2">
    <w:name w:val="index 2"/>
    <w:basedOn w:val="Normal"/>
    <w:next w:val="Normal"/>
    <w:semiHidden/>
    <w:rsid w:val="00B334E1"/>
    <w:pPr>
      <w:ind w:left="400" w:hanging="200"/>
    </w:pPr>
  </w:style>
  <w:style w:type="paragraph" w:styleId="Index3">
    <w:name w:val="index 3"/>
    <w:basedOn w:val="Normal"/>
    <w:next w:val="Normal"/>
    <w:semiHidden/>
    <w:rsid w:val="00B334E1"/>
    <w:pPr>
      <w:ind w:left="600" w:hanging="200"/>
    </w:pPr>
  </w:style>
  <w:style w:type="paragraph" w:styleId="Index4">
    <w:name w:val="index 4"/>
    <w:basedOn w:val="Normal"/>
    <w:next w:val="Normal"/>
    <w:semiHidden/>
    <w:rsid w:val="00B334E1"/>
    <w:pPr>
      <w:ind w:left="800" w:hanging="200"/>
    </w:pPr>
  </w:style>
  <w:style w:type="paragraph" w:styleId="Index5">
    <w:name w:val="index 5"/>
    <w:basedOn w:val="Normal"/>
    <w:next w:val="Normal"/>
    <w:semiHidden/>
    <w:rsid w:val="00B334E1"/>
    <w:pPr>
      <w:ind w:left="1000" w:hanging="200"/>
    </w:pPr>
  </w:style>
  <w:style w:type="paragraph" w:styleId="Index6">
    <w:name w:val="index 6"/>
    <w:basedOn w:val="Normal"/>
    <w:next w:val="Normal"/>
    <w:semiHidden/>
    <w:rsid w:val="00B334E1"/>
    <w:pPr>
      <w:ind w:left="1200" w:hanging="200"/>
    </w:pPr>
  </w:style>
  <w:style w:type="paragraph" w:styleId="Index7">
    <w:name w:val="index 7"/>
    <w:basedOn w:val="Normal"/>
    <w:next w:val="Normal"/>
    <w:semiHidden/>
    <w:rsid w:val="00B334E1"/>
    <w:pPr>
      <w:ind w:left="1400" w:hanging="200"/>
    </w:pPr>
  </w:style>
  <w:style w:type="paragraph" w:styleId="Index8">
    <w:name w:val="index 8"/>
    <w:basedOn w:val="Normal"/>
    <w:next w:val="Normal"/>
    <w:semiHidden/>
    <w:rsid w:val="00B334E1"/>
    <w:pPr>
      <w:ind w:left="1600" w:hanging="200"/>
    </w:pPr>
  </w:style>
  <w:style w:type="paragraph" w:styleId="Index9">
    <w:name w:val="index 9"/>
    <w:basedOn w:val="Normal"/>
    <w:next w:val="Normal"/>
    <w:semiHidden/>
    <w:rsid w:val="00B334E1"/>
    <w:pPr>
      <w:ind w:left="1800" w:hanging="200"/>
    </w:pPr>
  </w:style>
  <w:style w:type="paragraph" w:styleId="IndexHeading">
    <w:name w:val="index heading"/>
    <w:basedOn w:val="Normal"/>
    <w:next w:val="Index1"/>
    <w:semiHidden/>
    <w:rsid w:val="00B334E1"/>
    <w:rPr>
      <w:rFonts w:ascii="Arial" w:hAnsi="Arial"/>
      <w:b/>
      <w:bCs/>
    </w:rPr>
  </w:style>
  <w:style w:type="paragraph" w:styleId="List">
    <w:name w:val="List"/>
    <w:basedOn w:val="Normal"/>
    <w:rsid w:val="00B334E1"/>
    <w:pPr>
      <w:ind w:left="283" w:hanging="283"/>
    </w:pPr>
  </w:style>
  <w:style w:type="paragraph" w:styleId="List2">
    <w:name w:val="List 2"/>
    <w:basedOn w:val="Normal"/>
    <w:rsid w:val="00B334E1"/>
    <w:pPr>
      <w:ind w:left="566" w:hanging="283"/>
    </w:pPr>
  </w:style>
  <w:style w:type="paragraph" w:styleId="List3">
    <w:name w:val="List 3"/>
    <w:basedOn w:val="Normal"/>
    <w:rsid w:val="00B334E1"/>
    <w:pPr>
      <w:ind w:left="849" w:hanging="283"/>
    </w:pPr>
  </w:style>
  <w:style w:type="paragraph" w:styleId="List4">
    <w:name w:val="List 4"/>
    <w:basedOn w:val="Normal"/>
    <w:rsid w:val="00B334E1"/>
    <w:pPr>
      <w:ind w:left="1132" w:hanging="283"/>
    </w:pPr>
  </w:style>
  <w:style w:type="paragraph" w:styleId="List5">
    <w:name w:val="List 5"/>
    <w:basedOn w:val="Normal"/>
    <w:rsid w:val="00B334E1"/>
    <w:pPr>
      <w:ind w:left="1415" w:hanging="283"/>
    </w:pPr>
  </w:style>
  <w:style w:type="paragraph" w:styleId="ListBullet">
    <w:name w:val="List Bullet"/>
    <w:basedOn w:val="Normal"/>
    <w:rsid w:val="00B334E1"/>
    <w:pPr>
      <w:numPr>
        <w:numId w:val="3"/>
      </w:numPr>
    </w:pPr>
  </w:style>
  <w:style w:type="paragraph" w:styleId="ListBullet2">
    <w:name w:val="List Bullet 2"/>
    <w:basedOn w:val="Normal"/>
    <w:rsid w:val="00B334E1"/>
    <w:pPr>
      <w:numPr>
        <w:numId w:val="4"/>
      </w:numPr>
    </w:pPr>
  </w:style>
  <w:style w:type="paragraph" w:styleId="ListBullet3">
    <w:name w:val="List Bullet 3"/>
    <w:basedOn w:val="Normal"/>
    <w:rsid w:val="00B334E1"/>
    <w:pPr>
      <w:numPr>
        <w:numId w:val="5"/>
      </w:numPr>
    </w:pPr>
  </w:style>
  <w:style w:type="paragraph" w:styleId="ListBullet4">
    <w:name w:val="List Bullet 4"/>
    <w:basedOn w:val="Normal"/>
    <w:rsid w:val="00B334E1"/>
    <w:pPr>
      <w:numPr>
        <w:numId w:val="6"/>
      </w:numPr>
    </w:pPr>
  </w:style>
  <w:style w:type="paragraph" w:styleId="ListBullet5">
    <w:name w:val="List Bullet 5"/>
    <w:basedOn w:val="Normal"/>
    <w:rsid w:val="00B334E1"/>
    <w:pPr>
      <w:numPr>
        <w:numId w:val="7"/>
      </w:numPr>
    </w:pPr>
  </w:style>
  <w:style w:type="paragraph" w:styleId="ListContinue">
    <w:name w:val="List Continue"/>
    <w:basedOn w:val="Normal"/>
    <w:rsid w:val="00B334E1"/>
    <w:pPr>
      <w:spacing w:after="120"/>
      <w:ind w:left="283"/>
    </w:pPr>
  </w:style>
  <w:style w:type="paragraph" w:styleId="ListContinue2">
    <w:name w:val="List Continue 2"/>
    <w:basedOn w:val="Normal"/>
    <w:rsid w:val="00B334E1"/>
    <w:pPr>
      <w:spacing w:after="120"/>
      <w:ind w:left="566"/>
    </w:pPr>
  </w:style>
  <w:style w:type="paragraph" w:styleId="ListContinue3">
    <w:name w:val="List Continue 3"/>
    <w:basedOn w:val="Normal"/>
    <w:rsid w:val="00B334E1"/>
    <w:pPr>
      <w:spacing w:after="120"/>
      <w:ind w:left="849"/>
    </w:pPr>
  </w:style>
  <w:style w:type="paragraph" w:styleId="ListContinue4">
    <w:name w:val="List Continue 4"/>
    <w:basedOn w:val="Normal"/>
    <w:rsid w:val="00B334E1"/>
    <w:pPr>
      <w:spacing w:after="120"/>
      <w:ind w:left="1132"/>
    </w:pPr>
  </w:style>
  <w:style w:type="paragraph" w:styleId="ListContinue5">
    <w:name w:val="List Continue 5"/>
    <w:basedOn w:val="Normal"/>
    <w:rsid w:val="00B334E1"/>
    <w:pPr>
      <w:spacing w:after="120"/>
      <w:ind w:left="1415"/>
    </w:pPr>
  </w:style>
  <w:style w:type="paragraph" w:styleId="ListNumber">
    <w:name w:val="List Number"/>
    <w:basedOn w:val="Normal"/>
    <w:rsid w:val="00B334E1"/>
    <w:pPr>
      <w:numPr>
        <w:numId w:val="8"/>
      </w:numPr>
    </w:pPr>
  </w:style>
  <w:style w:type="paragraph" w:styleId="ListNumber2">
    <w:name w:val="List Number 2"/>
    <w:basedOn w:val="Normal"/>
    <w:rsid w:val="00B334E1"/>
    <w:pPr>
      <w:numPr>
        <w:numId w:val="9"/>
      </w:numPr>
    </w:pPr>
  </w:style>
  <w:style w:type="paragraph" w:styleId="ListNumber3">
    <w:name w:val="List Number 3"/>
    <w:basedOn w:val="Normal"/>
    <w:rsid w:val="00B334E1"/>
    <w:pPr>
      <w:numPr>
        <w:numId w:val="10"/>
      </w:numPr>
    </w:pPr>
  </w:style>
  <w:style w:type="paragraph" w:styleId="ListNumber4">
    <w:name w:val="List Number 4"/>
    <w:basedOn w:val="Normal"/>
    <w:rsid w:val="00B334E1"/>
    <w:pPr>
      <w:numPr>
        <w:numId w:val="11"/>
      </w:numPr>
    </w:pPr>
  </w:style>
  <w:style w:type="paragraph" w:styleId="ListNumber5">
    <w:name w:val="List Number 5"/>
    <w:basedOn w:val="Normal"/>
    <w:rsid w:val="00B334E1"/>
    <w:pPr>
      <w:numPr>
        <w:numId w:val="12"/>
      </w:numPr>
    </w:pPr>
  </w:style>
  <w:style w:type="paragraph" w:styleId="MacroText">
    <w:name w:val="macro"/>
    <w:semiHidden/>
    <w:rsid w:val="00B334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334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B334E1"/>
    <w:rPr>
      <w:rFonts w:ascii="Times New Roman" w:hAnsi="Times New Roman" w:cs="Times New Roman"/>
      <w:sz w:val="24"/>
      <w:szCs w:val="24"/>
    </w:rPr>
  </w:style>
  <w:style w:type="paragraph" w:styleId="NormalIndent">
    <w:name w:val="Normal Indent"/>
    <w:basedOn w:val="Normal"/>
    <w:rsid w:val="00B334E1"/>
    <w:pPr>
      <w:ind w:left="720"/>
    </w:pPr>
  </w:style>
  <w:style w:type="paragraph" w:styleId="NoteHeading">
    <w:name w:val="Note Heading"/>
    <w:basedOn w:val="Normal"/>
    <w:next w:val="Normal"/>
    <w:rsid w:val="00B334E1"/>
  </w:style>
  <w:style w:type="paragraph" w:styleId="PlainText">
    <w:name w:val="Plain Text"/>
    <w:basedOn w:val="Normal"/>
    <w:rsid w:val="00B334E1"/>
    <w:rPr>
      <w:rFonts w:ascii="Courier New" w:hAnsi="Courier New" w:cs="Courier New"/>
      <w:szCs w:val="20"/>
    </w:rPr>
  </w:style>
  <w:style w:type="paragraph" w:styleId="Salutation">
    <w:name w:val="Salutation"/>
    <w:basedOn w:val="Normal"/>
    <w:next w:val="Normal"/>
    <w:rsid w:val="00B334E1"/>
  </w:style>
  <w:style w:type="paragraph" w:styleId="Signature">
    <w:name w:val="Signature"/>
    <w:basedOn w:val="Normal"/>
    <w:rsid w:val="00B334E1"/>
    <w:pPr>
      <w:ind w:left="4252"/>
    </w:pPr>
  </w:style>
  <w:style w:type="paragraph" w:styleId="Subtitle">
    <w:name w:val="Subtitle"/>
    <w:basedOn w:val="Normal"/>
    <w:qFormat/>
    <w:rsid w:val="00B334E1"/>
    <w:pPr>
      <w:spacing w:after="60"/>
      <w:jc w:val="center"/>
      <w:outlineLvl w:val="1"/>
    </w:pPr>
    <w:rPr>
      <w:rFonts w:ascii="Arial" w:hAnsi="Arial"/>
      <w:sz w:val="24"/>
      <w:szCs w:val="24"/>
    </w:rPr>
  </w:style>
  <w:style w:type="paragraph" w:styleId="TableofAuthorities">
    <w:name w:val="table of authorities"/>
    <w:basedOn w:val="Normal"/>
    <w:next w:val="Normal"/>
    <w:semiHidden/>
    <w:rsid w:val="00B334E1"/>
    <w:pPr>
      <w:ind w:left="200" w:hanging="200"/>
    </w:pPr>
  </w:style>
  <w:style w:type="paragraph" w:styleId="TableofFigures">
    <w:name w:val="table of figures"/>
    <w:basedOn w:val="Normal"/>
    <w:next w:val="Normal"/>
    <w:semiHidden/>
    <w:rsid w:val="00B334E1"/>
  </w:style>
  <w:style w:type="paragraph" w:styleId="Title">
    <w:name w:val="Title"/>
    <w:basedOn w:val="Normal"/>
    <w:qFormat/>
    <w:rsid w:val="00B334E1"/>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B334E1"/>
    <w:pPr>
      <w:spacing w:before="120"/>
    </w:pPr>
    <w:rPr>
      <w:rFonts w:ascii="Arial" w:hAnsi="Arial"/>
      <w:b/>
      <w:bCs/>
      <w:sz w:val="24"/>
      <w:szCs w:val="24"/>
    </w:rPr>
  </w:style>
  <w:style w:type="paragraph" w:styleId="TOC4">
    <w:name w:val="toc 4"/>
    <w:basedOn w:val="Normal"/>
    <w:next w:val="Normal"/>
    <w:semiHidden/>
    <w:rsid w:val="00B334E1"/>
    <w:pPr>
      <w:ind w:left="600"/>
    </w:pPr>
  </w:style>
  <w:style w:type="paragraph" w:styleId="TOC5">
    <w:name w:val="toc 5"/>
    <w:basedOn w:val="Normal"/>
    <w:next w:val="Normal"/>
    <w:semiHidden/>
    <w:rsid w:val="00B334E1"/>
    <w:pPr>
      <w:ind w:left="800"/>
    </w:pPr>
  </w:style>
  <w:style w:type="paragraph" w:styleId="TOC6">
    <w:name w:val="toc 6"/>
    <w:basedOn w:val="Normal"/>
    <w:next w:val="Normal"/>
    <w:semiHidden/>
    <w:rsid w:val="00B334E1"/>
    <w:pPr>
      <w:ind w:left="1000"/>
    </w:pPr>
  </w:style>
  <w:style w:type="paragraph" w:styleId="TOC7">
    <w:name w:val="toc 7"/>
    <w:basedOn w:val="Normal"/>
    <w:next w:val="Normal"/>
    <w:semiHidden/>
    <w:rsid w:val="00B334E1"/>
    <w:pPr>
      <w:ind w:left="1200"/>
    </w:pPr>
  </w:style>
  <w:style w:type="paragraph" w:styleId="TOC8">
    <w:name w:val="toc 8"/>
    <w:basedOn w:val="Normal"/>
    <w:next w:val="Normal"/>
    <w:semiHidden/>
    <w:rsid w:val="00B334E1"/>
    <w:pPr>
      <w:ind w:left="1400"/>
    </w:pPr>
  </w:style>
  <w:style w:type="paragraph" w:styleId="TOC9">
    <w:name w:val="toc 9"/>
    <w:basedOn w:val="Normal"/>
    <w:next w:val="Normal"/>
    <w:semiHidden/>
    <w:rsid w:val="00B334E1"/>
    <w:pPr>
      <w:ind w:left="1600"/>
    </w:pPr>
  </w:style>
  <w:style w:type="character" w:customStyle="1" w:styleId="FooterChar">
    <w:name w:val="Footer Char"/>
    <w:basedOn w:val="DefaultParagraphFont"/>
    <w:link w:val="Footer"/>
    <w:rsid w:val="001372D9"/>
    <w:rPr>
      <w:rFonts w:ascii="Verdana" w:hAnsi="Verdana" w:cs="Arial"/>
      <w:szCs w:val="22"/>
    </w:rPr>
  </w:style>
  <w:style w:type="character" w:styleId="CommentReference">
    <w:name w:val="annotation reference"/>
    <w:basedOn w:val="DefaultParagraphFont"/>
    <w:rsid w:val="00DF5DCF"/>
    <w:rPr>
      <w:sz w:val="16"/>
      <w:szCs w:val="16"/>
    </w:rPr>
  </w:style>
  <w:style w:type="paragraph" w:styleId="Revision">
    <w:name w:val="Revision"/>
    <w:hidden/>
    <w:uiPriority w:val="99"/>
    <w:semiHidden/>
    <w:rsid w:val="00AB7140"/>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750">
      <w:bodyDiv w:val="1"/>
      <w:marLeft w:val="0"/>
      <w:marRight w:val="0"/>
      <w:marTop w:val="0"/>
      <w:marBottom w:val="0"/>
      <w:divBdr>
        <w:top w:val="none" w:sz="0" w:space="0" w:color="auto"/>
        <w:left w:val="none" w:sz="0" w:space="0" w:color="auto"/>
        <w:bottom w:val="none" w:sz="0" w:space="0" w:color="auto"/>
        <w:right w:val="none" w:sz="0" w:space="0" w:color="auto"/>
      </w:divBdr>
    </w:div>
    <w:div w:id="669254529">
      <w:bodyDiv w:val="1"/>
      <w:marLeft w:val="0"/>
      <w:marRight w:val="0"/>
      <w:marTop w:val="0"/>
      <w:marBottom w:val="0"/>
      <w:divBdr>
        <w:top w:val="none" w:sz="0" w:space="0" w:color="auto"/>
        <w:left w:val="none" w:sz="0" w:space="0" w:color="auto"/>
        <w:bottom w:val="none" w:sz="0" w:space="0" w:color="auto"/>
        <w:right w:val="none" w:sz="0" w:space="0" w:color="auto"/>
      </w:divBdr>
      <w:divsChild>
        <w:div w:id="168375206">
          <w:marLeft w:val="446"/>
          <w:marRight w:val="0"/>
          <w:marTop w:val="0"/>
          <w:marBottom w:val="0"/>
          <w:divBdr>
            <w:top w:val="none" w:sz="0" w:space="0" w:color="auto"/>
            <w:left w:val="none" w:sz="0" w:space="0" w:color="auto"/>
            <w:bottom w:val="none" w:sz="0" w:space="0" w:color="auto"/>
            <w:right w:val="none" w:sz="0" w:space="0" w:color="auto"/>
          </w:divBdr>
        </w:div>
        <w:div w:id="804389780">
          <w:marLeft w:val="446"/>
          <w:marRight w:val="0"/>
          <w:marTop w:val="0"/>
          <w:marBottom w:val="0"/>
          <w:divBdr>
            <w:top w:val="none" w:sz="0" w:space="0" w:color="auto"/>
            <w:left w:val="none" w:sz="0" w:space="0" w:color="auto"/>
            <w:bottom w:val="none" w:sz="0" w:space="0" w:color="auto"/>
            <w:right w:val="none" w:sz="0" w:space="0" w:color="auto"/>
          </w:divBdr>
        </w:div>
        <w:div w:id="954095741">
          <w:marLeft w:val="446"/>
          <w:marRight w:val="0"/>
          <w:marTop w:val="0"/>
          <w:marBottom w:val="0"/>
          <w:divBdr>
            <w:top w:val="none" w:sz="0" w:space="0" w:color="auto"/>
            <w:left w:val="none" w:sz="0" w:space="0" w:color="auto"/>
            <w:bottom w:val="none" w:sz="0" w:space="0" w:color="auto"/>
            <w:right w:val="none" w:sz="0" w:space="0" w:color="auto"/>
          </w:divBdr>
        </w:div>
        <w:div w:id="1138759829">
          <w:marLeft w:val="446"/>
          <w:marRight w:val="0"/>
          <w:marTop w:val="0"/>
          <w:marBottom w:val="0"/>
          <w:divBdr>
            <w:top w:val="none" w:sz="0" w:space="0" w:color="auto"/>
            <w:left w:val="none" w:sz="0" w:space="0" w:color="auto"/>
            <w:bottom w:val="none" w:sz="0" w:space="0" w:color="auto"/>
            <w:right w:val="none" w:sz="0" w:space="0" w:color="auto"/>
          </w:divBdr>
        </w:div>
        <w:div w:id="731196935">
          <w:marLeft w:val="446"/>
          <w:marRight w:val="0"/>
          <w:marTop w:val="0"/>
          <w:marBottom w:val="0"/>
          <w:divBdr>
            <w:top w:val="none" w:sz="0" w:space="0" w:color="auto"/>
            <w:left w:val="none" w:sz="0" w:space="0" w:color="auto"/>
            <w:bottom w:val="none" w:sz="0" w:space="0" w:color="auto"/>
            <w:right w:val="none" w:sz="0" w:space="0" w:color="auto"/>
          </w:divBdr>
        </w:div>
        <w:div w:id="873929454">
          <w:marLeft w:val="446"/>
          <w:marRight w:val="0"/>
          <w:marTop w:val="0"/>
          <w:marBottom w:val="0"/>
          <w:divBdr>
            <w:top w:val="none" w:sz="0" w:space="0" w:color="auto"/>
            <w:left w:val="none" w:sz="0" w:space="0" w:color="auto"/>
            <w:bottom w:val="none" w:sz="0" w:space="0" w:color="auto"/>
            <w:right w:val="none" w:sz="0" w:space="0" w:color="auto"/>
          </w:divBdr>
        </w:div>
      </w:divsChild>
    </w:div>
    <w:div w:id="10880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fgem.gov.uk/publications-and-updates/second-gtcr-technical-work-grou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fgem.gov.uk/feeds/87224/r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Gas.TransmissionResponse@ofgem.gov.uk"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s.TransmissionResponse@ofgem.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Minutes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773578-b348-4185-91b0-0c3a7eda8d2a" ContentTypeId="0x01010020DECF7569711D4CA2681F69670495AB" PreviousValue="false"/>
</file>

<file path=customXml/item2.xml><?xml version="1.0" encoding="utf-8"?>
<ct:contentTypeSchema xmlns:ct="http://schemas.microsoft.com/office/2006/metadata/contentType" xmlns:ma="http://schemas.microsoft.com/office/2006/metadata/properties/metaAttributes" ct:_="" ma:_="" ma:contentTypeName="Minutes" ma:contentTypeID="0x01010020DECF7569711D4CA2681F69670495AB00117B2BF1D04168409CF6E84EE9B6B923" ma:contentTypeVersion="0" ma:contentTypeDescription="This should be used for creating internal minutes" ma:contentTypeScope="" ma:versionID="1cb1337d1778c66258b6d4275ae8b562">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7605b90f8c804537dabdf264adc6a8b3" ns2:_="" ns3:_="">
    <xsd:import namespace="http://schemas.microsoft.com/sharepoint/v3/fields"/>
    <xsd:import namespace="631298fc-6a88-4548-b7d9-3b164918c4a3"/>
    <xsd:element name="properties">
      <xsd:complexType>
        <xsd:sequence>
          <xsd:element name="documentManagement">
            <xsd:complexType>
              <xsd:all>
                <xsd:element ref="ns3:Recipient" minOccurs="0"/>
                <xsd:element ref="ns3:Organisation" minOccurs="0"/>
                <xsd:element ref="ns3:Meeting_x0020_Date" minOccurs="0"/>
                <xsd:element ref="ns2:_Status" minOccurs="0"/>
                <xsd:element ref="ns3:Classification"/>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9"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Organisation" ma:index="10"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Meeting_x0020_Date" ma:index="11" nillable="true" ma:displayName="Meeting Date" ma:default="[today]" ma:description="Enter the date as DD/MM/YYYY" ma:format="DateOnly" ma:internalName="Meeting_x0020_Date">
      <xsd:simpleType>
        <xsd:restriction base="dms:DateTime"/>
      </xsd:simpleType>
    </xsd:element>
    <xsd:element name="Classification" ma:index="13"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Meeting_x0020_Date xmlns="631298fc-6a88-4548-b7d9-3b164918c4a3">2014-07-09T09:43:40+00:00</Meeting_x0020_Date>
    <Descriptor xmlns="631298fc-6a88-4548-b7d9-3b164918c4a3" xsi:nil="true"/>
    <Classification xmlns="631298fc-6a88-4548-b7d9-3b164918c4a3">Unclassified</Classification>
    <Recipient xmlns="631298fc-6a88-4548-b7d9-3b164918c4a3">Tim Aldridge</Recipient>
    <Organisation xmlns="631298fc-6a88-4548-b7d9-3b164918c4a3">Choose an Organisation</Organis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3FD9-3602-42C9-8C04-034D65DC4A3F}">
  <ds:schemaRefs>
    <ds:schemaRef ds:uri="Microsoft.SharePoint.Taxonomy.ContentTypeSync"/>
  </ds:schemaRefs>
</ds:datastoreItem>
</file>

<file path=customXml/itemProps2.xml><?xml version="1.0" encoding="utf-8"?>
<ds:datastoreItem xmlns:ds="http://schemas.openxmlformats.org/officeDocument/2006/customXml" ds:itemID="{5736DFF8-7D1C-479F-8A8E-C25C0A08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7C16A-77AC-4EB2-AD82-5E0EBAF64274}">
  <ds:schemaRefs>
    <ds:schemaRef ds:uri="http://schemas.microsoft.com/sharepoint/v3/contenttype/forms"/>
  </ds:schemaRefs>
</ds:datastoreItem>
</file>

<file path=customXml/itemProps4.xml><?xml version="1.0" encoding="utf-8"?>
<ds:datastoreItem xmlns:ds="http://schemas.openxmlformats.org/officeDocument/2006/customXml" ds:itemID="{81C1EBE0-5B66-473A-A487-BCC147D1EA62}">
  <ds:schemaRefs>
    <ds:schemaRef ds:uri="http://schemas.microsoft.com/sharepoint/v3/field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631298fc-6a88-4548-b7d9-3b164918c4a3"/>
  </ds:schemaRefs>
</ds:datastoreItem>
</file>

<file path=customXml/itemProps5.xml><?xml version="1.0" encoding="utf-8"?>
<ds:datastoreItem xmlns:ds="http://schemas.openxmlformats.org/officeDocument/2006/customXml" ds:itemID="{40447751-18E0-4F02-9965-39705B44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Minutes2013</Template>
  <TotalTime>9</TotalTime>
  <Pages>4</Pages>
  <Words>1856</Words>
  <Characters>9816</Characters>
  <Application>Microsoft Office Word</Application>
  <DocSecurity>0</DocSecurity>
  <Lines>207</Lines>
  <Paragraphs>89</Paragraphs>
  <ScaleCrop>false</ScaleCrop>
  <HeadingPairs>
    <vt:vector size="2" baseType="variant">
      <vt:variant>
        <vt:lpstr>Title</vt:lpstr>
      </vt:variant>
      <vt:variant>
        <vt:i4>1</vt:i4>
      </vt:variant>
    </vt:vector>
  </HeadingPairs>
  <TitlesOfParts>
    <vt:vector size="1" baseType="lpstr">
      <vt:lpstr>Technical group 2, Gas Transmission Charging Review</vt:lpstr>
    </vt:vector>
  </TitlesOfParts>
  <Company>Ofgem</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group 2, Gas Transmission Charging Review</dc:title>
  <dc:subject>This group supports the development of the technical modelling of potential options for NTS entry charging arrangements.</dc:subject>
  <dc:creator>Victoria Volossov</dc:creator>
  <cp:lastModifiedBy>Tim Aldridge</cp:lastModifiedBy>
  <cp:revision>3</cp:revision>
  <cp:lastPrinted>2014-07-10T14:41:00Z</cp:lastPrinted>
  <dcterms:created xsi:type="dcterms:W3CDTF">2014-07-23T08:22:00Z</dcterms:created>
  <dcterms:modified xsi:type="dcterms:W3CDTF">2014-07-23T08:30:00Z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0x01010020DECF7569711D4CA2681F69670495AB00117B2BF1D04168409CF6E84EE9B6B923</vt:lpwstr>
  </property>
</Properties>
</file>